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6" w:rsidRDefault="009E4DB6">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78441"/>
      <w:bookmarkStart w:id="3" w:name="_Toc15377193"/>
      <w:bookmarkStart w:id="4" w:name="_Toc15396597"/>
      <w:bookmarkStart w:id="5" w:name="_Toc15306267"/>
    </w:p>
    <w:p w:rsidR="009E4DB6" w:rsidRDefault="009E4DB6">
      <w:pPr>
        <w:spacing w:line="600" w:lineRule="exact"/>
        <w:jc w:val="center"/>
        <w:outlineLvl w:val="0"/>
        <w:rPr>
          <w:rFonts w:ascii="方正小标宋简体" w:eastAsia="方正小标宋简体" w:hAnsi="宋体"/>
          <w:sz w:val="72"/>
          <w:szCs w:val="72"/>
        </w:rPr>
      </w:pPr>
    </w:p>
    <w:p w:rsidR="009E4DB6" w:rsidRDefault="009E4DB6">
      <w:pPr>
        <w:spacing w:line="600" w:lineRule="exact"/>
        <w:jc w:val="center"/>
        <w:outlineLvl w:val="0"/>
        <w:rPr>
          <w:rFonts w:ascii="方正小标宋简体" w:eastAsia="方正小标宋简体" w:hAnsi="宋体"/>
          <w:sz w:val="72"/>
          <w:szCs w:val="72"/>
        </w:rPr>
      </w:pPr>
    </w:p>
    <w:p w:rsidR="00F170F0" w:rsidRDefault="00F170F0" w:rsidP="00F170F0">
      <w:pPr>
        <w:pStyle w:val="a0"/>
        <w:spacing w:before="93"/>
      </w:pPr>
    </w:p>
    <w:p w:rsidR="00F170F0" w:rsidRPr="00F170F0" w:rsidRDefault="00F170F0" w:rsidP="00F170F0">
      <w:pPr>
        <w:pStyle w:val="a0"/>
        <w:spacing w:before="93"/>
      </w:pPr>
    </w:p>
    <w:p w:rsidR="009E4DB6" w:rsidRDefault="00EF39C0">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p>
    <w:p w:rsidR="009E4DB6" w:rsidRDefault="00D03E6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78442"/>
      <w:bookmarkStart w:id="8" w:name="_Toc15396476"/>
      <w:bookmarkStart w:id="9" w:name="_Toc15396598"/>
      <w:bookmarkStart w:id="10" w:name="_Toc15377194"/>
      <w:bookmarkStart w:id="11" w:name="_Toc15306268"/>
      <w:bookmarkEnd w:id="5"/>
      <w:r>
        <w:rPr>
          <w:rFonts w:ascii="方正小标宋简体" w:eastAsia="方正小标宋简体" w:hAnsi="方正小标宋简体" w:cs="方正小标宋简体" w:hint="eastAsia"/>
          <w:sz w:val="72"/>
          <w:szCs w:val="72"/>
        </w:rPr>
        <w:t>攀枝花市公安局</w:t>
      </w:r>
      <w:r w:rsidR="00EF39C0">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9E4DB6" w:rsidRDefault="00EF39C0">
      <w:pPr>
        <w:widowControl/>
        <w:jc w:val="center"/>
        <w:rPr>
          <w:rFonts w:ascii="黑体" w:eastAsia="黑体" w:hAnsi="黑体"/>
          <w:sz w:val="48"/>
          <w:szCs w:val="48"/>
        </w:rPr>
      </w:pPr>
      <w:r>
        <w:rPr>
          <w:rFonts w:ascii="方正小标宋简体" w:eastAsia="方正小标宋简体" w:hAnsi="宋体"/>
          <w:sz w:val="36"/>
          <w:szCs w:val="36"/>
        </w:rPr>
        <w:br w:type="page"/>
      </w:r>
      <w:r w:rsidRPr="003C70F4">
        <w:rPr>
          <w:rFonts w:ascii="黑体" w:eastAsia="黑体" w:hAnsi="黑体" w:hint="eastAsia"/>
          <w:sz w:val="48"/>
          <w:szCs w:val="48"/>
        </w:rPr>
        <w:lastRenderedPageBreak/>
        <w:t>目录</w:t>
      </w:r>
    </w:p>
    <w:p w:rsidR="009E4DB6" w:rsidRDefault="009E4DB6">
      <w:pPr>
        <w:widowControl/>
        <w:jc w:val="center"/>
        <w:rPr>
          <w:rFonts w:ascii="黑体" w:eastAsia="黑体" w:hAnsi="黑体" w:cstheme="minorBidi"/>
          <w:sz w:val="28"/>
          <w:szCs w:val="28"/>
        </w:rPr>
      </w:pPr>
    </w:p>
    <w:p w:rsidR="009E4DB6" w:rsidRDefault="00EF39C0">
      <w:pPr>
        <w:pStyle w:val="10"/>
      </w:pPr>
      <w:r>
        <w:rPr>
          <w:rFonts w:hint="eastAsia"/>
        </w:rPr>
        <w:t>公开时间：2023年</w:t>
      </w:r>
      <w:r w:rsidR="0067280B">
        <w:rPr>
          <w:rFonts w:hint="eastAsia"/>
        </w:rPr>
        <w:t>9</w:t>
      </w:r>
      <w:r>
        <w:rPr>
          <w:rFonts w:hint="eastAsia"/>
        </w:rPr>
        <w:t>月</w:t>
      </w:r>
      <w:r w:rsidR="00BB664D">
        <w:t>1</w:t>
      </w:r>
      <w:r w:rsidR="00DE4C36">
        <w:rPr>
          <w:rFonts w:hint="eastAsia"/>
        </w:rPr>
        <w:t>3</w:t>
      </w:r>
      <w:r>
        <w:rPr>
          <w:rFonts w:hint="eastAsia"/>
        </w:rPr>
        <w:t>日</w:t>
      </w:r>
    </w:p>
    <w:p w:rsidR="009E4DB6" w:rsidRDefault="009E4DB6"/>
    <w:p w:rsidR="009E4DB6" w:rsidRPr="00D03E61" w:rsidRDefault="00EF39C0">
      <w:pPr>
        <w:pStyle w:val="10"/>
        <w:adjustRightInd w:val="0"/>
        <w:snapToGrid w:val="0"/>
        <w:spacing w:before="0" w:line="440" w:lineRule="exact"/>
        <w:jc w:val="left"/>
        <w:rPr>
          <w:rFonts w:cstheme="minorBidi"/>
        </w:rPr>
      </w:pPr>
      <w:r w:rsidRPr="00D03E61">
        <w:rPr>
          <w:rFonts w:hint="eastAsia"/>
        </w:rPr>
        <w:t>第一部分部门概况</w:t>
      </w:r>
      <w:r w:rsidR="00406C90" w:rsidRPr="005D7D8C">
        <w:rPr>
          <w:rFonts w:cstheme="minorBidi"/>
          <w:webHidden/>
          <w:sz w:val="24"/>
        </w:rPr>
        <w:tab/>
      </w:r>
      <w:r w:rsidR="00406C90">
        <w:rPr>
          <w:rFonts w:cstheme="minorBidi" w:hint="eastAsia"/>
          <w:webHidden/>
          <w:sz w:val="24"/>
        </w:rPr>
        <w:t>4</w:t>
      </w:r>
    </w:p>
    <w:p w:rsidR="009E4DB6" w:rsidRDefault="00EF39C0">
      <w:pPr>
        <w:pStyle w:val="20"/>
        <w:adjustRightInd w:val="0"/>
        <w:snapToGrid w:val="0"/>
        <w:spacing w:line="440" w:lineRule="exact"/>
        <w:jc w:val="left"/>
        <w:rPr>
          <w:rFonts w:ascii="仿宋" w:eastAsia="仿宋" w:hAnsi="仿宋"/>
          <w:sz w:val="24"/>
        </w:rPr>
      </w:pPr>
      <w:r>
        <w:rPr>
          <w:rFonts w:hint="eastAsia"/>
          <w:sz w:val="24"/>
        </w:rPr>
        <w:t>一、部门职责</w:t>
      </w:r>
      <w:r w:rsidR="00DF06E2" w:rsidRPr="005D7D8C">
        <w:rPr>
          <w:rFonts w:cstheme="minorBidi"/>
          <w:webHidden/>
          <w:sz w:val="24"/>
        </w:rPr>
        <w:tab/>
      </w:r>
      <w:r w:rsidR="00406C90">
        <w:rPr>
          <w:rFonts w:cstheme="minorBidi" w:hint="eastAsia"/>
          <w:webHidden/>
          <w:sz w:val="24"/>
        </w:rPr>
        <w:t>4</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406C90" w:rsidRPr="005D7D8C">
        <w:rPr>
          <w:rFonts w:cstheme="minorBidi"/>
          <w:webHidden/>
          <w:sz w:val="24"/>
        </w:rPr>
        <w:tab/>
      </w:r>
      <w:r w:rsidR="00406C90">
        <w:rPr>
          <w:rFonts w:cstheme="minorBidi" w:hint="eastAsia"/>
          <w:webHidden/>
          <w:sz w:val="24"/>
        </w:rPr>
        <w:t>4</w:t>
      </w:r>
    </w:p>
    <w:p w:rsidR="009E4DB6" w:rsidRPr="00D03E61" w:rsidRDefault="00EF39C0">
      <w:pPr>
        <w:pStyle w:val="10"/>
        <w:adjustRightInd w:val="0"/>
        <w:snapToGrid w:val="0"/>
        <w:spacing w:before="0" w:line="440" w:lineRule="exact"/>
        <w:jc w:val="left"/>
      </w:pPr>
      <w:r w:rsidRPr="00D03E61">
        <w:rPr>
          <w:rFonts w:hint="eastAsia"/>
        </w:rPr>
        <w:t>第二部分 2022年度部门决算情况说明</w:t>
      </w:r>
      <w:r w:rsidR="00406C90" w:rsidRPr="005D7D8C">
        <w:rPr>
          <w:rFonts w:cstheme="minorBidi"/>
          <w:webHidden/>
          <w:sz w:val="24"/>
        </w:rPr>
        <w:tab/>
      </w:r>
      <w:r w:rsidR="00406C90">
        <w:rPr>
          <w:rFonts w:cstheme="minorBidi" w:hint="eastAsia"/>
          <w:webHidden/>
          <w:sz w:val="24"/>
        </w:rPr>
        <w:t>5</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406C90" w:rsidRPr="005D7D8C">
        <w:rPr>
          <w:rFonts w:cstheme="minorBidi"/>
          <w:webHidden/>
          <w:sz w:val="24"/>
        </w:rPr>
        <w:tab/>
      </w:r>
      <w:r w:rsidR="00406C90">
        <w:rPr>
          <w:rFonts w:cstheme="minorBidi" w:hint="eastAsia"/>
          <w:webHidden/>
          <w:sz w:val="24"/>
        </w:rPr>
        <w:t>5</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406C90" w:rsidRPr="005D7D8C">
        <w:rPr>
          <w:rFonts w:cstheme="minorBidi"/>
          <w:webHidden/>
          <w:sz w:val="24"/>
        </w:rPr>
        <w:tab/>
      </w:r>
      <w:r w:rsidR="00406C90">
        <w:rPr>
          <w:rFonts w:cstheme="minorBidi" w:hint="eastAsia"/>
          <w:webHidden/>
          <w:sz w:val="24"/>
        </w:rPr>
        <w:t>6</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406C90" w:rsidRPr="005D7D8C">
        <w:rPr>
          <w:rFonts w:cstheme="minorBidi"/>
          <w:webHidden/>
          <w:sz w:val="24"/>
        </w:rPr>
        <w:tab/>
      </w:r>
      <w:r w:rsidR="00406C90">
        <w:rPr>
          <w:rFonts w:cstheme="minorBidi" w:hint="eastAsia"/>
          <w:webHidden/>
          <w:sz w:val="24"/>
        </w:rPr>
        <w:t>6</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406C90" w:rsidRPr="005D7D8C">
        <w:rPr>
          <w:rFonts w:cstheme="minorBidi"/>
          <w:webHidden/>
          <w:sz w:val="24"/>
        </w:rPr>
        <w:tab/>
      </w:r>
      <w:r w:rsidR="00406C90">
        <w:rPr>
          <w:rFonts w:cstheme="minorBidi" w:hint="eastAsia"/>
          <w:webHidden/>
          <w:sz w:val="24"/>
        </w:rPr>
        <w:t>7</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406C90" w:rsidRPr="005D7D8C">
        <w:rPr>
          <w:rFonts w:cstheme="minorBidi"/>
          <w:webHidden/>
          <w:sz w:val="24"/>
        </w:rPr>
        <w:tab/>
      </w:r>
      <w:r w:rsidR="00406C90">
        <w:rPr>
          <w:rFonts w:cstheme="minorBidi" w:hint="eastAsia"/>
          <w:webHidden/>
          <w:sz w:val="24"/>
        </w:rPr>
        <w:t>7</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406C90" w:rsidRPr="005D7D8C">
        <w:rPr>
          <w:rFonts w:cstheme="minorBidi"/>
          <w:webHidden/>
          <w:sz w:val="24"/>
        </w:rPr>
        <w:tab/>
      </w:r>
      <w:r w:rsidR="00406C90">
        <w:rPr>
          <w:rFonts w:cstheme="minorBidi" w:hint="eastAsia"/>
          <w:webHidden/>
          <w:sz w:val="24"/>
        </w:rPr>
        <w:t>11</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406C90" w:rsidRPr="005D7D8C">
        <w:rPr>
          <w:rFonts w:cstheme="minorBidi"/>
          <w:webHidden/>
          <w:sz w:val="24"/>
        </w:rPr>
        <w:tab/>
      </w:r>
      <w:r w:rsidR="00406C90">
        <w:rPr>
          <w:rFonts w:cstheme="minorBidi" w:hint="eastAsia"/>
          <w:webHidden/>
          <w:sz w:val="24"/>
        </w:rPr>
        <w:t>12</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406C90" w:rsidRPr="005D7D8C">
        <w:rPr>
          <w:rFonts w:cstheme="minorBidi"/>
          <w:webHidden/>
          <w:sz w:val="24"/>
        </w:rPr>
        <w:tab/>
      </w:r>
      <w:r w:rsidR="00406C90">
        <w:rPr>
          <w:rFonts w:cstheme="minorBidi" w:hint="eastAsia"/>
          <w:webHidden/>
          <w:sz w:val="24"/>
        </w:rPr>
        <w:t>14</w:t>
      </w:r>
    </w:p>
    <w:p w:rsidR="009E4DB6" w:rsidRDefault="00EF39C0">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406C90" w:rsidRPr="005D7D8C">
        <w:rPr>
          <w:rFonts w:cstheme="minorBidi"/>
          <w:webHidden/>
          <w:sz w:val="24"/>
        </w:rPr>
        <w:tab/>
      </w:r>
      <w:r w:rsidR="00406C90">
        <w:rPr>
          <w:rFonts w:cstheme="minorBidi" w:hint="eastAsia"/>
          <w:webHidden/>
          <w:sz w:val="24"/>
        </w:rPr>
        <w:t>15</w:t>
      </w:r>
    </w:p>
    <w:p w:rsidR="009E4DB6" w:rsidRDefault="00EF39C0">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sidR="00406C90">
        <w:rPr>
          <w:rFonts w:asciiTheme="minorEastAsia" w:eastAsiaTheme="minorEastAsia" w:hAnsiTheme="minorEastAsia" w:cstheme="minorEastAsia" w:hint="eastAsia"/>
          <w:sz w:val="24"/>
        </w:rPr>
        <w:t>其他重要事项的情况说</w:t>
      </w:r>
      <w:r>
        <w:rPr>
          <w:rFonts w:asciiTheme="minorEastAsia" w:eastAsiaTheme="minorEastAsia" w:hAnsiTheme="minorEastAsia" w:cstheme="minorEastAsia" w:hint="eastAsia"/>
          <w:sz w:val="24"/>
        </w:rPr>
        <w:t>明</w:t>
      </w:r>
      <w:r w:rsidR="00406C90">
        <w:rPr>
          <w:rFonts w:cstheme="minorBidi"/>
          <w:webHidden/>
          <w:sz w:val="24"/>
        </w:rPr>
        <w:t>…………………………………………………</w:t>
      </w:r>
      <w:r w:rsidR="00406C90">
        <w:rPr>
          <w:rFonts w:cstheme="minorBidi" w:hint="eastAsia"/>
          <w:webHidden/>
          <w:sz w:val="24"/>
        </w:rPr>
        <w:t>15</w:t>
      </w:r>
    </w:p>
    <w:p w:rsidR="009E4DB6" w:rsidRPr="00D03E61" w:rsidRDefault="00EF39C0">
      <w:pPr>
        <w:pStyle w:val="10"/>
        <w:adjustRightInd w:val="0"/>
        <w:snapToGrid w:val="0"/>
        <w:spacing w:before="0" w:line="440" w:lineRule="exact"/>
        <w:jc w:val="left"/>
        <w:rPr>
          <w:rFonts w:cstheme="minorBidi"/>
        </w:rPr>
      </w:pPr>
      <w:r w:rsidRPr="00D03E61">
        <w:rPr>
          <w:rFonts w:hint="eastAsia"/>
        </w:rPr>
        <w:t>第三部分名词解释</w:t>
      </w:r>
      <w:r w:rsidR="00406C90" w:rsidRPr="005D7D8C">
        <w:rPr>
          <w:rFonts w:cstheme="minorBidi"/>
          <w:webHidden/>
          <w:sz w:val="24"/>
        </w:rPr>
        <w:tab/>
      </w:r>
      <w:r w:rsidR="00406C90">
        <w:rPr>
          <w:rFonts w:cstheme="minorBidi" w:hint="eastAsia"/>
          <w:webHidden/>
          <w:sz w:val="24"/>
        </w:rPr>
        <w:t>18</w:t>
      </w:r>
    </w:p>
    <w:p w:rsidR="009E4DB6" w:rsidRPr="00D03E61" w:rsidRDefault="00EF39C0">
      <w:pPr>
        <w:pStyle w:val="10"/>
        <w:adjustRightInd w:val="0"/>
        <w:snapToGrid w:val="0"/>
        <w:spacing w:before="0" w:line="440" w:lineRule="exact"/>
        <w:jc w:val="left"/>
        <w:rPr>
          <w:rFonts w:cstheme="minorBidi"/>
        </w:rPr>
      </w:pPr>
      <w:r w:rsidRPr="00D03E61">
        <w:rPr>
          <w:rFonts w:hint="eastAsia"/>
        </w:rPr>
        <w:t>第四部分附件</w:t>
      </w:r>
      <w:r w:rsidR="00406C90" w:rsidRPr="005D7D8C">
        <w:rPr>
          <w:rFonts w:cstheme="minorBidi"/>
          <w:webHidden/>
          <w:sz w:val="24"/>
        </w:rPr>
        <w:tab/>
      </w:r>
      <w:r w:rsidR="00406C90">
        <w:rPr>
          <w:rFonts w:cstheme="minorBidi" w:hint="eastAsia"/>
          <w:webHidden/>
          <w:sz w:val="24"/>
        </w:rPr>
        <w:t>22</w:t>
      </w:r>
    </w:p>
    <w:p w:rsidR="009E4DB6" w:rsidRPr="00D03E61" w:rsidRDefault="00EF39C0">
      <w:pPr>
        <w:pStyle w:val="10"/>
        <w:adjustRightInd w:val="0"/>
        <w:snapToGrid w:val="0"/>
        <w:spacing w:before="0" w:line="440" w:lineRule="exact"/>
        <w:jc w:val="left"/>
        <w:rPr>
          <w:rFonts w:cstheme="minorBidi"/>
        </w:rPr>
      </w:pPr>
      <w:r w:rsidRPr="00D03E61">
        <w:rPr>
          <w:rFonts w:hint="eastAsia"/>
        </w:rPr>
        <w:t>第五部分附表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一、收入支出决算总表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二、收入决算表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三、支出决算表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四、财政拨款收入支出决算总表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五、财政拨款支出决算明细表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六、一般公共预算财政拨款支出决算表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七、一般公共预算财政拨款支出决算明细表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八、一般公共预算财政拨款基本支出决算明细表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九、一般公共预算财政拨款项目支出决算表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lastRenderedPageBreak/>
        <w:t>十、政府性基金预算财政拨款收入支出决算表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十一、国有资本经营预算财政拨款收入支出决算表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sz w:val="24"/>
        </w:rPr>
      </w:pPr>
      <w:r>
        <w:rPr>
          <w:rFonts w:hint="eastAsia"/>
          <w:sz w:val="24"/>
        </w:rPr>
        <w:t>十二、国有资本经营预算财政拨款支出决算表</w:t>
      </w:r>
      <w:r w:rsidR="00406C90" w:rsidRPr="005D7D8C">
        <w:rPr>
          <w:rFonts w:cstheme="minorBidi"/>
          <w:webHidden/>
          <w:sz w:val="24"/>
        </w:rPr>
        <w:tab/>
      </w:r>
      <w:r w:rsidR="00406C90">
        <w:rPr>
          <w:rFonts w:cstheme="minorBidi" w:hint="eastAsia"/>
          <w:webHidden/>
          <w:sz w:val="24"/>
        </w:rPr>
        <w:t>34</w:t>
      </w:r>
    </w:p>
    <w:p w:rsidR="009E4DB6" w:rsidRDefault="00EF39C0">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r w:rsidR="00406C90" w:rsidRPr="005D7D8C">
        <w:rPr>
          <w:rFonts w:cstheme="minorBidi"/>
          <w:webHidden/>
          <w:sz w:val="24"/>
        </w:rPr>
        <w:tab/>
      </w:r>
      <w:r w:rsidR="00406C90">
        <w:rPr>
          <w:rFonts w:cstheme="minorBidi" w:hint="eastAsia"/>
          <w:webHidden/>
          <w:sz w:val="24"/>
        </w:rPr>
        <w:t>34</w:t>
      </w:r>
    </w:p>
    <w:p w:rsidR="009E4DB6" w:rsidRDefault="00EF39C0">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9E4DB6" w:rsidRDefault="00EF39C0">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9E4DB6" w:rsidRDefault="00EF39C0" w:rsidP="00DC4B63">
      <w:pPr>
        <w:pStyle w:val="2"/>
        <w:numPr>
          <w:ilvl w:val="0"/>
          <w:numId w:val="7"/>
        </w:numPr>
        <w:rPr>
          <w:rFonts w:ascii="黑体" w:eastAsia="黑体" w:hAnsi="黑体"/>
          <w:b w:val="0"/>
        </w:rPr>
      </w:pPr>
      <w:r>
        <w:rPr>
          <w:rFonts w:ascii="黑体" w:eastAsia="黑体" w:hAnsi="黑体" w:hint="eastAsia"/>
          <w:b w:val="0"/>
        </w:rPr>
        <w:t>部门职责</w:t>
      </w:r>
    </w:p>
    <w:p w:rsidR="00DC4B63" w:rsidRPr="00F170F0" w:rsidRDefault="00F170F0" w:rsidP="00F170F0">
      <w:pPr>
        <w:ind w:firstLineChars="200" w:firstLine="640"/>
        <w:rPr>
          <w:rFonts w:ascii="仿宋" w:eastAsia="仿宋" w:hAnsi="仿宋"/>
          <w:sz w:val="32"/>
          <w:szCs w:val="32"/>
        </w:rPr>
      </w:pPr>
      <w:r w:rsidRPr="00F170F0">
        <w:rPr>
          <w:rFonts w:ascii="仿宋" w:eastAsia="仿宋" w:hAnsi="仿宋" w:hint="eastAsia"/>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p>
    <w:p w:rsidR="009E4DB6" w:rsidRDefault="00EF39C0">
      <w:pPr>
        <w:pStyle w:val="2"/>
        <w:rPr>
          <w:rStyle w:val="2Char"/>
        </w:rPr>
      </w:pPr>
      <w:bookmarkStart w:id="14" w:name="_Toc15377200"/>
      <w:bookmarkStart w:id="15"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4"/>
      <w:bookmarkEnd w:id="15"/>
    </w:p>
    <w:p w:rsidR="009E4DB6" w:rsidRDefault="00F170F0" w:rsidP="00BB664D">
      <w:pPr>
        <w:ind w:firstLineChars="200" w:firstLine="640"/>
        <w:rPr>
          <w:rFonts w:ascii="仿宋" w:eastAsia="仿宋" w:hAnsi="仿宋"/>
          <w:sz w:val="32"/>
          <w:szCs w:val="32"/>
        </w:rPr>
      </w:pPr>
      <w:r>
        <w:rPr>
          <w:rFonts w:ascii="仿宋" w:eastAsia="仿宋" w:hAnsi="仿宋" w:hint="eastAsia"/>
          <w:sz w:val="32"/>
          <w:szCs w:val="32"/>
        </w:rPr>
        <w:t>攀枝花市公安局</w:t>
      </w:r>
      <w:r w:rsidR="00EF39C0">
        <w:rPr>
          <w:rFonts w:ascii="仿宋" w:eastAsia="仿宋" w:hAnsi="仿宋" w:hint="eastAsia"/>
          <w:sz w:val="32"/>
          <w:szCs w:val="32"/>
        </w:rPr>
        <w:t>下属二级预算单位</w:t>
      </w:r>
      <w:r>
        <w:rPr>
          <w:rFonts w:ascii="仿宋" w:eastAsia="仿宋" w:hAnsi="仿宋" w:hint="eastAsia"/>
          <w:sz w:val="32"/>
          <w:szCs w:val="32"/>
        </w:rPr>
        <w:t>4</w:t>
      </w:r>
      <w:r w:rsidR="00EF39C0">
        <w:rPr>
          <w:rFonts w:ascii="仿宋" w:eastAsia="仿宋" w:hAnsi="仿宋" w:hint="eastAsia"/>
          <w:sz w:val="32"/>
          <w:szCs w:val="32"/>
        </w:rPr>
        <w:t>个，其中行政单位</w:t>
      </w:r>
      <w:r>
        <w:rPr>
          <w:rFonts w:ascii="仿宋" w:eastAsia="仿宋" w:hAnsi="仿宋" w:hint="eastAsia"/>
          <w:sz w:val="32"/>
          <w:szCs w:val="32"/>
        </w:rPr>
        <w:t>4</w:t>
      </w:r>
      <w:r w:rsidR="00EF39C0">
        <w:rPr>
          <w:rFonts w:ascii="仿宋" w:eastAsia="仿宋" w:hAnsi="仿宋" w:hint="eastAsia"/>
          <w:sz w:val="32"/>
          <w:szCs w:val="32"/>
        </w:rPr>
        <w:t>个，参照公务员法管理的事业单位</w:t>
      </w:r>
      <w:r>
        <w:rPr>
          <w:rFonts w:ascii="仿宋" w:eastAsia="仿宋" w:hAnsi="仿宋" w:hint="eastAsia"/>
          <w:bCs/>
          <w:sz w:val="32"/>
          <w:szCs w:val="32"/>
        </w:rPr>
        <w:t>0</w:t>
      </w:r>
      <w:r w:rsidR="00EF39C0">
        <w:rPr>
          <w:rFonts w:ascii="仿宋" w:eastAsia="仿宋" w:hAnsi="仿宋" w:hint="eastAsia"/>
          <w:sz w:val="32"/>
          <w:szCs w:val="32"/>
        </w:rPr>
        <w:t>个，其他事业单位</w:t>
      </w:r>
      <w:r>
        <w:rPr>
          <w:rFonts w:ascii="仿宋" w:eastAsia="仿宋" w:hAnsi="仿宋" w:hint="eastAsia"/>
          <w:sz w:val="32"/>
          <w:szCs w:val="32"/>
        </w:rPr>
        <w:t>0</w:t>
      </w:r>
      <w:r w:rsidR="00EF39C0">
        <w:rPr>
          <w:rFonts w:ascii="仿宋" w:eastAsia="仿宋" w:hAnsi="仿宋" w:hint="eastAsia"/>
          <w:sz w:val="32"/>
          <w:szCs w:val="32"/>
        </w:rPr>
        <w:t>个。</w:t>
      </w:r>
    </w:p>
    <w:p w:rsidR="009E4DB6" w:rsidRDefault="00EF39C0">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w:t>
      </w:r>
      <w:r w:rsidR="00F170F0">
        <w:rPr>
          <w:rFonts w:ascii="仿宋" w:eastAsia="仿宋" w:hAnsi="仿宋" w:hint="eastAsia"/>
          <w:sz w:val="32"/>
          <w:szCs w:val="32"/>
        </w:rPr>
        <w:t>攀枝花市公安局</w:t>
      </w:r>
      <w:r>
        <w:rPr>
          <w:rFonts w:ascii="仿宋" w:eastAsia="仿宋" w:hAnsi="仿宋" w:hint="eastAsia"/>
          <w:sz w:val="32"/>
          <w:szCs w:val="32"/>
        </w:rPr>
        <w:t>2022年度部门决算编制范围的二级预算单位包括：</w:t>
      </w:r>
    </w:p>
    <w:p w:rsidR="00F170F0" w:rsidRPr="00F170F0" w:rsidRDefault="00F170F0">
      <w:pPr>
        <w:pStyle w:val="a0"/>
        <w:numPr>
          <w:ilvl w:val="0"/>
          <w:numId w:val="1"/>
        </w:numPr>
        <w:adjustRightInd w:val="0"/>
        <w:snapToGrid w:val="0"/>
        <w:spacing w:before="93" w:line="600" w:lineRule="exact"/>
        <w:outlineLvl w:val="2"/>
        <w:rPr>
          <w:rFonts w:ascii="仿宋" w:eastAsia="仿宋" w:hAnsi="仿宋"/>
          <w:sz w:val="32"/>
          <w:szCs w:val="32"/>
        </w:rPr>
      </w:pPr>
      <w:bookmarkStart w:id="16" w:name="_Toc15377202"/>
      <w:bookmarkStart w:id="17" w:name="_Toc15378449"/>
      <w:bookmarkStart w:id="18" w:name="_Toc15377433"/>
      <w:bookmarkStart w:id="19" w:name="_Toc15306276"/>
      <w:r w:rsidRPr="00F170F0">
        <w:rPr>
          <w:rFonts w:ascii="仿宋" w:eastAsia="仿宋" w:hAnsi="仿宋" w:hint="eastAsia"/>
          <w:sz w:val="32"/>
          <w:szCs w:val="32"/>
        </w:rPr>
        <w:t>攀枝花市公安局（本级）</w:t>
      </w:r>
    </w:p>
    <w:bookmarkEnd w:id="16"/>
    <w:bookmarkEnd w:id="17"/>
    <w:bookmarkEnd w:id="18"/>
    <w:bookmarkEnd w:id="19"/>
    <w:p w:rsidR="009E4DB6" w:rsidRDefault="00F170F0">
      <w:pPr>
        <w:pStyle w:val="a0"/>
        <w:numPr>
          <w:ilvl w:val="0"/>
          <w:numId w:val="1"/>
        </w:numPr>
        <w:adjustRightInd w:val="0"/>
        <w:snapToGrid w:val="0"/>
        <w:spacing w:before="93" w:line="600" w:lineRule="exact"/>
        <w:outlineLvl w:val="2"/>
        <w:rPr>
          <w:rFonts w:ascii="仿宋" w:eastAsia="仿宋" w:hAnsi="仿宋"/>
          <w:sz w:val="32"/>
          <w:szCs w:val="32"/>
        </w:rPr>
      </w:pPr>
      <w:r>
        <w:rPr>
          <w:rFonts w:ascii="仿宋" w:eastAsia="仿宋" w:hAnsi="仿宋" w:hint="eastAsia"/>
          <w:sz w:val="32"/>
          <w:szCs w:val="32"/>
        </w:rPr>
        <w:t>攀枝花市公安局东区分局</w:t>
      </w:r>
    </w:p>
    <w:p w:rsidR="009E4DB6" w:rsidRDefault="00F170F0">
      <w:pPr>
        <w:pStyle w:val="a0"/>
        <w:numPr>
          <w:ilvl w:val="0"/>
          <w:numId w:val="1"/>
        </w:numPr>
        <w:adjustRightInd w:val="0"/>
        <w:snapToGrid w:val="0"/>
        <w:spacing w:before="93" w:line="600" w:lineRule="exact"/>
        <w:outlineLvl w:val="2"/>
        <w:rPr>
          <w:rFonts w:ascii="仿宋" w:eastAsia="仿宋" w:hAnsi="仿宋"/>
          <w:sz w:val="32"/>
          <w:szCs w:val="32"/>
        </w:rPr>
      </w:pPr>
      <w:r>
        <w:rPr>
          <w:rFonts w:ascii="仿宋" w:eastAsia="仿宋" w:hAnsi="仿宋" w:hint="eastAsia"/>
          <w:sz w:val="32"/>
          <w:szCs w:val="32"/>
        </w:rPr>
        <w:t>攀枝花市公安局西区分局</w:t>
      </w:r>
    </w:p>
    <w:p w:rsidR="00F170F0" w:rsidRDefault="00F170F0">
      <w:pPr>
        <w:pStyle w:val="a0"/>
        <w:numPr>
          <w:ilvl w:val="0"/>
          <w:numId w:val="1"/>
        </w:numPr>
        <w:adjustRightInd w:val="0"/>
        <w:snapToGrid w:val="0"/>
        <w:spacing w:before="93" w:line="600" w:lineRule="exact"/>
        <w:outlineLvl w:val="2"/>
        <w:rPr>
          <w:rFonts w:ascii="仿宋" w:eastAsia="仿宋" w:hAnsi="仿宋"/>
          <w:sz w:val="32"/>
          <w:szCs w:val="32"/>
        </w:rPr>
      </w:pPr>
      <w:r>
        <w:rPr>
          <w:rFonts w:ascii="仿宋" w:eastAsia="仿宋" w:hAnsi="仿宋" w:hint="eastAsia"/>
          <w:sz w:val="32"/>
          <w:szCs w:val="32"/>
        </w:rPr>
        <w:t>攀枝花市公安局仁和区分局</w:t>
      </w:r>
    </w:p>
    <w:p w:rsidR="009E4DB6" w:rsidRDefault="00EF39C0">
      <w:pPr>
        <w:widowControl/>
        <w:jc w:val="left"/>
        <w:rPr>
          <w:rFonts w:ascii="仿宋" w:eastAsia="仿宋" w:hAnsi="仿宋"/>
          <w:kern w:val="0"/>
          <w:sz w:val="32"/>
          <w:szCs w:val="32"/>
        </w:rPr>
      </w:pPr>
      <w:r>
        <w:rPr>
          <w:rFonts w:ascii="仿宋" w:eastAsia="仿宋" w:hAnsi="仿宋"/>
          <w:sz w:val="32"/>
          <w:szCs w:val="32"/>
        </w:rPr>
        <w:br w:type="page"/>
      </w:r>
    </w:p>
    <w:p w:rsidR="009E4DB6" w:rsidRDefault="00EF39C0">
      <w:pPr>
        <w:pStyle w:val="1"/>
        <w:ind w:right="440"/>
        <w:jc w:val="center"/>
        <w:rPr>
          <w:rStyle w:val="1Char"/>
          <w:rFonts w:ascii="黑体" w:eastAsia="黑体" w:hAnsi="黑体"/>
          <w:bCs/>
        </w:rPr>
      </w:pPr>
      <w:bookmarkStart w:id="20" w:name="_Toc15377204"/>
      <w:bookmarkStart w:id="21" w:name="_Toc15396602"/>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20"/>
      <w:bookmarkEnd w:id="21"/>
    </w:p>
    <w:p w:rsidR="009E4DB6" w:rsidRDefault="009E4DB6"/>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22" w:name="_Toc15396603"/>
      <w:bookmarkStart w:id="23"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2"/>
      <w:bookmarkEnd w:id="23"/>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sidR="008C5A4B">
        <w:rPr>
          <w:rFonts w:ascii="仿宋" w:eastAsia="仿宋" w:hAnsi="仿宋" w:hint="eastAsia"/>
          <w:sz w:val="32"/>
          <w:szCs w:val="32"/>
        </w:rPr>
        <w:t>59907.99</w:t>
      </w:r>
      <w:r>
        <w:rPr>
          <w:rFonts w:ascii="仿宋" w:eastAsia="仿宋" w:hAnsi="仿宋" w:hint="eastAsia"/>
          <w:sz w:val="32"/>
          <w:szCs w:val="32"/>
        </w:rPr>
        <w:t>万元。与2021年相比，收、支总计增加</w:t>
      </w:r>
      <w:r w:rsidR="008C5A4B">
        <w:rPr>
          <w:rFonts w:ascii="仿宋" w:eastAsia="仿宋" w:hAnsi="仿宋" w:hint="eastAsia"/>
          <w:sz w:val="32"/>
          <w:szCs w:val="32"/>
        </w:rPr>
        <w:t>1751.69</w:t>
      </w:r>
      <w:r>
        <w:rPr>
          <w:rFonts w:ascii="仿宋" w:eastAsia="仿宋" w:hAnsi="仿宋" w:hint="eastAsia"/>
          <w:sz w:val="32"/>
          <w:szCs w:val="32"/>
        </w:rPr>
        <w:t>万元，增长</w:t>
      </w:r>
      <w:r w:rsidR="008C5A4B">
        <w:rPr>
          <w:rFonts w:ascii="仿宋" w:eastAsia="仿宋" w:hAnsi="仿宋" w:hint="eastAsia"/>
          <w:sz w:val="32"/>
          <w:szCs w:val="32"/>
        </w:rPr>
        <w:t>3.01</w:t>
      </w:r>
      <w:r>
        <w:rPr>
          <w:rFonts w:ascii="仿宋" w:eastAsia="仿宋" w:hAnsi="仿宋"/>
          <w:sz w:val="32"/>
          <w:szCs w:val="32"/>
        </w:rPr>
        <w:t>%</w:t>
      </w:r>
      <w:r>
        <w:rPr>
          <w:rFonts w:ascii="仿宋" w:eastAsia="仿宋" w:hAnsi="仿宋" w:hint="eastAsia"/>
          <w:sz w:val="32"/>
          <w:szCs w:val="32"/>
        </w:rPr>
        <w:t>。主要变动原因是</w:t>
      </w:r>
      <w:r w:rsidR="008C5A4B">
        <w:rPr>
          <w:rFonts w:ascii="仿宋_GB2312" w:eastAsia="仿宋_GB2312" w:hAnsi="仿宋" w:hint="eastAsia"/>
          <w:sz w:val="32"/>
          <w:szCs w:val="32"/>
        </w:rPr>
        <w:t>市公安局（本级）收到非同级财政拨款园区辅警经费646.4万元，年度内根据工作进度予以支出</w:t>
      </w:r>
      <w:r w:rsidR="008C5A4B">
        <w:rPr>
          <w:rFonts w:ascii="仿宋" w:eastAsia="仿宋" w:hAnsi="仿宋" w:hint="eastAsia"/>
          <w:sz w:val="32"/>
          <w:szCs w:val="32"/>
        </w:rPr>
        <w:t>；</w:t>
      </w:r>
      <w:r w:rsidR="008C5A4B">
        <w:rPr>
          <w:rFonts w:ascii="仿宋_GB2312" w:eastAsia="仿宋_GB2312" w:hAnsi="仿宋" w:hint="eastAsia"/>
          <w:sz w:val="32"/>
          <w:szCs w:val="32"/>
        </w:rPr>
        <w:t>仁和区公安分局</w:t>
      </w:r>
      <w:r w:rsidR="008C5A4B" w:rsidRPr="00B44918">
        <w:rPr>
          <w:rFonts w:ascii="仿宋_GB2312" w:eastAsia="仿宋_GB2312" w:hAnsi="仿宋" w:hint="eastAsia"/>
          <w:sz w:val="32"/>
          <w:szCs w:val="32"/>
        </w:rPr>
        <w:t>2022年度</w:t>
      </w:r>
      <w:r w:rsidR="008C5A4B">
        <w:rPr>
          <w:rFonts w:ascii="仿宋_GB2312" w:eastAsia="仿宋_GB2312" w:hAnsi="仿宋" w:hint="eastAsia"/>
          <w:sz w:val="32"/>
          <w:szCs w:val="32"/>
        </w:rPr>
        <w:t>由区财政安排</w:t>
      </w:r>
      <w:r w:rsidR="008C5A4B" w:rsidRPr="00B44918">
        <w:rPr>
          <w:rFonts w:ascii="仿宋_GB2312" w:eastAsia="仿宋_GB2312" w:hAnsi="仿宋" w:hint="eastAsia"/>
          <w:sz w:val="32"/>
          <w:szCs w:val="32"/>
        </w:rPr>
        <w:t>警务辅助人员经费1</w:t>
      </w:r>
      <w:r w:rsidR="008C5A4B">
        <w:rPr>
          <w:rFonts w:ascii="仿宋_GB2312" w:eastAsia="仿宋_GB2312" w:hAnsi="仿宋" w:hint="eastAsia"/>
          <w:sz w:val="32"/>
          <w:szCs w:val="32"/>
        </w:rPr>
        <w:t>460.62万</w:t>
      </w:r>
      <w:r w:rsidR="008C5A4B" w:rsidRPr="00B44918">
        <w:rPr>
          <w:rFonts w:ascii="仿宋_GB2312" w:eastAsia="仿宋_GB2312" w:hAnsi="仿宋" w:hint="eastAsia"/>
          <w:sz w:val="32"/>
          <w:szCs w:val="32"/>
        </w:rPr>
        <w:t>元</w:t>
      </w:r>
      <w:r w:rsidR="008C5A4B">
        <w:rPr>
          <w:rFonts w:ascii="仿宋_GB2312" w:eastAsia="仿宋_GB2312" w:hAnsi="仿宋" w:hint="eastAsia"/>
          <w:sz w:val="32"/>
          <w:szCs w:val="32"/>
        </w:rPr>
        <w:t>、</w:t>
      </w:r>
      <w:r w:rsidR="008C5A4B" w:rsidRPr="00B44918">
        <w:rPr>
          <w:rFonts w:ascii="仿宋_GB2312" w:eastAsia="仿宋_GB2312" w:hAnsi="仿宋" w:hint="eastAsia"/>
          <w:sz w:val="32"/>
          <w:szCs w:val="32"/>
        </w:rPr>
        <w:t>莲花派出所建设工程款70</w:t>
      </w:r>
      <w:r w:rsidR="008C5A4B">
        <w:rPr>
          <w:rFonts w:ascii="仿宋_GB2312" w:eastAsia="仿宋_GB2312" w:hAnsi="仿宋" w:hint="eastAsia"/>
          <w:sz w:val="32"/>
          <w:szCs w:val="32"/>
        </w:rPr>
        <w:t>万</w:t>
      </w:r>
      <w:r w:rsidR="008C5A4B" w:rsidRPr="00B44918">
        <w:rPr>
          <w:rFonts w:ascii="仿宋_GB2312" w:eastAsia="仿宋_GB2312" w:hAnsi="仿宋" w:hint="eastAsia"/>
          <w:sz w:val="32"/>
          <w:szCs w:val="32"/>
        </w:rPr>
        <w:t>元</w:t>
      </w:r>
      <w:r w:rsidR="008C5A4B">
        <w:rPr>
          <w:rFonts w:ascii="仿宋_GB2312" w:eastAsia="仿宋_GB2312" w:hAnsi="仿宋" w:hint="eastAsia"/>
          <w:sz w:val="32"/>
          <w:szCs w:val="32"/>
        </w:rPr>
        <w:t>等因素致2022年度收支总计均</w:t>
      </w:r>
      <w:r w:rsidR="00D15CA7">
        <w:rPr>
          <w:rFonts w:ascii="仿宋_GB2312" w:eastAsia="仿宋_GB2312" w:hAnsi="仿宋" w:hint="eastAsia"/>
          <w:sz w:val="32"/>
          <w:szCs w:val="32"/>
        </w:rPr>
        <w:t>发生</w:t>
      </w:r>
      <w:r w:rsidR="008C5A4B">
        <w:rPr>
          <w:rFonts w:ascii="仿宋_GB2312" w:eastAsia="仿宋_GB2312" w:hAnsi="仿宋" w:hint="eastAsia"/>
          <w:sz w:val="32"/>
          <w:szCs w:val="32"/>
        </w:rPr>
        <w:t>增加。</w:t>
      </w:r>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sidR="00632616">
        <w:rPr>
          <w:rFonts w:ascii="仿宋" w:eastAsia="仿宋" w:hAnsi="仿宋" w:hint="eastAsia"/>
          <w:sz w:val="32"/>
          <w:szCs w:val="32"/>
        </w:rPr>
        <w:t>：收、支决算总计变动情况图，金额单位：万元）</w:t>
      </w:r>
    </w:p>
    <w:p w:rsidR="00632616" w:rsidRDefault="00632616" w:rsidP="00632616">
      <w:pPr>
        <w:pStyle w:val="a0"/>
        <w:spacing w:before="93"/>
      </w:pPr>
    </w:p>
    <w:p w:rsidR="00632616" w:rsidRDefault="00632616" w:rsidP="00632616">
      <w:pPr>
        <w:pStyle w:val="a0"/>
        <w:spacing w:before="93"/>
      </w:pPr>
      <w:r>
        <w:rPr>
          <w:rFonts w:hint="eastAsia"/>
          <w:noProof/>
        </w:rPr>
        <w:drawing>
          <wp:anchor distT="0" distB="0" distL="114300" distR="114300" simplePos="0" relativeHeight="251659264" behindDoc="0" locked="0" layoutInCell="1" allowOverlap="1">
            <wp:simplePos x="0" y="0"/>
            <wp:positionH relativeFrom="column">
              <wp:posOffset>943610</wp:posOffset>
            </wp:positionH>
            <wp:positionV relativeFrom="paragraph">
              <wp:posOffset>43180</wp:posOffset>
            </wp:positionV>
            <wp:extent cx="3469005" cy="2355850"/>
            <wp:effectExtent l="0" t="0" r="0" b="0"/>
            <wp:wrapTight wrapText="bothSides">
              <wp:wrapPolygon edited="0">
                <wp:start x="949" y="2271"/>
                <wp:lineTo x="949" y="3319"/>
                <wp:lineTo x="4270" y="5415"/>
                <wp:lineTo x="1068" y="5589"/>
                <wp:lineTo x="1186" y="6637"/>
                <wp:lineTo x="10794" y="8209"/>
                <wp:lineTo x="1068" y="8733"/>
                <wp:lineTo x="1068" y="9781"/>
                <wp:lineTo x="18030" y="11004"/>
                <wp:lineTo x="1068" y="12052"/>
                <wp:lineTo x="1068" y="13100"/>
                <wp:lineTo x="10794" y="13798"/>
                <wp:lineTo x="1068" y="15196"/>
                <wp:lineTo x="1068" y="16244"/>
                <wp:lineTo x="10794" y="16593"/>
                <wp:lineTo x="1068" y="18340"/>
                <wp:lineTo x="1068" y="19388"/>
                <wp:lineTo x="5694" y="19737"/>
                <wp:lineTo x="5575" y="20960"/>
                <wp:lineTo x="7829" y="21309"/>
                <wp:lineTo x="14708" y="21309"/>
                <wp:lineTo x="15183" y="20086"/>
                <wp:lineTo x="14471" y="19562"/>
                <wp:lineTo x="10675" y="19388"/>
                <wp:lineTo x="10794" y="13798"/>
                <wp:lineTo x="11862" y="13798"/>
                <wp:lineTo x="20876" y="11353"/>
                <wp:lineTo x="20876" y="11004"/>
                <wp:lineTo x="21351" y="9606"/>
                <wp:lineTo x="20876" y="8209"/>
                <wp:lineTo x="10675" y="8209"/>
                <wp:lineTo x="9608" y="4891"/>
                <wp:lineTo x="8185" y="4192"/>
                <wp:lineTo x="3558" y="2271"/>
                <wp:lineTo x="949" y="2271"/>
              </wp:wrapPolygon>
            </wp:wrapTight>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32616" w:rsidRPr="00632616" w:rsidRDefault="00632616" w:rsidP="00632616">
      <w:pPr>
        <w:pStyle w:val="a0"/>
        <w:spacing w:before="93"/>
      </w:pPr>
    </w:p>
    <w:p w:rsidR="008C5A4B" w:rsidRDefault="008C5A4B" w:rsidP="008C5A4B">
      <w:pPr>
        <w:pStyle w:val="a0"/>
        <w:spacing w:before="93"/>
      </w:pPr>
    </w:p>
    <w:p w:rsidR="008C5A4B" w:rsidRDefault="008C5A4B" w:rsidP="008C5A4B">
      <w:pPr>
        <w:pStyle w:val="a0"/>
        <w:spacing w:before="93"/>
      </w:pPr>
    </w:p>
    <w:p w:rsidR="008C5A4B" w:rsidRDefault="008C5A4B" w:rsidP="008C5A4B">
      <w:pPr>
        <w:pStyle w:val="a0"/>
        <w:spacing w:before="93"/>
      </w:pPr>
    </w:p>
    <w:p w:rsidR="008C5A4B" w:rsidRDefault="008C5A4B" w:rsidP="008C5A4B">
      <w:pPr>
        <w:pStyle w:val="a0"/>
        <w:spacing w:before="93"/>
      </w:pPr>
    </w:p>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24" w:name="_Toc15377206"/>
      <w:bookmarkStart w:id="25"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4"/>
      <w:bookmarkEnd w:id="25"/>
    </w:p>
    <w:p w:rsidR="009E4DB6" w:rsidRDefault="00EF39C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sidR="00632616" w:rsidRPr="00632616">
        <w:rPr>
          <w:rFonts w:ascii="仿宋" w:eastAsia="仿宋" w:hAnsi="仿宋"/>
          <w:sz w:val="32"/>
          <w:szCs w:val="32"/>
        </w:rPr>
        <w:t>55262.17</w:t>
      </w:r>
      <w:r>
        <w:rPr>
          <w:rFonts w:ascii="仿宋" w:eastAsia="仿宋" w:hAnsi="仿宋" w:hint="eastAsia"/>
          <w:sz w:val="32"/>
          <w:szCs w:val="32"/>
        </w:rPr>
        <w:t>万元，其中：一般公共预算财政拨款收入</w:t>
      </w:r>
      <w:r w:rsidR="00632616" w:rsidRPr="00632616">
        <w:rPr>
          <w:rFonts w:ascii="仿宋" w:eastAsia="仿宋" w:hAnsi="仿宋"/>
          <w:sz w:val="32"/>
          <w:szCs w:val="32"/>
        </w:rPr>
        <w:t>52532.81</w:t>
      </w:r>
      <w:r>
        <w:rPr>
          <w:rFonts w:ascii="仿宋" w:eastAsia="仿宋" w:hAnsi="仿宋" w:hint="eastAsia"/>
          <w:sz w:val="32"/>
          <w:szCs w:val="32"/>
        </w:rPr>
        <w:t>万元，占</w:t>
      </w:r>
      <w:r w:rsidR="00632616">
        <w:rPr>
          <w:rFonts w:ascii="仿宋" w:eastAsia="仿宋" w:hAnsi="仿宋" w:hint="eastAsia"/>
          <w:sz w:val="32"/>
          <w:szCs w:val="32"/>
        </w:rPr>
        <w:t>95.06</w:t>
      </w:r>
      <w:r>
        <w:rPr>
          <w:rFonts w:ascii="仿宋" w:eastAsia="仿宋" w:hAnsi="仿宋"/>
          <w:sz w:val="32"/>
          <w:szCs w:val="32"/>
        </w:rPr>
        <w:t>%</w:t>
      </w:r>
      <w:r>
        <w:rPr>
          <w:rFonts w:ascii="仿宋" w:eastAsia="仿宋" w:hAnsi="仿宋" w:hint="eastAsia"/>
          <w:sz w:val="32"/>
          <w:szCs w:val="32"/>
        </w:rPr>
        <w:t>；政府性基金</w:t>
      </w:r>
      <w:r>
        <w:rPr>
          <w:rFonts w:ascii="仿宋" w:eastAsia="仿宋" w:hAnsi="仿宋" w:hint="eastAsia"/>
          <w:sz w:val="32"/>
          <w:szCs w:val="32"/>
        </w:rPr>
        <w:lastRenderedPageBreak/>
        <w:t>预算财政拨款收入</w:t>
      </w:r>
      <w:r w:rsidR="00632616" w:rsidRPr="00632616">
        <w:rPr>
          <w:rFonts w:ascii="仿宋" w:eastAsia="仿宋" w:hAnsi="仿宋"/>
          <w:sz w:val="32"/>
          <w:szCs w:val="32"/>
        </w:rPr>
        <w:t>464</w:t>
      </w:r>
      <w:r>
        <w:rPr>
          <w:rFonts w:ascii="仿宋" w:eastAsia="仿宋" w:hAnsi="仿宋" w:hint="eastAsia"/>
          <w:sz w:val="32"/>
          <w:szCs w:val="32"/>
        </w:rPr>
        <w:t>万元，占</w:t>
      </w:r>
      <w:r w:rsidR="00632616">
        <w:rPr>
          <w:rFonts w:ascii="仿宋" w:eastAsia="仿宋" w:hAnsi="仿宋" w:hint="eastAsia"/>
          <w:sz w:val="32"/>
          <w:szCs w:val="32"/>
        </w:rPr>
        <w:t>0.84</w:t>
      </w:r>
      <w:r>
        <w:rPr>
          <w:rFonts w:ascii="仿宋" w:eastAsia="仿宋" w:hAnsi="仿宋"/>
          <w:sz w:val="32"/>
          <w:szCs w:val="32"/>
        </w:rPr>
        <w:t>%</w:t>
      </w:r>
      <w:r>
        <w:rPr>
          <w:rFonts w:ascii="仿宋" w:eastAsia="仿宋" w:hAnsi="仿宋" w:hint="eastAsia"/>
          <w:sz w:val="32"/>
          <w:szCs w:val="32"/>
        </w:rPr>
        <w:t>；国有资本经营预算财政拨款收入</w:t>
      </w:r>
      <w:r w:rsidR="00632616">
        <w:rPr>
          <w:rFonts w:ascii="仿宋" w:eastAsia="仿宋" w:hAnsi="仿宋" w:hint="eastAsia"/>
          <w:sz w:val="32"/>
          <w:szCs w:val="32"/>
        </w:rPr>
        <w:t>0</w:t>
      </w:r>
      <w:r>
        <w:rPr>
          <w:rFonts w:ascii="仿宋" w:eastAsia="仿宋" w:hAnsi="仿宋" w:hint="eastAsia"/>
          <w:sz w:val="32"/>
          <w:szCs w:val="32"/>
        </w:rPr>
        <w:t>万元，占</w:t>
      </w:r>
      <w:r w:rsidR="0063261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632616" w:rsidRPr="00632616">
        <w:rPr>
          <w:rFonts w:ascii="仿宋" w:eastAsia="仿宋" w:hAnsi="仿宋"/>
          <w:sz w:val="32"/>
          <w:szCs w:val="32"/>
        </w:rPr>
        <w:t>2265.36</w:t>
      </w:r>
      <w:r>
        <w:rPr>
          <w:rFonts w:ascii="仿宋" w:eastAsia="仿宋" w:hAnsi="仿宋" w:hint="eastAsia"/>
          <w:sz w:val="32"/>
          <w:szCs w:val="32"/>
        </w:rPr>
        <w:t>万元，占</w:t>
      </w:r>
      <w:r w:rsidR="00632616">
        <w:rPr>
          <w:rFonts w:ascii="仿宋" w:eastAsia="仿宋" w:hAnsi="仿宋" w:hint="eastAsia"/>
          <w:sz w:val="32"/>
          <w:szCs w:val="32"/>
        </w:rPr>
        <w:t>4.1</w:t>
      </w:r>
      <w:r>
        <w:rPr>
          <w:rFonts w:ascii="仿宋" w:eastAsia="仿宋" w:hAnsi="仿宋"/>
          <w:sz w:val="32"/>
          <w:szCs w:val="32"/>
        </w:rPr>
        <w:t>%</w:t>
      </w:r>
      <w:r>
        <w:rPr>
          <w:rFonts w:ascii="仿宋" w:eastAsia="仿宋" w:hAnsi="仿宋" w:hint="eastAsia"/>
          <w:sz w:val="32"/>
          <w:szCs w:val="32"/>
        </w:rPr>
        <w:t>。</w:t>
      </w:r>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w:t>
      </w:r>
      <w:r w:rsidR="00632616">
        <w:rPr>
          <w:rFonts w:ascii="仿宋" w:eastAsia="仿宋" w:hAnsi="仿宋" w:hint="eastAsia"/>
          <w:sz w:val="32"/>
          <w:szCs w:val="32"/>
        </w:rPr>
        <w:t>，金额单位：万元</w:t>
      </w:r>
      <w:r>
        <w:rPr>
          <w:rFonts w:ascii="仿宋" w:eastAsia="仿宋" w:hAnsi="仿宋" w:hint="eastAsia"/>
          <w:sz w:val="32"/>
          <w:szCs w:val="32"/>
        </w:rPr>
        <w:t>）</w:t>
      </w:r>
    </w:p>
    <w:p w:rsidR="00632616" w:rsidRDefault="00EC13A1" w:rsidP="00632616">
      <w:pPr>
        <w:pStyle w:val="a0"/>
        <w:spacing w:before="93"/>
      </w:pPr>
      <w:r>
        <w:rPr>
          <w:noProof/>
        </w:rPr>
        <w:drawing>
          <wp:anchor distT="0" distB="0" distL="114300" distR="114300" simplePos="0" relativeHeight="251661312" behindDoc="0" locked="0" layoutInCell="1" allowOverlap="1">
            <wp:simplePos x="0" y="0"/>
            <wp:positionH relativeFrom="column">
              <wp:posOffset>28575</wp:posOffset>
            </wp:positionH>
            <wp:positionV relativeFrom="paragraph">
              <wp:posOffset>224155</wp:posOffset>
            </wp:positionV>
            <wp:extent cx="5314950" cy="3061335"/>
            <wp:effectExtent l="0" t="0" r="0" b="0"/>
            <wp:wrapTight wrapText="bothSides">
              <wp:wrapPolygon edited="0">
                <wp:start x="6503" y="2823"/>
                <wp:lineTo x="6503" y="4032"/>
                <wp:lineTo x="8981" y="5242"/>
                <wp:lineTo x="10761" y="5242"/>
                <wp:lineTo x="10839" y="7393"/>
                <wp:lineTo x="3484" y="7393"/>
                <wp:lineTo x="3484" y="8602"/>
                <wp:lineTo x="15484" y="9543"/>
                <wp:lineTo x="10839" y="11694"/>
                <wp:lineTo x="15406" y="13844"/>
                <wp:lineTo x="6271" y="18146"/>
                <wp:lineTo x="6271" y="19086"/>
                <wp:lineTo x="13858" y="20296"/>
                <wp:lineTo x="12000" y="20296"/>
                <wp:lineTo x="12000" y="21506"/>
                <wp:lineTo x="19432" y="21506"/>
                <wp:lineTo x="19742" y="21371"/>
                <wp:lineTo x="20361" y="20565"/>
                <wp:lineTo x="20284" y="20296"/>
                <wp:lineTo x="21523" y="19490"/>
                <wp:lineTo x="21523" y="19221"/>
                <wp:lineTo x="10297" y="18146"/>
                <wp:lineTo x="10761" y="15995"/>
                <wp:lineTo x="15329" y="15861"/>
                <wp:lineTo x="18968" y="14920"/>
                <wp:lineTo x="18813" y="12904"/>
                <wp:lineTo x="15639" y="12097"/>
                <wp:lineTo x="20361" y="11694"/>
                <wp:lineTo x="20903" y="11559"/>
                <wp:lineTo x="20903" y="8602"/>
                <wp:lineTo x="19665" y="8334"/>
                <wp:lineTo x="10761" y="7393"/>
                <wp:lineTo x="20671" y="6721"/>
                <wp:lineTo x="20671" y="3495"/>
                <wp:lineTo x="10297" y="2823"/>
                <wp:lineTo x="6503" y="2823"/>
              </wp:wrapPolygon>
            </wp:wrapTight>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32616" w:rsidRDefault="00632616" w:rsidP="00632616">
      <w:pPr>
        <w:pStyle w:val="a0"/>
        <w:spacing w:before="93"/>
      </w:pPr>
    </w:p>
    <w:p w:rsidR="00632616" w:rsidRDefault="00632616" w:rsidP="00632616">
      <w:pPr>
        <w:pStyle w:val="a0"/>
        <w:spacing w:before="93"/>
      </w:pPr>
    </w:p>
    <w:p w:rsidR="00632616" w:rsidRDefault="00632616" w:rsidP="00632616">
      <w:pPr>
        <w:pStyle w:val="a0"/>
        <w:spacing w:before="93"/>
      </w:pPr>
    </w:p>
    <w:p w:rsidR="00632616" w:rsidRDefault="00632616" w:rsidP="00632616">
      <w:pPr>
        <w:pStyle w:val="a0"/>
        <w:spacing w:before="93"/>
      </w:pPr>
    </w:p>
    <w:p w:rsidR="00632616" w:rsidRDefault="00632616" w:rsidP="00632616">
      <w:pPr>
        <w:pStyle w:val="a0"/>
        <w:spacing w:before="93"/>
      </w:pPr>
    </w:p>
    <w:p w:rsidR="00632616" w:rsidRDefault="00632616" w:rsidP="00632616">
      <w:pPr>
        <w:pStyle w:val="a0"/>
        <w:spacing w:before="93"/>
      </w:pPr>
    </w:p>
    <w:p w:rsidR="00632616" w:rsidRDefault="00632616" w:rsidP="00632616">
      <w:pPr>
        <w:pStyle w:val="a0"/>
        <w:spacing w:before="93"/>
      </w:pPr>
    </w:p>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26" w:name="_Toc15396605"/>
      <w:bookmarkStart w:id="27"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6"/>
      <w:bookmarkEnd w:id="27"/>
    </w:p>
    <w:p w:rsidR="009E4DB6" w:rsidRDefault="00EF39C0" w:rsidP="00BB664D">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sidR="00D15CA7">
        <w:rPr>
          <w:rFonts w:ascii="仿宋" w:eastAsia="仿宋" w:hAnsi="仿宋" w:hint="eastAsia"/>
          <w:sz w:val="32"/>
          <w:szCs w:val="32"/>
        </w:rPr>
        <w:t>59661.59</w:t>
      </w:r>
      <w:r>
        <w:rPr>
          <w:rFonts w:ascii="仿宋" w:eastAsia="仿宋" w:hAnsi="仿宋" w:hint="eastAsia"/>
          <w:sz w:val="32"/>
          <w:szCs w:val="32"/>
        </w:rPr>
        <w:t>万元，其中：基本支出</w:t>
      </w:r>
      <w:r w:rsidR="00D15CA7">
        <w:rPr>
          <w:rFonts w:ascii="仿宋" w:eastAsia="仿宋" w:hAnsi="仿宋" w:hint="eastAsia"/>
          <w:sz w:val="32"/>
          <w:szCs w:val="32"/>
        </w:rPr>
        <w:t>50450.93</w:t>
      </w:r>
      <w:r>
        <w:rPr>
          <w:rFonts w:ascii="仿宋" w:eastAsia="仿宋" w:hAnsi="仿宋" w:hint="eastAsia"/>
          <w:sz w:val="32"/>
          <w:szCs w:val="32"/>
        </w:rPr>
        <w:t>万元，占</w:t>
      </w:r>
      <w:r w:rsidR="00D15CA7">
        <w:rPr>
          <w:rFonts w:ascii="仿宋" w:eastAsia="仿宋" w:hAnsi="仿宋" w:hint="eastAsia"/>
          <w:sz w:val="32"/>
          <w:szCs w:val="32"/>
        </w:rPr>
        <w:t>84.56</w:t>
      </w:r>
      <w:r>
        <w:rPr>
          <w:rFonts w:ascii="仿宋" w:eastAsia="仿宋" w:hAnsi="仿宋"/>
          <w:sz w:val="32"/>
          <w:szCs w:val="32"/>
        </w:rPr>
        <w:t>%</w:t>
      </w:r>
      <w:r>
        <w:rPr>
          <w:rFonts w:ascii="仿宋" w:eastAsia="仿宋" w:hAnsi="仿宋" w:hint="eastAsia"/>
          <w:sz w:val="32"/>
          <w:szCs w:val="32"/>
        </w:rPr>
        <w:t>；项目支出</w:t>
      </w:r>
      <w:r w:rsidR="00D15CA7">
        <w:rPr>
          <w:rFonts w:ascii="仿宋" w:eastAsia="仿宋" w:hAnsi="仿宋" w:hint="eastAsia"/>
          <w:sz w:val="32"/>
          <w:szCs w:val="32"/>
        </w:rPr>
        <w:t>9210.66</w:t>
      </w:r>
      <w:r>
        <w:rPr>
          <w:rFonts w:ascii="仿宋" w:eastAsia="仿宋" w:hAnsi="仿宋" w:hint="eastAsia"/>
          <w:sz w:val="32"/>
          <w:szCs w:val="32"/>
        </w:rPr>
        <w:t>万元，占</w:t>
      </w:r>
      <w:r w:rsidR="00D15CA7">
        <w:rPr>
          <w:rFonts w:ascii="仿宋" w:eastAsia="仿宋" w:hAnsi="仿宋" w:hint="eastAsia"/>
          <w:sz w:val="32"/>
          <w:szCs w:val="32"/>
        </w:rPr>
        <w:t>15.44</w:t>
      </w:r>
      <w:r>
        <w:rPr>
          <w:rFonts w:ascii="仿宋" w:eastAsia="仿宋" w:hAnsi="仿宋"/>
          <w:sz w:val="32"/>
          <w:szCs w:val="32"/>
        </w:rPr>
        <w:t>%</w:t>
      </w:r>
      <w:r>
        <w:rPr>
          <w:rFonts w:ascii="仿宋" w:eastAsia="仿宋" w:hAnsi="仿宋" w:hint="eastAsia"/>
          <w:sz w:val="32"/>
          <w:szCs w:val="32"/>
        </w:rPr>
        <w:t>。</w:t>
      </w:r>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r w:rsidR="00D15CA7">
        <w:rPr>
          <w:rFonts w:ascii="仿宋" w:eastAsia="仿宋" w:hAnsi="仿宋" w:hint="eastAsia"/>
          <w:sz w:val="32"/>
          <w:szCs w:val="32"/>
        </w:rPr>
        <w:t>，金额单位：万元</w:t>
      </w:r>
      <w:r>
        <w:rPr>
          <w:rFonts w:ascii="仿宋" w:eastAsia="仿宋" w:hAnsi="仿宋" w:hint="eastAsia"/>
          <w:sz w:val="32"/>
          <w:szCs w:val="32"/>
        </w:rPr>
        <w:t>）</w:t>
      </w:r>
    </w:p>
    <w:p w:rsidR="009E4DB6" w:rsidRDefault="00D15CA7" w:rsidP="00D15CA7">
      <w:pPr>
        <w:spacing w:line="600" w:lineRule="exact"/>
        <w:ind w:firstLineChars="200" w:firstLine="420"/>
        <w:rPr>
          <w:rFonts w:ascii="仿宋_GB2312" w:eastAsia="仿宋_GB2312"/>
          <w:sz w:val="32"/>
          <w:szCs w:val="32"/>
        </w:rPr>
      </w:pPr>
      <w:r>
        <w:rPr>
          <w:rFonts w:hint="eastAsia"/>
          <w:noProof/>
        </w:rPr>
        <w:drawing>
          <wp:anchor distT="0" distB="0" distL="114300" distR="114300" simplePos="0" relativeHeight="251663360" behindDoc="0" locked="0" layoutInCell="1" allowOverlap="1">
            <wp:simplePos x="0" y="0"/>
            <wp:positionH relativeFrom="column">
              <wp:posOffset>685800</wp:posOffset>
            </wp:positionH>
            <wp:positionV relativeFrom="paragraph">
              <wp:posOffset>120015</wp:posOffset>
            </wp:positionV>
            <wp:extent cx="4305300" cy="2167255"/>
            <wp:effectExtent l="0" t="0" r="0" b="0"/>
            <wp:wrapTight wrapText="bothSides">
              <wp:wrapPolygon edited="0">
                <wp:start x="6117" y="1329"/>
                <wp:lineTo x="6117" y="2468"/>
                <wp:lineTo x="9749" y="4747"/>
                <wp:lineTo x="10800" y="4747"/>
                <wp:lineTo x="10800" y="7784"/>
                <wp:lineTo x="15483" y="10822"/>
                <wp:lineTo x="10896" y="13860"/>
                <wp:lineTo x="8315" y="14240"/>
                <wp:lineTo x="7933" y="14430"/>
                <wp:lineTo x="7933" y="15569"/>
                <wp:lineTo x="11278" y="15569"/>
                <wp:lineTo x="11373" y="14999"/>
                <wp:lineTo x="10991" y="14050"/>
                <wp:lineTo x="17012" y="13860"/>
                <wp:lineTo x="18637" y="13290"/>
                <wp:lineTo x="18637" y="10063"/>
                <wp:lineTo x="17777" y="9683"/>
                <wp:lineTo x="10704" y="7784"/>
                <wp:lineTo x="10704" y="4747"/>
                <wp:lineTo x="9080" y="1329"/>
                <wp:lineTo x="6117" y="1329"/>
              </wp:wrapPolygon>
            </wp:wrapTight>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D15CA7" w:rsidRDefault="00D15CA7" w:rsidP="00D15CA7">
      <w:pPr>
        <w:pStyle w:val="a0"/>
        <w:spacing w:before="93"/>
      </w:pPr>
    </w:p>
    <w:p w:rsidR="00D15CA7" w:rsidRDefault="00D15CA7" w:rsidP="00D15CA7">
      <w:pPr>
        <w:pStyle w:val="a0"/>
        <w:spacing w:before="93"/>
      </w:pPr>
    </w:p>
    <w:p w:rsidR="00D15CA7" w:rsidRDefault="00D15CA7" w:rsidP="00D15CA7">
      <w:pPr>
        <w:pStyle w:val="a0"/>
        <w:spacing w:before="93"/>
      </w:pPr>
    </w:p>
    <w:p w:rsidR="00D15CA7" w:rsidRDefault="00D15CA7">
      <w:pPr>
        <w:spacing w:line="600" w:lineRule="exact"/>
        <w:ind w:firstLineChars="200" w:firstLine="640"/>
        <w:outlineLvl w:val="1"/>
        <w:rPr>
          <w:rFonts w:ascii="黑体" w:eastAsia="黑体" w:hAnsi="黑体"/>
          <w:sz w:val="32"/>
          <w:szCs w:val="32"/>
        </w:rPr>
      </w:pPr>
      <w:bookmarkStart w:id="28" w:name="_Toc15377208"/>
      <w:bookmarkStart w:id="29" w:name="_Toc15396606"/>
    </w:p>
    <w:p w:rsidR="009E4DB6" w:rsidRDefault="00EF39C0">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28"/>
      <w:bookmarkEnd w:id="29"/>
    </w:p>
    <w:p w:rsidR="002B4E13" w:rsidRDefault="00EF39C0" w:rsidP="002B4E1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w:t>
      </w:r>
      <w:r w:rsidR="002B4E13" w:rsidRPr="002B4E13">
        <w:rPr>
          <w:rFonts w:ascii="仿宋" w:eastAsia="仿宋" w:hAnsi="仿宋"/>
          <w:sz w:val="32"/>
          <w:szCs w:val="32"/>
        </w:rPr>
        <w:t>57476.63</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21年相比，财政拨款收、支总计增加</w:t>
      </w:r>
      <w:r w:rsidR="002B4E13">
        <w:rPr>
          <w:rFonts w:ascii="仿宋" w:eastAsia="仿宋" w:hAnsi="仿宋" w:hint="eastAsia"/>
          <w:sz w:val="32"/>
          <w:szCs w:val="32"/>
        </w:rPr>
        <w:t>2334.62</w:t>
      </w:r>
      <w:r>
        <w:rPr>
          <w:rFonts w:ascii="仿宋" w:eastAsia="仿宋" w:hAnsi="仿宋" w:hint="eastAsia"/>
          <w:sz w:val="32"/>
          <w:szCs w:val="32"/>
        </w:rPr>
        <w:t>万元，增长</w:t>
      </w:r>
      <w:r w:rsidR="002B4E13">
        <w:rPr>
          <w:rFonts w:ascii="仿宋" w:eastAsia="仿宋" w:hAnsi="仿宋" w:hint="eastAsia"/>
          <w:sz w:val="32"/>
          <w:szCs w:val="32"/>
        </w:rPr>
        <w:t>4.23</w:t>
      </w:r>
      <w:r>
        <w:rPr>
          <w:rFonts w:ascii="仿宋" w:eastAsia="仿宋" w:hAnsi="仿宋"/>
          <w:sz w:val="32"/>
          <w:szCs w:val="32"/>
        </w:rPr>
        <w:t>%</w:t>
      </w:r>
      <w:r>
        <w:rPr>
          <w:rFonts w:ascii="仿宋" w:eastAsia="仿宋" w:hAnsi="仿宋" w:hint="eastAsia"/>
          <w:sz w:val="32"/>
          <w:szCs w:val="32"/>
        </w:rPr>
        <w:t>。主要变动原因是</w:t>
      </w:r>
      <w:r w:rsidR="002B4E13" w:rsidRPr="000F2D63">
        <w:rPr>
          <w:rFonts w:ascii="仿宋_GB2312" w:eastAsia="仿宋_GB2312" w:hAnsi="仿宋" w:cs="宋体" w:hint="eastAsia"/>
          <w:kern w:val="0"/>
          <w:sz w:val="32"/>
          <w:szCs w:val="32"/>
        </w:rPr>
        <w:t>人员经费有所增加</w:t>
      </w:r>
      <w:r w:rsidR="002B4E13">
        <w:rPr>
          <w:rFonts w:ascii="仿宋_GB2312" w:eastAsia="仿宋_GB2312" w:hAnsi="仿宋" w:cs="宋体" w:hint="eastAsia"/>
          <w:kern w:val="0"/>
          <w:sz w:val="32"/>
          <w:szCs w:val="32"/>
        </w:rPr>
        <w:t>。</w:t>
      </w:r>
    </w:p>
    <w:p w:rsidR="009E4DB6" w:rsidRPr="002B4E13" w:rsidRDefault="00EF39C0" w:rsidP="002B4E13">
      <w:pPr>
        <w:spacing w:line="600" w:lineRule="exact"/>
        <w:rPr>
          <w:rFonts w:ascii="仿宋" w:eastAsia="仿宋" w:hAnsi="仿宋"/>
          <w:sz w:val="30"/>
          <w:szCs w:val="30"/>
        </w:rPr>
      </w:pPr>
      <w:r w:rsidRPr="002B4E13">
        <w:rPr>
          <w:rFonts w:ascii="仿宋" w:eastAsia="仿宋" w:hAnsi="仿宋" w:hint="eastAsia"/>
          <w:sz w:val="30"/>
          <w:szCs w:val="30"/>
        </w:rPr>
        <w:t>（图4：财政拨款收、支决算总计变动情况</w:t>
      </w:r>
      <w:r w:rsidR="002B4E13" w:rsidRPr="002B4E13">
        <w:rPr>
          <w:rFonts w:ascii="仿宋" w:eastAsia="仿宋" w:hAnsi="仿宋" w:hint="eastAsia"/>
          <w:sz w:val="30"/>
          <w:szCs w:val="30"/>
        </w:rPr>
        <w:t>，金额单位：万元</w:t>
      </w:r>
      <w:r w:rsidRPr="002B4E13">
        <w:rPr>
          <w:rFonts w:ascii="仿宋" w:eastAsia="仿宋" w:hAnsi="仿宋" w:hint="eastAsia"/>
          <w:sz w:val="30"/>
          <w:szCs w:val="30"/>
        </w:rPr>
        <w:t>）</w:t>
      </w:r>
    </w:p>
    <w:p w:rsidR="002B4E13" w:rsidRPr="002B4E13" w:rsidRDefault="002B4E13" w:rsidP="002B4E13">
      <w:pPr>
        <w:pStyle w:val="a0"/>
        <w:spacing w:before="93"/>
      </w:pPr>
      <w:r>
        <w:rPr>
          <w:rFonts w:ascii="仿宋" w:eastAsia="仿宋" w:hAnsi="仿宋" w:hint="eastAsia"/>
          <w:noProof/>
          <w:sz w:val="32"/>
          <w:szCs w:val="32"/>
        </w:rPr>
        <w:drawing>
          <wp:anchor distT="0" distB="0" distL="114300" distR="114300" simplePos="0" relativeHeight="251665408" behindDoc="0" locked="0" layoutInCell="1" allowOverlap="1">
            <wp:simplePos x="0" y="0"/>
            <wp:positionH relativeFrom="column">
              <wp:posOffset>381000</wp:posOffset>
            </wp:positionH>
            <wp:positionV relativeFrom="paragraph">
              <wp:posOffset>212090</wp:posOffset>
            </wp:positionV>
            <wp:extent cx="4772025" cy="3178175"/>
            <wp:effectExtent l="0" t="0" r="0" b="0"/>
            <wp:wrapTight wrapText="bothSides">
              <wp:wrapPolygon edited="0">
                <wp:start x="431" y="1165"/>
                <wp:lineTo x="431" y="2460"/>
                <wp:lineTo x="5863" y="3496"/>
                <wp:lineTo x="10778" y="3496"/>
                <wp:lineTo x="517" y="4273"/>
                <wp:lineTo x="517" y="5438"/>
                <wp:lineTo x="10778" y="5567"/>
                <wp:lineTo x="431" y="7250"/>
                <wp:lineTo x="431" y="8675"/>
                <wp:lineTo x="5691" y="9710"/>
                <wp:lineTo x="10778" y="9710"/>
                <wp:lineTo x="517" y="10358"/>
                <wp:lineTo x="517" y="11523"/>
                <wp:lineTo x="10778" y="11782"/>
                <wp:lineTo x="431" y="13335"/>
                <wp:lineTo x="431" y="14501"/>
                <wp:lineTo x="7847" y="15925"/>
                <wp:lineTo x="517" y="16313"/>
                <wp:lineTo x="517" y="17479"/>
                <wp:lineTo x="10778" y="17996"/>
                <wp:lineTo x="5432" y="17996"/>
                <wp:lineTo x="5346" y="19421"/>
                <wp:lineTo x="7933" y="19809"/>
                <wp:lineTo x="14659" y="19809"/>
                <wp:lineTo x="15090" y="18773"/>
                <wp:lineTo x="14745" y="17996"/>
                <wp:lineTo x="10692" y="17996"/>
                <wp:lineTo x="10692" y="15925"/>
                <wp:lineTo x="3190" y="13853"/>
                <wp:lineTo x="10778" y="11782"/>
                <wp:lineTo x="21298" y="11393"/>
                <wp:lineTo x="21298" y="8027"/>
                <wp:lineTo x="3190" y="7639"/>
                <wp:lineTo x="10692" y="5567"/>
                <wp:lineTo x="10778" y="3496"/>
                <wp:lineTo x="17590" y="2719"/>
                <wp:lineTo x="17418" y="1813"/>
                <wp:lineTo x="3104" y="1165"/>
                <wp:lineTo x="431" y="1165"/>
              </wp:wrapPolygon>
            </wp:wrapTight>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E4DB6" w:rsidRDefault="009E4DB6">
      <w:pPr>
        <w:spacing w:line="600" w:lineRule="exact"/>
        <w:ind w:firstLine="640"/>
        <w:rPr>
          <w:rFonts w:ascii="仿宋" w:eastAsia="仿宋" w:hAnsi="仿宋"/>
          <w:b/>
          <w:sz w:val="32"/>
          <w:szCs w:val="32"/>
        </w:rPr>
      </w:pPr>
    </w:p>
    <w:p w:rsidR="002B4E13" w:rsidRDefault="002B4E13" w:rsidP="002B4E13">
      <w:pPr>
        <w:pStyle w:val="a0"/>
        <w:spacing w:before="93"/>
      </w:pPr>
    </w:p>
    <w:p w:rsidR="002B4E13" w:rsidRDefault="002B4E13" w:rsidP="002B4E13">
      <w:pPr>
        <w:pStyle w:val="a0"/>
        <w:spacing w:before="93"/>
      </w:pPr>
    </w:p>
    <w:p w:rsidR="002B4E13" w:rsidRDefault="002B4E13" w:rsidP="002B4E13">
      <w:pPr>
        <w:pStyle w:val="a0"/>
        <w:spacing w:before="93"/>
      </w:pPr>
    </w:p>
    <w:p w:rsidR="002B4E13" w:rsidRDefault="002B4E13" w:rsidP="002B4E13">
      <w:pPr>
        <w:pStyle w:val="a0"/>
        <w:spacing w:before="93"/>
      </w:pPr>
    </w:p>
    <w:p w:rsidR="002B4E13" w:rsidRDefault="002B4E13" w:rsidP="002B4E13">
      <w:pPr>
        <w:pStyle w:val="a0"/>
        <w:spacing w:before="93"/>
      </w:pPr>
    </w:p>
    <w:p w:rsidR="002B4E13" w:rsidRPr="002B4E13" w:rsidRDefault="002B4E13" w:rsidP="002B4E13">
      <w:pPr>
        <w:pStyle w:val="a0"/>
        <w:spacing w:before="93"/>
      </w:pPr>
    </w:p>
    <w:p w:rsidR="009E4DB6" w:rsidRDefault="00EF39C0">
      <w:pPr>
        <w:spacing w:line="600" w:lineRule="exact"/>
        <w:ind w:firstLineChars="200" w:firstLine="640"/>
        <w:outlineLvl w:val="1"/>
        <w:rPr>
          <w:rStyle w:val="2Char"/>
          <w:rFonts w:ascii="黑体" w:eastAsia="黑体" w:hAnsi="黑体"/>
          <w:b w:val="0"/>
        </w:rPr>
      </w:pPr>
      <w:bookmarkStart w:id="30" w:name="_Toc15377209"/>
      <w:bookmarkStart w:id="31"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0"/>
      <w:bookmarkEnd w:id="31"/>
    </w:p>
    <w:p w:rsidR="009E4DB6" w:rsidRDefault="00EF39C0">
      <w:pPr>
        <w:spacing w:line="600" w:lineRule="exact"/>
        <w:ind w:firstLineChars="200" w:firstLine="643"/>
        <w:outlineLvl w:val="2"/>
        <w:rPr>
          <w:rFonts w:ascii="仿宋" w:eastAsia="仿宋" w:hAnsi="仿宋"/>
          <w:b/>
          <w:sz w:val="32"/>
          <w:szCs w:val="32"/>
        </w:rPr>
      </w:pPr>
      <w:bookmarkStart w:id="32" w:name="_Toc15377210"/>
      <w:r>
        <w:rPr>
          <w:rFonts w:ascii="仿宋" w:eastAsia="仿宋" w:hAnsi="仿宋" w:hint="eastAsia"/>
          <w:b/>
          <w:sz w:val="32"/>
          <w:szCs w:val="32"/>
        </w:rPr>
        <w:t>（一）一般公共预算财政拨款支出决算总体情况</w:t>
      </w:r>
      <w:bookmarkEnd w:id="32"/>
    </w:p>
    <w:p w:rsidR="009E4DB6" w:rsidRDefault="00EF39C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C15333" w:rsidRPr="002B4E13">
        <w:rPr>
          <w:rFonts w:ascii="仿宋" w:eastAsia="仿宋" w:hAnsi="仿宋"/>
          <w:sz w:val="32"/>
          <w:szCs w:val="32"/>
        </w:rPr>
        <w:t>5</w:t>
      </w:r>
      <w:r w:rsidR="00C15333">
        <w:rPr>
          <w:rFonts w:ascii="仿宋" w:eastAsia="仿宋" w:hAnsi="仿宋" w:hint="eastAsia"/>
          <w:sz w:val="32"/>
          <w:szCs w:val="32"/>
        </w:rPr>
        <w:t>5360.73</w:t>
      </w:r>
      <w:r>
        <w:rPr>
          <w:rFonts w:ascii="仿宋" w:eastAsia="仿宋" w:hAnsi="仿宋" w:hint="eastAsia"/>
          <w:sz w:val="32"/>
          <w:szCs w:val="32"/>
        </w:rPr>
        <w:t>万元，占本年支出合计的</w:t>
      </w:r>
      <w:r w:rsidR="00C15333">
        <w:rPr>
          <w:rFonts w:ascii="仿宋" w:eastAsia="仿宋" w:hAnsi="仿宋" w:hint="eastAsia"/>
          <w:sz w:val="32"/>
          <w:szCs w:val="32"/>
        </w:rPr>
        <w:t>92.79</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sidR="00C15333">
        <w:rPr>
          <w:rFonts w:ascii="仿宋" w:eastAsia="仿宋" w:hAnsi="仿宋" w:hint="eastAsia"/>
          <w:sz w:val="32"/>
          <w:szCs w:val="32"/>
        </w:rPr>
        <w:t>1214.16</w:t>
      </w:r>
      <w:r>
        <w:rPr>
          <w:rFonts w:ascii="仿宋" w:eastAsia="仿宋" w:hAnsi="仿宋" w:hint="eastAsia"/>
          <w:sz w:val="32"/>
          <w:szCs w:val="32"/>
        </w:rPr>
        <w:t>万元，增长</w:t>
      </w:r>
      <w:r w:rsidR="00C15333">
        <w:rPr>
          <w:rFonts w:ascii="仿宋" w:eastAsia="仿宋" w:hAnsi="仿宋" w:hint="eastAsia"/>
          <w:sz w:val="32"/>
          <w:szCs w:val="32"/>
        </w:rPr>
        <w:t>6.15</w:t>
      </w:r>
      <w:r>
        <w:rPr>
          <w:rFonts w:ascii="仿宋" w:eastAsia="仿宋" w:hAnsi="仿宋"/>
          <w:sz w:val="32"/>
          <w:szCs w:val="32"/>
        </w:rPr>
        <w:t>%</w:t>
      </w:r>
      <w:r>
        <w:rPr>
          <w:rFonts w:ascii="仿宋" w:eastAsia="仿宋" w:hAnsi="仿宋" w:hint="eastAsia"/>
          <w:sz w:val="32"/>
          <w:szCs w:val="32"/>
        </w:rPr>
        <w:t>。主要变动原因是</w:t>
      </w:r>
      <w:r w:rsidR="00C15333" w:rsidRPr="000F2D63">
        <w:rPr>
          <w:rFonts w:ascii="仿宋_GB2312" w:eastAsia="仿宋_GB2312" w:hAnsi="仿宋" w:cs="宋体" w:hint="eastAsia"/>
          <w:kern w:val="0"/>
          <w:sz w:val="32"/>
          <w:szCs w:val="32"/>
        </w:rPr>
        <w:t>人员经费</w:t>
      </w:r>
      <w:r w:rsidR="00C15333">
        <w:rPr>
          <w:rFonts w:ascii="仿宋_GB2312" w:eastAsia="仿宋_GB2312" w:hAnsi="仿宋" w:cs="宋体" w:hint="eastAsia"/>
          <w:kern w:val="0"/>
          <w:sz w:val="32"/>
          <w:szCs w:val="32"/>
        </w:rPr>
        <w:t>支出</w:t>
      </w:r>
      <w:r w:rsidR="00C15333" w:rsidRPr="000F2D63">
        <w:rPr>
          <w:rFonts w:ascii="仿宋_GB2312" w:eastAsia="仿宋_GB2312" w:hAnsi="仿宋" w:cs="宋体" w:hint="eastAsia"/>
          <w:kern w:val="0"/>
          <w:sz w:val="32"/>
          <w:szCs w:val="32"/>
        </w:rPr>
        <w:t>有所增加</w:t>
      </w:r>
      <w:r w:rsidR="00C15333">
        <w:rPr>
          <w:rFonts w:ascii="仿宋_GB2312" w:eastAsia="仿宋_GB2312" w:hAnsi="仿宋" w:cs="宋体" w:hint="eastAsia"/>
          <w:kern w:val="0"/>
          <w:sz w:val="32"/>
          <w:szCs w:val="32"/>
        </w:rPr>
        <w:t>。</w:t>
      </w:r>
    </w:p>
    <w:p w:rsidR="009E4DB6" w:rsidRDefault="00EF39C0" w:rsidP="00C15333">
      <w:pPr>
        <w:spacing w:line="600" w:lineRule="exact"/>
        <w:rPr>
          <w:rFonts w:ascii="仿宋" w:eastAsia="仿宋" w:hAnsi="仿宋"/>
          <w:sz w:val="32"/>
          <w:szCs w:val="32"/>
        </w:rPr>
      </w:pPr>
      <w:r>
        <w:rPr>
          <w:rFonts w:ascii="仿宋" w:eastAsia="仿宋" w:hAnsi="仿宋" w:hint="eastAsia"/>
          <w:sz w:val="32"/>
          <w:szCs w:val="32"/>
        </w:rPr>
        <w:t>（图5：一般公共预算财政拨款支出决算变动情况</w:t>
      </w:r>
      <w:r w:rsidR="00C15333">
        <w:rPr>
          <w:rFonts w:ascii="仿宋" w:eastAsia="仿宋" w:hAnsi="仿宋" w:hint="eastAsia"/>
          <w:sz w:val="32"/>
          <w:szCs w:val="32"/>
        </w:rPr>
        <w:t>图，金额单位：万元</w:t>
      </w:r>
      <w:r>
        <w:rPr>
          <w:rFonts w:ascii="仿宋" w:eastAsia="仿宋" w:hAnsi="仿宋" w:hint="eastAsia"/>
          <w:sz w:val="32"/>
          <w:szCs w:val="32"/>
        </w:rPr>
        <w:t>）</w:t>
      </w:r>
    </w:p>
    <w:p w:rsidR="009E4DB6" w:rsidRDefault="00C15333">
      <w:pPr>
        <w:spacing w:line="600" w:lineRule="exact"/>
        <w:ind w:firstLineChars="200" w:firstLine="640"/>
        <w:rPr>
          <w:rFonts w:ascii="仿宋" w:eastAsia="仿宋" w:hAnsi="仿宋"/>
          <w:sz w:val="32"/>
          <w:szCs w:val="32"/>
        </w:rPr>
      </w:pPr>
      <w:r>
        <w:rPr>
          <w:rFonts w:ascii="仿宋" w:eastAsia="仿宋" w:hAnsi="仿宋" w:hint="eastAsia"/>
          <w:noProof/>
          <w:sz w:val="32"/>
          <w:szCs w:val="32"/>
        </w:rPr>
        <w:lastRenderedPageBreak/>
        <w:drawing>
          <wp:anchor distT="0" distB="0" distL="114300" distR="114300" simplePos="0" relativeHeight="251667456" behindDoc="0" locked="0" layoutInCell="1" allowOverlap="1">
            <wp:simplePos x="0" y="0"/>
            <wp:positionH relativeFrom="column">
              <wp:posOffset>799465</wp:posOffset>
            </wp:positionH>
            <wp:positionV relativeFrom="paragraph">
              <wp:posOffset>309245</wp:posOffset>
            </wp:positionV>
            <wp:extent cx="3589020" cy="2134235"/>
            <wp:effectExtent l="0" t="0" r="0" b="0"/>
            <wp:wrapTight wrapText="bothSides">
              <wp:wrapPolygon edited="0">
                <wp:start x="0" y="0"/>
                <wp:lineTo x="0" y="21594"/>
                <wp:lineTo x="21554" y="21594"/>
                <wp:lineTo x="21554" y="0"/>
                <wp:lineTo x="0" y="0"/>
              </wp:wrapPolygon>
            </wp:wrapTight>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C15333" w:rsidRDefault="00C15333" w:rsidP="00C15333">
      <w:pPr>
        <w:pStyle w:val="a0"/>
        <w:spacing w:before="93"/>
      </w:pPr>
    </w:p>
    <w:p w:rsidR="00C15333" w:rsidRDefault="00C15333" w:rsidP="00C15333">
      <w:pPr>
        <w:pStyle w:val="a0"/>
        <w:spacing w:before="93"/>
      </w:pPr>
    </w:p>
    <w:p w:rsidR="00C15333" w:rsidRDefault="00C15333" w:rsidP="00C15333">
      <w:pPr>
        <w:pStyle w:val="a0"/>
        <w:spacing w:before="93"/>
      </w:pPr>
    </w:p>
    <w:p w:rsidR="00C15333" w:rsidRDefault="00C15333" w:rsidP="00C15333">
      <w:pPr>
        <w:pStyle w:val="a0"/>
        <w:spacing w:before="93"/>
      </w:pPr>
    </w:p>
    <w:p w:rsidR="00C15333" w:rsidRDefault="00C15333" w:rsidP="00C15333">
      <w:pPr>
        <w:pStyle w:val="a0"/>
        <w:spacing w:before="93"/>
      </w:pPr>
    </w:p>
    <w:p w:rsidR="009E4DB6" w:rsidRDefault="00EF39C0">
      <w:pPr>
        <w:spacing w:line="600" w:lineRule="exact"/>
        <w:ind w:firstLineChars="200" w:firstLine="643"/>
        <w:outlineLvl w:val="2"/>
        <w:rPr>
          <w:rFonts w:ascii="仿宋" w:eastAsia="仿宋" w:hAnsi="仿宋"/>
          <w:b/>
          <w:sz w:val="32"/>
          <w:szCs w:val="32"/>
        </w:rPr>
      </w:pPr>
      <w:bookmarkStart w:id="33" w:name="_Toc15377211"/>
      <w:r>
        <w:rPr>
          <w:rFonts w:ascii="仿宋" w:eastAsia="仿宋" w:hAnsi="仿宋" w:hint="eastAsia"/>
          <w:b/>
          <w:sz w:val="32"/>
          <w:szCs w:val="32"/>
        </w:rPr>
        <w:t>（二）一般公共预算财政拨款支出决算结构情况</w:t>
      </w:r>
      <w:bookmarkEnd w:id="33"/>
    </w:p>
    <w:p w:rsidR="008B7B17" w:rsidRDefault="00EF39C0" w:rsidP="008B7B17">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D77198">
        <w:rPr>
          <w:rFonts w:ascii="仿宋" w:eastAsia="仿宋" w:hAnsi="仿宋" w:hint="eastAsia"/>
          <w:sz w:val="32"/>
          <w:szCs w:val="32"/>
        </w:rPr>
        <w:t>55360.73</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D77198">
        <w:rPr>
          <w:rFonts w:ascii="仿宋" w:eastAsia="仿宋" w:hAnsi="仿宋" w:hint="eastAsia"/>
          <w:sz w:val="32"/>
          <w:szCs w:val="32"/>
        </w:rPr>
        <w:t>46.8</w:t>
      </w:r>
      <w:r>
        <w:rPr>
          <w:rFonts w:ascii="仿宋" w:eastAsia="仿宋" w:hAnsi="仿宋" w:hint="eastAsia"/>
          <w:sz w:val="32"/>
          <w:szCs w:val="32"/>
        </w:rPr>
        <w:t>万元，占</w:t>
      </w:r>
      <w:r w:rsidR="008B7B17">
        <w:rPr>
          <w:rFonts w:ascii="仿宋" w:eastAsia="仿宋" w:hAnsi="仿宋" w:hint="eastAsia"/>
          <w:sz w:val="32"/>
          <w:szCs w:val="32"/>
        </w:rPr>
        <w:t>0.09</w:t>
      </w:r>
      <w:r>
        <w:rPr>
          <w:rFonts w:ascii="仿宋" w:eastAsia="仿宋" w:hAnsi="仿宋"/>
          <w:sz w:val="32"/>
          <w:szCs w:val="32"/>
        </w:rPr>
        <w:t>%</w:t>
      </w:r>
      <w:r>
        <w:rPr>
          <w:rFonts w:ascii="仿宋" w:eastAsia="仿宋" w:hAnsi="仿宋" w:hint="eastAsia"/>
          <w:sz w:val="32"/>
          <w:szCs w:val="32"/>
        </w:rPr>
        <w:t>；</w:t>
      </w:r>
      <w:r w:rsidR="00D77198">
        <w:rPr>
          <w:rFonts w:ascii="仿宋" w:eastAsia="仿宋" w:hAnsi="仿宋" w:hint="eastAsia"/>
          <w:b/>
          <w:color w:val="000000"/>
          <w:sz w:val="32"/>
          <w:szCs w:val="32"/>
        </w:rPr>
        <w:t>公共安全支出</w:t>
      </w:r>
      <w:r w:rsidR="00D77198" w:rsidRPr="00D77198">
        <w:rPr>
          <w:rFonts w:ascii="仿宋" w:eastAsia="仿宋" w:hAnsi="仿宋"/>
          <w:color w:val="000000"/>
          <w:sz w:val="32"/>
          <w:szCs w:val="32"/>
        </w:rPr>
        <w:t>45475.1</w:t>
      </w:r>
      <w:r w:rsidR="00D77198">
        <w:rPr>
          <w:rFonts w:ascii="仿宋" w:eastAsia="仿宋" w:hAnsi="仿宋" w:hint="eastAsia"/>
          <w:color w:val="000000"/>
          <w:sz w:val="32"/>
          <w:szCs w:val="32"/>
        </w:rPr>
        <w:t>万元，占82.</w:t>
      </w:r>
      <w:r w:rsidR="008B7B17">
        <w:rPr>
          <w:rFonts w:ascii="仿宋" w:eastAsia="仿宋" w:hAnsi="仿宋" w:hint="eastAsia"/>
          <w:color w:val="000000"/>
          <w:sz w:val="32"/>
          <w:szCs w:val="32"/>
        </w:rPr>
        <w:t>14</w:t>
      </w:r>
      <w:r w:rsidR="00D77198">
        <w:rPr>
          <w:rFonts w:ascii="仿宋" w:eastAsia="仿宋" w:hAnsi="仿宋"/>
          <w:color w:val="000000"/>
          <w:sz w:val="32"/>
          <w:szCs w:val="32"/>
        </w:rPr>
        <w:t>%</w:t>
      </w:r>
      <w:r w:rsidR="00D77198">
        <w:rPr>
          <w:rFonts w:ascii="仿宋" w:eastAsia="仿宋" w:hAnsi="仿宋" w:hint="eastAsia"/>
          <w:color w:val="000000"/>
          <w:sz w:val="32"/>
          <w:szCs w:val="32"/>
        </w:rPr>
        <w:t>；</w:t>
      </w:r>
      <w:r w:rsidR="00D77198">
        <w:rPr>
          <w:rFonts w:ascii="仿宋" w:eastAsia="仿宋" w:hAnsi="仿宋" w:hint="eastAsia"/>
          <w:b/>
          <w:color w:val="000000"/>
          <w:sz w:val="32"/>
          <w:szCs w:val="32"/>
        </w:rPr>
        <w:t>社会保障和就业</w:t>
      </w:r>
      <w:r w:rsidR="00D77198" w:rsidRPr="003605C5">
        <w:rPr>
          <w:rFonts w:ascii="仿宋" w:eastAsia="仿宋" w:hAnsi="仿宋" w:hint="eastAsia"/>
          <w:b/>
          <w:color w:val="000000"/>
          <w:sz w:val="32"/>
          <w:szCs w:val="32"/>
        </w:rPr>
        <w:t>支出</w:t>
      </w:r>
      <w:r w:rsidR="00D77198">
        <w:rPr>
          <w:rFonts w:ascii="仿宋" w:eastAsia="仿宋" w:hAnsi="仿宋" w:hint="eastAsia"/>
          <w:color w:val="000000"/>
          <w:sz w:val="32"/>
          <w:szCs w:val="32"/>
        </w:rPr>
        <w:t>5994.56万元，占</w:t>
      </w:r>
      <w:r w:rsidR="008B7B17">
        <w:rPr>
          <w:rFonts w:ascii="仿宋" w:eastAsia="仿宋" w:hAnsi="仿宋" w:hint="eastAsia"/>
          <w:color w:val="000000"/>
          <w:sz w:val="32"/>
          <w:szCs w:val="32"/>
        </w:rPr>
        <w:t>10.83</w:t>
      </w:r>
      <w:r w:rsidR="00D77198">
        <w:rPr>
          <w:rFonts w:ascii="仿宋" w:eastAsia="仿宋" w:hAnsi="仿宋"/>
          <w:color w:val="000000"/>
          <w:sz w:val="32"/>
          <w:szCs w:val="32"/>
        </w:rPr>
        <w:t>%</w:t>
      </w:r>
      <w:r w:rsidR="00D77198">
        <w:rPr>
          <w:rFonts w:ascii="仿宋" w:eastAsia="仿宋" w:hAnsi="仿宋" w:hint="eastAsia"/>
          <w:color w:val="000000"/>
          <w:sz w:val="32"/>
          <w:szCs w:val="32"/>
        </w:rPr>
        <w:t>；</w:t>
      </w:r>
      <w:r w:rsidR="008B7B17">
        <w:rPr>
          <w:rFonts w:ascii="仿宋" w:eastAsia="仿宋" w:hAnsi="仿宋" w:hint="eastAsia"/>
          <w:b/>
          <w:bCs/>
          <w:color w:val="000000"/>
          <w:sz w:val="32"/>
          <w:szCs w:val="32"/>
        </w:rPr>
        <w:t>卫生健康</w:t>
      </w:r>
      <w:r w:rsidR="008B7B17" w:rsidRPr="003605C5">
        <w:rPr>
          <w:rFonts w:ascii="仿宋" w:eastAsia="仿宋" w:hAnsi="仿宋" w:hint="eastAsia"/>
          <w:b/>
          <w:sz w:val="32"/>
          <w:szCs w:val="32"/>
        </w:rPr>
        <w:t>支出</w:t>
      </w:r>
      <w:r w:rsidR="008B7B17">
        <w:rPr>
          <w:rFonts w:ascii="仿宋" w:eastAsia="仿宋" w:hAnsi="仿宋" w:hint="eastAsia"/>
          <w:sz w:val="32"/>
          <w:szCs w:val="32"/>
        </w:rPr>
        <w:t>6.64</w:t>
      </w:r>
      <w:r w:rsidR="008B7B17">
        <w:rPr>
          <w:rFonts w:ascii="仿宋" w:eastAsia="仿宋" w:hAnsi="仿宋" w:hint="eastAsia"/>
          <w:color w:val="000000"/>
          <w:sz w:val="32"/>
          <w:szCs w:val="32"/>
        </w:rPr>
        <w:t>万元，占0.01</w:t>
      </w:r>
      <w:r w:rsidR="008B7B17">
        <w:rPr>
          <w:rFonts w:ascii="仿宋" w:eastAsia="仿宋" w:hAnsi="仿宋"/>
          <w:color w:val="000000"/>
          <w:sz w:val="32"/>
          <w:szCs w:val="32"/>
        </w:rPr>
        <w:t>%</w:t>
      </w:r>
      <w:r w:rsidR="008B7B17">
        <w:rPr>
          <w:rFonts w:ascii="仿宋" w:eastAsia="仿宋" w:hAnsi="仿宋" w:hint="eastAsia"/>
          <w:color w:val="000000"/>
          <w:sz w:val="32"/>
          <w:szCs w:val="32"/>
        </w:rPr>
        <w:t>；</w:t>
      </w:r>
      <w:r w:rsidR="00D77198">
        <w:rPr>
          <w:rFonts w:ascii="仿宋" w:eastAsia="仿宋" w:hAnsi="仿宋" w:hint="eastAsia"/>
          <w:b/>
          <w:bCs/>
          <w:color w:val="000000"/>
          <w:sz w:val="32"/>
          <w:szCs w:val="32"/>
        </w:rPr>
        <w:t>城乡社区</w:t>
      </w:r>
      <w:r w:rsidR="00D77198" w:rsidRPr="003605C5">
        <w:rPr>
          <w:rFonts w:ascii="仿宋" w:eastAsia="仿宋" w:hAnsi="仿宋" w:hint="eastAsia"/>
          <w:b/>
          <w:sz w:val="32"/>
          <w:szCs w:val="32"/>
        </w:rPr>
        <w:t>支出</w:t>
      </w:r>
      <w:r w:rsidR="00D77198">
        <w:rPr>
          <w:rFonts w:ascii="仿宋" w:eastAsia="仿宋" w:hAnsi="仿宋" w:hint="eastAsia"/>
          <w:sz w:val="32"/>
          <w:szCs w:val="32"/>
        </w:rPr>
        <w:t>100</w:t>
      </w:r>
      <w:r w:rsidR="00D77198">
        <w:rPr>
          <w:rFonts w:ascii="仿宋" w:eastAsia="仿宋" w:hAnsi="仿宋" w:hint="eastAsia"/>
          <w:color w:val="000000"/>
          <w:sz w:val="32"/>
          <w:szCs w:val="32"/>
        </w:rPr>
        <w:t>万元，占</w:t>
      </w:r>
      <w:r w:rsidR="008B7B17">
        <w:rPr>
          <w:rFonts w:ascii="仿宋" w:eastAsia="仿宋" w:hAnsi="仿宋" w:hint="eastAsia"/>
          <w:color w:val="000000"/>
          <w:sz w:val="32"/>
          <w:szCs w:val="32"/>
        </w:rPr>
        <w:t>0.18</w:t>
      </w:r>
      <w:r w:rsidR="00D77198">
        <w:rPr>
          <w:rFonts w:ascii="仿宋" w:eastAsia="仿宋" w:hAnsi="仿宋"/>
          <w:color w:val="000000"/>
          <w:sz w:val="32"/>
          <w:szCs w:val="32"/>
        </w:rPr>
        <w:t>%</w:t>
      </w:r>
      <w:r w:rsidR="00D77198">
        <w:rPr>
          <w:rFonts w:ascii="仿宋" w:eastAsia="仿宋" w:hAnsi="仿宋" w:hint="eastAsia"/>
          <w:color w:val="000000"/>
          <w:sz w:val="32"/>
          <w:szCs w:val="32"/>
        </w:rPr>
        <w:t>；</w:t>
      </w:r>
      <w:r w:rsidR="00D77198" w:rsidRPr="0023642A">
        <w:rPr>
          <w:rFonts w:ascii="仿宋" w:eastAsia="仿宋" w:hAnsi="仿宋" w:hint="eastAsia"/>
          <w:b/>
          <w:bCs/>
          <w:color w:val="000000"/>
          <w:sz w:val="32"/>
          <w:szCs w:val="32"/>
        </w:rPr>
        <w:t>住房保障支出</w:t>
      </w:r>
      <w:r w:rsidR="008B7B17">
        <w:rPr>
          <w:rFonts w:ascii="仿宋" w:eastAsia="仿宋" w:hAnsi="仿宋" w:hint="eastAsia"/>
          <w:color w:val="000000"/>
          <w:sz w:val="32"/>
          <w:szCs w:val="32"/>
        </w:rPr>
        <w:t>3737.63</w:t>
      </w:r>
      <w:r w:rsidR="00D77198">
        <w:rPr>
          <w:rFonts w:ascii="仿宋" w:eastAsia="仿宋" w:hAnsi="仿宋" w:hint="eastAsia"/>
          <w:color w:val="000000"/>
          <w:sz w:val="32"/>
          <w:szCs w:val="32"/>
        </w:rPr>
        <w:t>万元，占</w:t>
      </w:r>
      <w:r w:rsidR="008B7B17">
        <w:rPr>
          <w:rFonts w:ascii="仿宋" w:eastAsia="仿宋" w:hAnsi="仿宋" w:hint="eastAsia"/>
          <w:color w:val="000000"/>
          <w:sz w:val="32"/>
          <w:szCs w:val="32"/>
        </w:rPr>
        <w:t>6.75</w:t>
      </w:r>
      <w:r w:rsidR="00D77198">
        <w:rPr>
          <w:rFonts w:ascii="仿宋" w:eastAsia="仿宋" w:hAnsi="仿宋"/>
          <w:color w:val="000000"/>
          <w:sz w:val="32"/>
          <w:szCs w:val="32"/>
        </w:rPr>
        <w:t>%</w:t>
      </w:r>
      <w:r>
        <w:rPr>
          <w:rFonts w:ascii="仿宋" w:eastAsia="仿宋" w:hAnsi="仿宋" w:hint="eastAsia"/>
          <w:sz w:val="32"/>
          <w:szCs w:val="32"/>
        </w:rPr>
        <w:t>。</w:t>
      </w:r>
    </w:p>
    <w:p w:rsidR="009E4DB6" w:rsidRPr="008B7B17" w:rsidRDefault="00EF39C0" w:rsidP="008B7B17">
      <w:pPr>
        <w:spacing w:line="600" w:lineRule="exact"/>
        <w:rPr>
          <w:rFonts w:ascii="仿宋" w:eastAsia="仿宋" w:hAnsi="仿宋"/>
          <w:sz w:val="32"/>
          <w:szCs w:val="32"/>
        </w:rPr>
      </w:pPr>
      <w:r w:rsidRPr="008B7B17">
        <w:rPr>
          <w:rFonts w:ascii="仿宋" w:eastAsia="仿宋" w:hAnsi="仿宋" w:hint="eastAsia"/>
          <w:sz w:val="30"/>
          <w:szCs w:val="30"/>
        </w:rPr>
        <w:t>（图6：一般公共预算财政拨款支出决算结构</w:t>
      </w:r>
      <w:r w:rsidR="008B7B17">
        <w:rPr>
          <w:rFonts w:ascii="仿宋" w:eastAsia="仿宋" w:hAnsi="仿宋" w:hint="eastAsia"/>
          <w:sz w:val="30"/>
          <w:szCs w:val="30"/>
        </w:rPr>
        <w:t>图，单位：万元</w:t>
      </w:r>
      <w:r w:rsidRPr="008B7B17">
        <w:rPr>
          <w:rFonts w:ascii="仿宋" w:eastAsia="仿宋" w:hAnsi="仿宋" w:hint="eastAsia"/>
          <w:sz w:val="30"/>
          <w:szCs w:val="30"/>
        </w:rPr>
        <w:t>）</w:t>
      </w:r>
    </w:p>
    <w:p w:rsidR="009E4DB6" w:rsidRDefault="00EA67F5">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9504" behindDoc="1" locked="0" layoutInCell="1" allowOverlap="1">
            <wp:simplePos x="0" y="0"/>
            <wp:positionH relativeFrom="column">
              <wp:posOffset>-238125</wp:posOffset>
            </wp:positionH>
            <wp:positionV relativeFrom="paragraph">
              <wp:posOffset>161925</wp:posOffset>
            </wp:positionV>
            <wp:extent cx="5687695" cy="2571750"/>
            <wp:effectExtent l="0" t="0" r="0" b="0"/>
            <wp:wrapTight wrapText="bothSides">
              <wp:wrapPolygon edited="0">
                <wp:start x="6294" y="1440"/>
                <wp:lineTo x="4051" y="1920"/>
                <wp:lineTo x="3183" y="3840"/>
                <wp:lineTo x="3183" y="4640"/>
                <wp:lineTo x="10780" y="6880"/>
                <wp:lineTo x="14976" y="9440"/>
                <wp:lineTo x="14976" y="12000"/>
                <wp:lineTo x="7452" y="13600"/>
                <wp:lineTo x="7379" y="14560"/>
                <wp:lineTo x="10780" y="14560"/>
                <wp:lineTo x="10852" y="17120"/>
                <wp:lineTo x="14903" y="19040"/>
                <wp:lineTo x="17291" y="19040"/>
                <wp:lineTo x="17869" y="18720"/>
                <wp:lineTo x="17508" y="17760"/>
                <wp:lineTo x="10780" y="17120"/>
                <wp:lineTo x="17652" y="15680"/>
                <wp:lineTo x="17652" y="14720"/>
                <wp:lineTo x="11937" y="14560"/>
                <wp:lineTo x="17725" y="12480"/>
                <wp:lineTo x="17725" y="9440"/>
                <wp:lineTo x="18303" y="9440"/>
                <wp:lineTo x="17942" y="8480"/>
                <wp:lineTo x="10780" y="6880"/>
                <wp:lineTo x="17725" y="6560"/>
                <wp:lineTo x="17580" y="5440"/>
                <wp:lineTo x="5281" y="4320"/>
                <wp:lineTo x="17652" y="3360"/>
                <wp:lineTo x="17725" y="2240"/>
                <wp:lineTo x="8464" y="1440"/>
                <wp:lineTo x="6294" y="1440"/>
              </wp:wrapPolygon>
            </wp:wrapTight>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B7B17" w:rsidRDefault="008B7B17" w:rsidP="008B7B17">
      <w:pPr>
        <w:pStyle w:val="a0"/>
        <w:spacing w:before="93"/>
      </w:pPr>
    </w:p>
    <w:p w:rsidR="008B7B17" w:rsidRDefault="008B7B17" w:rsidP="008B7B17">
      <w:pPr>
        <w:pStyle w:val="a0"/>
        <w:spacing w:before="93"/>
      </w:pPr>
    </w:p>
    <w:p w:rsidR="008B7B17" w:rsidRDefault="008B7B17" w:rsidP="008B7B17">
      <w:pPr>
        <w:pStyle w:val="a0"/>
        <w:spacing w:before="93"/>
      </w:pPr>
    </w:p>
    <w:p w:rsidR="008B7B17" w:rsidRDefault="008B7B17" w:rsidP="008B7B17">
      <w:pPr>
        <w:pStyle w:val="a0"/>
        <w:spacing w:before="93"/>
      </w:pPr>
    </w:p>
    <w:p w:rsidR="008B7B17" w:rsidRDefault="008B7B17" w:rsidP="008B7B17">
      <w:pPr>
        <w:pStyle w:val="a0"/>
        <w:spacing w:before="93"/>
      </w:pPr>
    </w:p>
    <w:p w:rsidR="008B7B17" w:rsidRDefault="008B7B17" w:rsidP="008B7B17">
      <w:pPr>
        <w:pStyle w:val="a0"/>
        <w:spacing w:before="93"/>
      </w:pPr>
    </w:p>
    <w:p w:rsidR="009E4DB6" w:rsidRDefault="00EF39C0">
      <w:pPr>
        <w:spacing w:line="600" w:lineRule="exact"/>
        <w:ind w:firstLineChars="200" w:firstLine="643"/>
        <w:outlineLvl w:val="2"/>
        <w:rPr>
          <w:rFonts w:ascii="仿宋" w:eastAsia="仿宋" w:hAnsi="仿宋"/>
          <w:b/>
          <w:sz w:val="32"/>
          <w:szCs w:val="32"/>
        </w:rPr>
      </w:pPr>
      <w:bookmarkStart w:id="34" w:name="_Toc15377212"/>
      <w:r>
        <w:rPr>
          <w:rFonts w:ascii="仿宋" w:eastAsia="仿宋" w:hAnsi="仿宋" w:hint="eastAsia"/>
          <w:b/>
          <w:sz w:val="32"/>
          <w:szCs w:val="32"/>
        </w:rPr>
        <w:lastRenderedPageBreak/>
        <w:t>（三）一般公共预算财政拨款支出决算具体情况</w:t>
      </w:r>
      <w:bookmarkEnd w:id="34"/>
    </w:p>
    <w:p w:rsidR="009E4DB6" w:rsidRDefault="00EF39C0">
      <w:pPr>
        <w:spacing w:line="600" w:lineRule="exact"/>
        <w:ind w:firstLineChars="200" w:firstLine="643"/>
        <w:outlineLvl w:val="2"/>
        <w:rPr>
          <w:rFonts w:ascii="仿宋" w:eastAsia="仿宋" w:hAnsi="仿宋"/>
          <w:sz w:val="32"/>
          <w:szCs w:val="32"/>
        </w:rPr>
      </w:pPr>
      <w:bookmarkStart w:id="35" w:name="_Toc15377213"/>
      <w:bookmarkStart w:id="36" w:name="_Toc15378460"/>
      <w:bookmarkStart w:id="37" w:name="_Toc15377444"/>
      <w:r>
        <w:rPr>
          <w:rFonts w:ascii="仿宋" w:eastAsia="仿宋" w:hAnsi="仿宋" w:hint="eastAsia"/>
          <w:b/>
          <w:sz w:val="32"/>
          <w:szCs w:val="32"/>
        </w:rPr>
        <w:t>2022年一般公共预算支出决算数为</w:t>
      </w:r>
      <w:r w:rsidR="00EA67F5" w:rsidRPr="00EA67F5">
        <w:rPr>
          <w:rFonts w:ascii="仿宋" w:eastAsia="仿宋" w:hAnsi="仿宋" w:hint="eastAsia"/>
          <w:b/>
          <w:sz w:val="32"/>
          <w:szCs w:val="32"/>
        </w:rPr>
        <w:t>55360.73万元</w:t>
      </w:r>
      <w:r>
        <w:rPr>
          <w:rFonts w:ascii="仿宋" w:eastAsia="仿宋" w:hAnsi="仿宋" w:hint="eastAsia"/>
          <w:sz w:val="32"/>
          <w:szCs w:val="32"/>
        </w:rPr>
        <w:t>，</w:t>
      </w:r>
      <w:r>
        <w:rPr>
          <w:rStyle w:val="a8"/>
          <w:rFonts w:ascii="仿宋" w:eastAsia="仿宋" w:hAnsi="仿宋" w:hint="eastAsia"/>
          <w:bCs/>
          <w:sz w:val="32"/>
          <w:szCs w:val="32"/>
        </w:rPr>
        <w:t>完成预算</w:t>
      </w:r>
      <w:r w:rsidR="00EA67F5">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35"/>
      <w:bookmarkEnd w:id="36"/>
      <w:bookmarkEnd w:id="37"/>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1.</w:t>
      </w:r>
      <w:r w:rsidR="00EA67F5" w:rsidRPr="00086F66">
        <w:rPr>
          <w:rStyle w:val="a8"/>
          <w:rFonts w:ascii="仿宋" w:eastAsia="仿宋" w:hAnsi="仿宋" w:hint="eastAsia"/>
          <w:bCs/>
          <w:color w:val="000000"/>
          <w:sz w:val="32"/>
          <w:szCs w:val="32"/>
        </w:rPr>
        <w:t>一般公共服务（类）组织事务（款）其他组织事务支出（项）</w:t>
      </w:r>
      <w:r w:rsidR="00EA67F5">
        <w:rPr>
          <w:rStyle w:val="a8"/>
          <w:rFonts w:ascii="仿宋" w:eastAsia="仿宋" w:hAnsi="仿宋"/>
          <w:bCs/>
          <w:sz w:val="32"/>
          <w:szCs w:val="32"/>
        </w:rPr>
        <w:t>:</w:t>
      </w:r>
      <w:r w:rsidR="00EA67F5">
        <w:rPr>
          <w:rStyle w:val="a8"/>
          <w:rFonts w:ascii="仿宋" w:eastAsia="仿宋" w:hAnsi="仿宋" w:hint="eastAsia"/>
          <w:b w:val="0"/>
          <w:bCs/>
          <w:sz w:val="32"/>
          <w:szCs w:val="32"/>
        </w:rPr>
        <w:t>支出决算为</w:t>
      </w:r>
      <w:r w:rsidR="006D7749">
        <w:rPr>
          <w:rStyle w:val="a8"/>
          <w:rFonts w:ascii="仿宋" w:eastAsia="仿宋" w:hAnsi="仿宋" w:hint="eastAsia"/>
          <w:b w:val="0"/>
          <w:bCs/>
          <w:sz w:val="32"/>
          <w:szCs w:val="32"/>
        </w:rPr>
        <w:t>36.8</w:t>
      </w:r>
      <w:r w:rsidR="00EA67F5">
        <w:rPr>
          <w:rStyle w:val="a8"/>
          <w:rFonts w:ascii="仿宋" w:eastAsia="仿宋" w:hAnsi="仿宋" w:hint="eastAsia"/>
          <w:b w:val="0"/>
          <w:bCs/>
          <w:sz w:val="32"/>
          <w:szCs w:val="32"/>
        </w:rPr>
        <w:t>万元，完成预算100</w:t>
      </w:r>
      <w:r w:rsidR="00EA67F5">
        <w:rPr>
          <w:rStyle w:val="a8"/>
          <w:rFonts w:ascii="仿宋" w:eastAsia="仿宋" w:hAnsi="仿宋"/>
          <w:b w:val="0"/>
          <w:bCs/>
          <w:sz w:val="32"/>
          <w:szCs w:val="32"/>
        </w:rPr>
        <w:t>%</w:t>
      </w:r>
      <w:r w:rsidR="00EA67F5">
        <w:rPr>
          <w:rStyle w:val="a8"/>
          <w:rFonts w:ascii="仿宋" w:eastAsia="仿宋" w:hAnsi="仿宋" w:hint="eastAsia"/>
          <w:b w:val="0"/>
          <w:bCs/>
          <w:sz w:val="32"/>
          <w:szCs w:val="32"/>
        </w:rPr>
        <w:t>，决算数等于预算数</w:t>
      </w:r>
      <w:r>
        <w:rPr>
          <w:rStyle w:val="a8"/>
          <w:rFonts w:ascii="仿宋" w:eastAsia="仿宋" w:hAnsi="仿宋" w:hint="eastAsia"/>
          <w:b w:val="0"/>
          <w:bCs/>
          <w:sz w:val="32"/>
          <w:szCs w:val="32"/>
        </w:rPr>
        <w:t>。</w:t>
      </w:r>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2.</w:t>
      </w:r>
      <w:r w:rsidR="006D7749" w:rsidRPr="00086F66">
        <w:rPr>
          <w:rStyle w:val="a8"/>
          <w:rFonts w:ascii="仿宋" w:eastAsia="仿宋" w:hAnsi="仿宋" w:hint="eastAsia"/>
          <w:bCs/>
          <w:color w:val="000000"/>
          <w:sz w:val="32"/>
          <w:szCs w:val="32"/>
        </w:rPr>
        <w:t>一般公共服务（类）</w:t>
      </w:r>
      <w:r w:rsidR="006D7749">
        <w:rPr>
          <w:rStyle w:val="a8"/>
          <w:rFonts w:ascii="仿宋" w:eastAsia="仿宋" w:hAnsi="仿宋" w:hint="eastAsia"/>
          <w:bCs/>
          <w:color w:val="000000"/>
          <w:sz w:val="32"/>
          <w:szCs w:val="32"/>
        </w:rPr>
        <w:t>宣传</w:t>
      </w:r>
      <w:r w:rsidR="006D7749" w:rsidRPr="00086F66">
        <w:rPr>
          <w:rStyle w:val="a8"/>
          <w:rFonts w:ascii="仿宋" w:eastAsia="仿宋" w:hAnsi="仿宋" w:hint="eastAsia"/>
          <w:bCs/>
          <w:color w:val="000000"/>
          <w:sz w:val="32"/>
          <w:szCs w:val="32"/>
        </w:rPr>
        <w:t>事务（款）其他</w:t>
      </w:r>
      <w:r w:rsidR="006D7749">
        <w:rPr>
          <w:rStyle w:val="a8"/>
          <w:rFonts w:ascii="仿宋" w:eastAsia="仿宋" w:hAnsi="仿宋" w:hint="eastAsia"/>
          <w:bCs/>
          <w:color w:val="000000"/>
          <w:sz w:val="32"/>
          <w:szCs w:val="32"/>
        </w:rPr>
        <w:t>宣传</w:t>
      </w:r>
      <w:r w:rsidR="006D7749" w:rsidRPr="00086F66">
        <w:rPr>
          <w:rStyle w:val="a8"/>
          <w:rFonts w:ascii="仿宋" w:eastAsia="仿宋" w:hAnsi="仿宋" w:hint="eastAsia"/>
          <w:bCs/>
          <w:color w:val="000000"/>
          <w:sz w:val="32"/>
          <w:szCs w:val="32"/>
        </w:rPr>
        <w:t>事务支出（项）</w:t>
      </w:r>
      <w:r w:rsidR="006D7749">
        <w:rPr>
          <w:rStyle w:val="a8"/>
          <w:rFonts w:ascii="仿宋" w:eastAsia="仿宋" w:hAnsi="仿宋"/>
          <w:bCs/>
          <w:sz w:val="32"/>
          <w:szCs w:val="32"/>
        </w:rPr>
        <w:t>:</w:t>
      </w:r>
      <w:r w:rsidR="006D7749">
        <w:rPr>
          <w:rStyle w:val="a8"/>
          <w:rFonts w:ascii="仿宋" w:eastAsia="仿宋" w:hAnsi="仿宋" w:hint="eastAsia"/>
          <w:b w:val="0"/>
          <w:bCs/>
          <w:sz w:val="32"/>
          <w:szCs w:val="32"/>
        </w:rPr>
        <w:t>支出决算为10万元，完成预算100</w:t>
      </w:r>
      <w:r w:rsidR="006D7749">
        <w:rPr>
          <w:rStyle w:val="a8"/>
          <w:rFonts w:ascii="仿宋" w:eastAsia="仿宋" w:hAnsi="仿宋"/>
          <w:b w:val="0"/>
          <w:bCs/>
          <w:sz w:val="32"/>
          <w:szCs w:val="32"/>
        </w:rPr>
        <w:t>%</w:t>
      </w:r>
      <w:r w:rsidR="006D7749">
        <w:rPr>
          <w:rStyle w:val="a8"/>
          <w:rFonts w:ascii="仿宋" w:eastAsia="仿宋" w:hAnsi="仿宋" w:hint="eastAsia"/>
          <w:b w:val="0"/>
          <w:bCs/>
          <w:sz w:val="32"/>
          <w:szCs w:val="32"/>
        </w:rPr>
        <w:t>，决算数等于预算数</w:t>
      </w:r>
      <w:r>
        <w:rPr>
          <w:rStyle w:val="a8"/>
          <w:rFonts w:ascii="仿宋" w:eastAsia="仿宋" w:hAnsi="仿宋" w:hint="eastAsia"/>
          <w:b w:val="0"/>
          <w:bCs/>
          <w:sz w:val="32"/>
          <w:szCs w:val="32"/>
        </w:rPr>
        <w:t>。</w:t>
      </w:r>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3.</w:t>
      </w:r>
      <w:r w:rsidR="006D7749" w:rsidRPr="00086F66">
        <w:rPr>
          <w:rStyle w:val="a8"/>
          <w:rFonts w:ascii="仿宋" w:eastAsia="仿宋" w:hAnsi="仿宋" w:hint="eastAsia"/>
          <w:bCs/>
          <w:color w:val="000000"/>
          <w:sz w:val="32"/>
          <w:szCs w:val="32"/>
        </w:rPr>
        <w:t>公共安全支出（类）公安（款）行政运行（项）</w:t>
      </w:r>
      <w:r w:rsidR="006D7749" w:rsidRPr="00086F66">
        <w:rPr>
          <w:rStyle w:val="a8"/>
          <w:rFonts w:ascii="仿宋" w:eastAsia="仿宋" w:hAnsi="仿宋"/>
          <w:bCs/>
          <w:color w:val="000000"/>
          <w:sz w:val="32"/>
          <w:szCs w:val="32"/>
        </w:rPr>
        <w:t>:</w:t>
      </w:r>
      <w:r w:rsidR="006D7749" w:rsidRPr="00086F66">
        <w:rPr>
          <w:rStyle w:val="a8"/>
          <w:rFonts w:ascii="仿宋" w:eastAsia="仿宋" w:hAnsi="仿宋" w:hint="eastAsia"/>
          <w:b w:val="0"/>
          <w:bCs/>
          <w:color w:val="000000"/>
          <w:sz w:val="32"/>
          <w:szCs w:val="32"/>
        </w:rPr>
        <w:t>支出决算为</w:t>
      </w:r>
      <w:r w:rsidR="006D7749">
        <w:rPr>
          <w:rStyle w:val="a8"/>
          <w:rFonts w:ascii="仿宋" w:eastAsia="仿宋" w:hAnsi="仿宋" w:hint="eastAsia"/>
          <w:b w:val="0"/>
          <w:bCs/>
          <w:color w:val="000000"/>
          <w:sz w:val="32"/>
          <w:szCs w:val="32"/>
        </w:rPr>
        <w:t>40533.74</w:t>
      </w:r>
      <w:r w:rsidR="006D7749" w:rsidRPr="00086F66">
        <w:rPr>
          <w:rStyle w:val="a8"/>
          <w:rFonts w:ascii="仿宋" w:eastAsia="仿宋" w:hAnsi="仿宋" w:hint="eastAsia"/>
          <w:b w:val="0"/>
          <w:bCs/>
          <w:color w:val="000000"/>
          <w:sz w:val="32"/>
          <w:szCs w:val="32"/>
        </w:rPr>
        <w:t>万元，完成预算100</w:t>
      </w:r>
      <w:r w:rsidR="006D7749" w:rsidRPr="00086F66">
        <w:rPr>
          <w:rStyle w:val="a8"/>
          <w:rFonts w:ascii="仿宋" w:eastAsia="仿宋" w:hAnsi="仿宋"/>
          <w:b w:val="0"/>
          <w:bCs/>
          <w:color w:val="000000"/>
          <w:sz w:val="32"/>
          <w:szCs w:val="32"/>
        </w:rPr>
        <w:t>%</w:t>
      </w:r>
      <w:r w:rsidR="006D7749" w:rsidRPr="00086F66">
        <w:rPr>
          <w:rStyle w:val="a8"/>
          <w:rFonts w:ascii="仿宋" w:eastAsia="仿宋" w:hAnsi="仿宋" w:hint="eastAsia"/>
          <w:b w:val="0"/>
          <w:bCs/>
          <w:color w:val="000000"/>
          <w:sz w:val="32"/>
          <w:szCs w:val="32"/>
        </w:rPr>
        <w:t>，决算数等于预算数</w:t>
      </w:r>
      <w:r w:rsidR="006D7749" w:rsidRPr="00086F66">
        <w:rPr>
          <w:rStyle w:val="a8"/>
          <w:rFonts w:ascii="仿宋" w:eastAsia="仿宋" w:hAnsi="仿宋" w:hint="eastAsia"/>
          <w:b w:val="0"/>
          <w:bCs/>
          <w:sz w:val="32"/>
          <w:szCs w:val="32"/>
        </w:rPr>
        <w:t>。</w:t>
      </w:r>
    </w:p>
    <w:p w:rsidR="00824692" w:rsidRDefault="00EF39C0" w:rsidP="00824692">
      <w:pPr>
        <w:spacing w:line="600" w:lineRule="exact"/>
        <w:ind w:firstLineChars="200" w:firstLine="643"/>
        <w:rPr>
          <w:rFonts w:ascii="仿宋" w:eastAsia="仿宋" w:hAnsi="仿宋"/>
          <w:b/>
          <w:sz w:val="32"/>
          <w:szCs w:val="32"/>
        </w:rPr>
      </w:pPr>
      <w:r>
        <w:rPr>
          <w:rStyle w:val="a8"/>
          <w:rFonts w:ascii="仿宋" w:eastAsia="仿宋" w:hAnsi="仿宋"/>
          <w:bCs/>
          <w:sz w:val="32"/>
          <w:szCs w:val="32"/>
        </w:rPr>
        <w:t>4.</w:t>
      </w:r>
      <w:r w:rsidR="006D7749" w:rsidRPr="00086F66">
        <w:rPr>
          <w:rStyle w:val="a8"/>
          <w:rFonts w:ascii="仿宋" w:eastAsia="仿宋" w:hAnsi="仿宋" w:hint="eastAsia"/>
          <w:bCs/>
          <w:sz w:val="32"/>
          <w:szCs w:val="32"/>
        </w:rPr>
        <w:t>公共安全支出（类）公安（款）一般行政管理事务（项）</w:t>
      </w:r>
      <w:r w:rsidR="006D7749" w:rsidRPr="00086F66">
        <w:rPr>
          <w:rStyle w:val="a8"/>
          <w:rFonts w:ascii="仿宋" w:eastAsia="仿宋" w:hAnsi="仿宋"/>
          <w:bCs/>
          <w:sz w:val="32"/>
          <w:szCs w:val="32"/>
        </w:rPr>
        <w:t>:</w:t>
      </w:r>
      <w:r w:rsidR="006D7749" w:rsidRPr="00086F66">
        <w:rPr>
          <w:rStyle w:val="a8"/>
          <w:rFonts w:ascii="仿宋" w:eastAsia="仿宋" w:hAnsi="仿宋" w:hint="eastAsia"/>
          <w:b w:val="0"/>
          <w:bCs/>
          <w:color w:val="000000"/>
          <w:sz w:val="32"/>
          <w:szCs w:val="32"/>
        </w:rPr>
        <w:t>支出决算为</w:t>
      </w:r>
      <w:r w:rsidR="006D7749">
        <w:rPr>
          <w:rStyle w:val="a8"/>
          <w:rFonts w:ascii="仿宋" w:eastAsia="仿宋" w:hAnsi="仿宋" w:hint="eastAsia"/>
          <w:b w:val="0"/>
          <w:bCs/>
          <w:color w:val="000000"/>
          <w:sz w:val="32"/>
          <w:szCs w:val="32"/>
        </w:rPr>
        <w:t>2813.63</w:t>
      </w:r>
      <w:r w:rsidR="006D7749" w:rsidRPr="00086F66">
        <w:rPr>
          <w:rStyle w:val="a8"/>
          <w:rFonts w:ascii="仿宋" w:eastAsia="仿宋" w:hAnsi="仿宋" w:hint="eastAsia"/>
          <w:b w:val="0"/>
          <w:bCs/>
          <w:color w:val="000000"/>
          <w:sz w:val="32"/>
          <w:szCs w:val="32"/>
        </w:rPr>
        <w:t>万元，完成预算</w:t>
      </w:r>
      <w:r w:rsidR="00824692">
        <w:rPr>
          <w:rStyle w:val="a8"/>
          <w:rFonts w:ascii="仿宋" w:eastAsia="仿宋" w:hAnsi="仿宋" w:hint="eastAsia"/>
          <w:b w:val="0"/>
          <w:bCs/>
          <w:color w:val="000000"/>
          <w:sz w:val="32"/>
          <w:szCs w:val="32"/>
        </w:rPr>
        <w:t>100</w:t>
      </w:r>
      <w:r w:rsidR="006D7749" w:rsidRPr="00086F66">
        <w:rPr>
          <w:rStyle w:val="a8"/>
          <w:rFonts w:ascii="仿宋" w:eastAsia="仿宋" w:hAnsi="仿宋"/>
          <w:b w:val="0"/>
          <w:bCs/>
          <w:color w:val="000000"/>
          <w:sz w:val="32"/>
          <w:szCs w:val="32"/>
        </w:rPr>
        <w:t>%</w:t>
      </w:r>
      <w:r w:rsidR="006D7749" w:rsidRPr="00086F66">
        <w:rPr>
          <w:rStyle w:val="a8"/>
          <w:rFonts w:ascii="仿宋" w:eastAsia="仿宋" w:hAnsi="仿宋" w:hint="eastAsia"/>
          <w:b w:val="0"/>
          <w:bCs/>
          <w:color w:val="000000"/>
          <w:sz w:val="32"/>
          <w:szCs w:val="32"/>
        </w:rPr>
        <w:t>，</w:t>
      </w:r>
      <w:r w:rsidR="00824692" w:rsidRPr="00086F66">
        <w:rPr>
          <w:rStyle w:val="a8"/>
          <w:rFonts w:ascii="仿宋" w:eastAsia="仿宋" w:hAnsi="仿宋" w:hint="eastAsia"/>
          <w:b w:val="0"/>
          <w:bCs/>
          <w:color w:val="000000"/>
          <w:sz w:val="32"/>
          <w:szCs w:val="32"/>
        </w:rPr>
        <w:t>决算数等于预算数</w:t>
      </w:r>
      <w:r w:rsidR="00824692" w:rsidRPr="00086F66">
        <w:rPr>
          <w:rStyle w:val="a8"/>
          <w:rFonts w:ascii="仿宋" w:eastAsia="仿宋" w:hAnsi="仿宋" w:hint="eastAsia"/>
          <w:b w:val="0"/>
          <w:bCs/>
          <w:sz w:val="32"/>
          <w:szCs w:val="32"/>
        </w:rPr>
        <w:t>。</w:t>
      </w:r>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5.</w:t>
      </w:r>
      <w:r w:rsidR="006D7749" w:rsidRPr="00086F66">
        <w:rPr>
          <w:rStyle w:val="a8"/>
          <w:rFonts w:ascii="仿宋" w:eastAsia="仿宋" w:hAnsi="仿宋" w:hint="eastAsia"/>
          <w:bCs/>
          <w:sz w:val="32"/>
          <w:szCs w:val="32"/>
        </w:rPr>
        <w:t>公共安全支出（类）公安（款）事业运行（项）</w:t>
      </w:r>
      <w:r w:rsidR="006D7749">
        <w:rPr>
          <w:rStyle w:val="a8"/>
          <w:rFonts w:ascii="仿宋" w:eastAsia="仿宋" w:hAnsi="仿宋"/>
          <w:bCs/>
          <w:sz w:val="32"/>
          <w:szCs w:val="32"/>
        </w:rPr>
        <w:t>:</w:t>
      </w:r>
      <w:r w:rsidR="006D7749" w:rsidRPr="00086F66">
        <w:rPr>
          <w:rStyle w:val="a8"/>
          <w:rFonts w:ascii="仿宋" w:eastAsia="仿宋" w:hAnsi="仿宋" w:hint="eastAsia"/>
          <w:b w:val="0"/>
          <w:bCs/>
          <w:color w:val="000000"/>
          <w:sz w:val="32"/>
          <w:szCs w:val="32"/>
        </w:rPr>
        <w:t>支出决算为</w:t>
      </w:r>
      <w:r w:rsidR="006D7749">
        <w:rPr>
          <w:rStyle w:val="a8"/>
          <w:rFonts w:ascii="仿宋" w:eastAsia="仿宋" w:hAnsi="仿宋" w:hint="eastAsia"/>
          <w:b w:val="0"/>
          <w:bCs/>
          <w:color w:val="000000"/>
          <w:sz w:val="32"/>
          <w:szCs w:val="32"/>
        </w:rPr>
        <w:t>147.33</w:t>
      </w:r>
      <w:r w:rsidR="006D7749" w:rsidRPr="00086F66">
        <w:rPr>
          <w:rStyle w:val="a8"/>
          <w:rFonts w:ascii="仿宋" w:eastAsia="仿宋" w:hAnsi="仿宋" w:hint="eastAsia"/>
          <w:b w:val="0"/>
          <w:bCs/>
          <w:color w:val="000000"/>
          <w:sz w:val="32"/>
          <w:szCs w:val="32"/>
        </w:rPr>
        <w:t>万元，完成预算100</w:t>
      </w:r>
      <w:r w:rsidR="006D7749" w:rsidRPr="00086F66">
        <w:rPr>
          <w:rStyle w:val="a8"/>
          <w:rFonts w:ascii="仿宋" w:eastAsia="仿宋" w:hAnsi="仿宋"/>
          <w:b w:val="0"/>
          <w:bCs/>
          <w:color w:val="000000"/>
          <w:sz w:val="32"/>
          <w:szCs w:val="32"/>
        </w:rPr>
        <w:t>%</w:t>
      </w:r>
      <w:r w:rsidR="006D7749" w:rsidRPr="00086F66">
        <w:rPr>
          <w:rStyle w:val="a8"/>
          <w:rFonts w:ascii="仿宋" w:eastAsia="仿宋" w:hAnsi="仿宋" w:hint="eastAsia"/>
          <w:b w:val="0"/>
          <w:bCs/>
          <w:color w:val="000000"/>
          <w:sz w:val="32"/>
          <w:szCs w:val="32"/>
        </w:rPr>
        <w:t>，决算数等于预算数</w:t>
      </w:r>
      <w:r w:rsidR="006D7749">
        <w:rPr>
          <w:rStyle w:val="a8"/>
          <w:rFonts w:ascii="仿宋" w:eastAsia="仿宋" w:hAnsi="仿宋" w:hint="eastAsia"/>
          <w:b w:val="0"/>
          <w:bCs/>
          <w:sz w:val="32"/>
          <w:szCs w:val="32"/>
        </w:rPr>
        <w:t>。</w:t>
      </w:r>
    </w:p>
    <w:p w:rsidR="009E4DB6" w:rsidRDefault="00EF39C0">
      <w:pPr>
        <w:spacing w:line="600" w:lineRule="exact"/>
        <w:ind w:firstLineChars="200" w:firstLine="643"/>
        <w:rPr>
          <w:rStyle w:val="a8"/>
          <w:rFonts w:ascii="仿宋" w:eastAsia="仿宋" w:hAnsi="仿宋"/>
          <w:b w:val="0"/>
          <w:bCs/>
          <w:sz w:val="32"/>
          <w:szCs w:val="32"/>
        </w:rPr>
      </w:pPr>
      <w:r>
        <w:rPr>
          <w:rStyle w:val="a8"/>
          <w:rFonts w:ascii="仿宋" w:eastAsia="仿宋" w:hAnsi="仿宋"/>
          <w:bCs/>
          <w:sz w:val="32"/>
          <w:szCs w:val="32"/>
        </w:rPr>
        <w:t>6.</w:t>
      </w:r>
      <w:r w:rsidR="008248F9" w:rsidRPr="00086F66">
        <w:rPr>
          <w:rStyle w:val="a8"/>
          <w:rFonts w:ascii="仿宋" w:eastAsia="仿宋" w:hAnsi="仿宋" w:hint="eastAsia"/>
          <w:bCs/>
          <w:sz w:val="32"/>
          <w:szCs w:val="32"/>
        </w:rPr>
        <w:t>公共安全支出（类）公安（款）其他公安支出（项）</w:t>
      </w:r>
      <w:r w:rsidR="008248F9" w:rsidRPr="00086F66">
        <w:rPr>
          <w:rStyle w:val="a8"/>
          <w:rFonts w:ascii="仿宋" w:eastAsia="仿宋" w:hAnsi="仿宋"/>
          <w:bCs/>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652.92</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，决算数等于预算数</w:t>
      </w:r>
      <w:r>
        <w:rPr>
          <w:rStyle w:val="a8"/>
          <w:rFonts w:ascii="仿宋" w:eastAsia="仿宋" w:hAnsi="仿宋" w:hint="eastAsia"/>
          <w:b w:val="0"/>
          <w:bCs/>
          <w:sz w:val="32"/>
          <w:szCs w:val="32"/>
        </w:rPr>
        <w:t>。</w:t>
      </w:r>
    </w:p>
    <w:p w:rsidR="008248F9" w:rsidRDefault="008248F9" w:rsidP="008248F9">
      <w:pPr>
        <w:pStyle w:val="a0"/>
        <w:spacing w:before="93"/>
        <w:ind w:firstLine="585"/>
        <w:rPr>
          <w:rStyle w:val="a8"/>
          <w:rFonts w:ascii="仿宋" w:eastAsia="仿宋" w:hAnsi="仿宋"/>
          <w:b w:val="0"/>
          <w:bCs/>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sidRPr="00086F66">
        <w:rPr>
          <w:rStyle w:val="a8"/>
          <w:rFonts w:ascii="仿宋" w:eastAsia="仿宋" w:hAnsi="仿宋" w:hint="eastAsia"/>
          <w:bCs/>
          <w:sz w:val="32"/>
          <w:szCs w:val="32"/>
        </w:rPr>
        <w:t>公共安全支出（类）</w:t>
      </w:r>
      <w:r>
        <w:rPr>
          <w:rStyle w:val="a8"/>
          <w:rFonts w:ascii="仿宋" w:eastAsia="仿宋" w:hAnsi="仿宋" w:hint="eastAsia"/>
          <w:bCs/>
          <w:sz w:val="32"/>
          <w:szCs w:val="32"/>
        </w:rPr>
        <w:t>法院</w:t>
      </w:r>
      <w:r w:rsidRPr="00086F66">
        <w:rPr>
          <w:rStyle w:val="a8"/>
          <w:rFonts w:ascii="仿宋" w:eastAsia="仿宋" w:hAnsi="仿宋" w:hint="eastAsia"/>
          <w:bCs/>
          <w:sz w:val="32"/>
          <w:szCs w:val="32"/>
        </w:rPr>
        <w:t>（款）</w:t>
      </w:r>
      <w:r>
        <w:rPr>
          <w:rStyle w:val="a8"/>
          <w:rFonts w:ascii="仿宋" w:eastAsia="仿宋" w:hAnsi="仿宋" w:hint="eastAsia"/>
          <w:bCs/>
          <w:sz w:val="32"/>
          <w:szCs w:val="32"/>
        </w:rPr>
        <w:t>一般行政管理事务</w:t>
      </w:r>
      <w:r w:rsidRPr="00086F66">
        <w:rPr>
          <w:rStyle w:val="a8"/>
          <w:rFonts w:ascii="仿宋" w:eastAsia="仿宋" w:hAnsi="仿宋" w:hint="eastAsia"/>
          <w:bCs/>
          <w:sz w:val="32"/>
          <w:szCs w:val="32"/>
        </w:rPr>
        <w:t>（项）</w:t>
      </w:r>
      <w:r w:rsidRPr="00086F66">
        <w:rPr>
          <w:rStyle w:val="a8"/>
          <w:rFonts w:ascii="仿宋" w:eastAsia="仿宋" w:hAnsi="仿宋"/>
          <w:bCs/>
          <w:sz w:val="32"/>
          <w:szCs w:val="32"/>
        </w:rPr>
        <w:t>:</w:t>
      </w:r>
      <w:r w:rsidRPr="00086F66">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42.15</w:t>
      </w:r>
      <w:r w:rsidRPr="00086F66">
        <w:rPr>
          <w:rStyle w:val="a8"/>
          <w:rFonts w:ascii="仿宋" w:eastAsia="仿宋" w:hAnsi="仿宋" w:hint="eastAsia"/>
          <w:b w:val="0"/>
          <w:bCs/>
          <w:color w:val="000000"/>
          <w:sz w:val="32"/>
          <w:szCs w:val="32"/>
        </w:rPr>
        <w:t>万元，完成预算100</w:t>
      </w:r>
      <w:r w:rsidRPr="00086F66">
        <w:rPr>
          <w:rStyle w:val="a8"/>
          <w:rFonts w:ascii="仿宋" w:eastAsia="仿宋" w:hAnsi="仿宋"/>
          <w:b w:val="0"/>
          <w:bCs/>
          <w:color w:val="000000"/>
          <w:sz w:val="32"/>
          <w:szCs w:val="32"/>
        </w:rPr>
        <w:t>%</w:t>
      </w:r>
      <w:r w:rsidRPr="00086F66">
        <w:rPr>
          <w:rStyle w:val="a8"/>
          <w:rFonts w:ascii="仿宋" w:eastAsia="仿宋" w:hAnsi="仿宋" w:hint="eastAsia"/>
          <w:b w:val="0"/>
          <w:bCs/>
          <w:color w:val="000000"/>
          <w:sz w:val="32"/>
          <w:szCs w:val="32"/>
        </w:rPr>
        <w:t>，决算数等于预算数</w:t>
      </w:r>
      <w:r>
        <w:rPr>
          <w:rStyle w:val="a8"/>
          <w:rFonts w:ascii="仿宋" w:eastAsia="仿宋" w:hAnsi="仿宋" w:hint="eastAsia"/>
          <w:b w:val="0"/>
          <w:bCs/>
          <w:sz w:val="32"/>
          <w:szCs w:val="32"/>
        </w:rPr>
        <w:t>。</w:t>
      </w:r>
    </w:p>
    <w:p w:rsidR="008248F9" w:rsidRDefault="008248F9" w:rsidP="008248F9">
      <w:pPr>
        <w:pStyle w:val="a0"/>
        <w:spacing w:before="93"/>
        <w:ind w:firstLine="585"/>
        <w:rPr>
          <w:rStyle w:val="a8"/>
          <w:rFonts w:ascii="仿宋" w:eastAsia="仿宋" w:hAnsi="仿宋"/>
          <w:b w:val="0"/>
          <w:bCs/>
          <w:sz w:val="32"/>
          <w:szCs w:val="32"/>
        </w:rPr>
      </w:pPr>
      <w:r>
        <w:rPr>
          <w:rStyle w:val="a8"/>
          <w:rFonts w:ascii="仿宋" w:eastAsia="仿宋" w:hAnsi="仿宋" w:hint="eastAsia"/>
          <w:bCs/>
          <w:sz w:val="32"/>
          <w:szCs w:val="32"/>
        </w:rPr>
        <w:t>8</w:t>
      </w:r>
      <w:r>
        <w:rPr>
          <w:rStyle w:val="a8"/>
          <w:rFonts w:ascii="仿宋" w:eastAsia="仿宋" w:hAnsi="仿宋"/>
          <w:bCs/>
          <w:sz w:val="32"/>
          <w:szCs w:val="32"/>
        </w:rPr>
        <w:t>.</w:t>
      </w:r>
      <w:r w:rsidRPr="00086F66">
        <w:rPr>
          <w:rStyle w:val="a8"/>
          <w:rFonts w:ascii="仿宋" w:eastAsia="仿宋" w:hAnsi="仿宋" w:hint="eastAsia"/>
          <w:bCs/>
          <w:sz w:val="32"/>
          <w:szCs w:val="32"/>
        </w:rPr>
        <w:t>公共安全支出（类）</w:t>
      </w:r>
      <w:r>
        <w:rPr>
          <w:rStyle w:val="a8"/>
          <w:rFonts w:ascii="仿宋" w:eastAsia="仿宋" w:hAnsi="仿宋" w:hint="eastAsia"/>
          <w:bCs/>
          <w:sz w:val="32"/>
          <w:szCs w:val="32"/>
        </w:rPr>
        <w:t>强制隔离戒毒</w:t>
      </w:r>
      <w:r w:rsidRPr="00086F66">
        <w:rPr>
          <w:rStyle w:val="a8"/>
          <w:rFonts w:ascii="仿宋" w:eastAsia="仿宋" w:hAnsi="仿宋" w:hint="eastAsia"/>
          <w:bCs/>
          <w:sz w:val="32"/>
          <w:szCs w:val="32"/>
        </w:rPr>
        <w:t>（款）</w:t>
      </w:r>
      <w:r>
        <w:rPr>
          <w:rStyle w:val="a8"/>
          <w:rFonts w:ascii="仿宋" w:eastAsia="仿宋" w:hAnsi="仿宋" w:hint="eastAsia"/>
          <w:bCs/>
          <w:sz w:val="32"/>
          <w:szCs w:val="32"/>
        </w:rPr>
        <w:t>行政运行</w:t>
      </w:r>
      <w:r w:rsidRPr="00086F66">
        <w:rPr>
          <w:rStyle w:val="a8"/>
          <w:rFonts w:ascii="仿宋" w:eastAsia="仿宋" w:hAnsi="仿宋" w:hint="eastAsia"/>
          <w:bCs/>
          <w:sz w:val="32"/>
          <w:szCs w:val="32"/>
        </w:rPr>
        <w:t>（项）</w:t>
      </w:r>
      <w:r w:rsidRPr="00086F66">
        <w:rPr>
          <w:rStyle w:val="a8"/>
          <w:rFonts w:ascii="仿宋" w:eastAsia="仿宋" w:hAnsi="仿宋"/>
          <w:bCs/>
          <w:sz w:val="32"/>
          <w:szCs w:val="32"/>
        </w:rPr>
        <w:t>:</w:t>
      </w:r>
      <w:r w:rsidRPr="00086F66">
        <w:rPr>
          <w:rStyle w:val="a8"/>
          <w:rFonts w:ascii="仿宋" w:eastAsia="仿宋" w:hAnsi="仿宋" w:hint="eastAsia"/>
          <w:b w:val="0"/>
          <w:bCs/>
          <w:color w:val="000000"/>
          <w:sz w:val="32"/>
          <w:szCs w:val="32"/>
        </w:rPr>
        <w:lastRenderedPageBreak/>
        <w:t>支出决算为</w:t>
      </w:r>
      <w:r>
        <w:rPr>
          <w:rStyle w:val="a8"/>
          <w:rFonts w:ascii="仿宋" w:eastAsia="仿宋" w:hAnsi="仿宋" w:hint="eastAsia"/>
          <w:b w:val="0"/>
          <w:bCs/>
          <w:color w:val="000000"/>
          <w:sz w:val="32"/>
          <w:szCs w:val="32"/>
        </w:rPr>
        <w:t>0.53</w:t>
      </w:r>
      <w:r w:rsidRPr="00086F66">
        <w:rPr>
          <w:rStyle w:val="a8"/>
          <w:rFonts w:ascii="仿宋" w:eastAsia="仿宋" w:hAnsi="仿宋" w:hint="eastAsia"/>
          <w:b w:val="0"/>
          <w:bCs/>
          <w:color w:val="000000"/>
          <w:sz w:val="32"/>
          <w:szCs w:val="32"/>
        </w:rPr>
        <w:t>万元，完成预算100</w:t>
      </w:r>
      <w:r w:rsidRPr="00086F66">
        <w:rPr>
          <w:rStyle w:val="a8"/>
          <w:rFonts w:ascii="仿宋" w:eastAsia="仿宋" w:hAnsi="仿宋"/>
          <w:b w:val="0"/>
          <w:bCs/>
          <w:color w:val="000000"/>
          <w:sz w:val="32"/>
          <w:szCs w:val="32"/>
        </w:rPr>
        <w:t>%</w:t>
      </w:r>
      <w:r w:rsidRPr="00086F66">
        <w:rPr>
          <w:rStyle w:val="a8"/>
          <w:rFonts w:ascii="仿宋" w:eastAsia="仿宋" w:hAnsi="仿宋" w:hint="eastAsia"/>
          <w:b w:val="0"/>
          <w:bCs/>
          <w:color w:val="000000"/>
          <w:sz w:val="32"/>
          <w:szCs w:val="32"/>
        </w:rPr>
        <w:t>，决算数等于预算数</w:t>
      </w:r>
      <w:r>
        <w:rPr>
          <w:rStyle w:val="a8"/>
          <w:rFonts w:ascii="仿宋" w:eastAsia="仿宋" w:hAnsi="仿宋" w:hint="eastAsia"/>
          <w:b w:val="0"/>
          <w:bCs/>
          <w:sz w:val="32"/>
          <w:szCs w:val="32"/>
        </w:rPr>
        <w:t>。</w:t>
      </w:r>
    </w:p>
    <w:p w:rsidR="008248F9" w:rsidRDefault="008248F9" w:rsidP="008248F9">
      <w:pPr>
        <w:pStyle w:val="a0"/>
        <w:spacing w:before="93"/>
        <w:ind w:firstLine="585"/>
        <w:rPr>
          <w:rStyle w:val="a8"/>
          <w:rFonts w:ascii="仿宋" w:eastAsia="仿宋" w:hAnsi="仿宋"/>
          <w:b w:val="0"/>
          <w:bCs/>
          <w:sz w:val="32"/>
          <w:szCs w:val="32"/>
        </w:rPr>
      </w:pPr>
      <w:r>
        <w:rPr>
          <w:rStyle w:val="a8"/>
          <w:rFonts w:ascii="仿宋" w:eastAsia="仿宋" w:hAnsi="仿宋" w:hint="eastAsia"/>
          <w:bCs/>
          <w:sz w:val="32"/>
          <w:szCs w:val="32"/>
        </w:rPr>
        <w:t>9</w:t>
      </w:r>
      <w:r>
        <w:rPr>
          <w:rStyle w:val="a8"/>
          <w:rFonts w:ascii="仿宋" w:eastAsia="仿宋" w:hAnsi="仿宋"/>
          <w:bCs/>
          <w:sz w:val="32"/>
          <w:szCs w:val="32"/>
        </w:rPr>
        <w:t>.</w:t>
      </w:r>
      <w:r w:rsidRPr="00086F66">
        <w:rPr>
          <w:rStyle w:val="a8"/>
          <w:rFonts w:ascii="仿宋" w:eastAsia="仿宋" w:hAnsi="仿宋" w:hint="eastAsia"/>
          <w:bCs/>
          <w:sz w:val="32"/>
          <w:szCs w:val="32"/>
        </w:rPr>
        <w:t>公共安全支出（类）</w:t>
      </w:r>
      <w:r>
        <w:rPr>
          <w:rStyle w:val="a8"/>
          <w:rFonts w:ascii="仿宋" w:eastAsia="仿宋" w:hAnsi="仿宋" w:hint="eastAsia"/>
          <w:bCs/>
          <w:sz w:val="32"/>
          <w:szCs w:val="32"/>
        </w:rPr>
        <w:t>其他公共安全支出</w:t>
      </w:r>
      <w:r w:rsidRPr="00086F66">
        <w:rPr>
          <w:rStyle w:val="a8"/>
          <w:rFonts w:ascii="仿宋" w:eastAsia="仿宋" w:hAnsi="仿宋" w:hint="eastAsia"/>
          <w:bCs/>
          <w:sz w:val="32"/>
          <w:szCs w:val="32"/>
        </w:rPr>
        <w:t>（款）其他公共安全支出（项）</w:t>
      </w:r>
      <w:r w:rsidRPr="00086F66">
        <w:rPr>
          <w:rStyle w:val="a8"/>
          <w:rFonts w:ascii="仿宋" w:eastAsia="仿宋" w:hAnsi="仿宋"/>
          <w:bCs/>
          <w:sz w:val="32"/>
          <w:szCs w:val="32"/>
        </w:rPr>
        <w:t>:</w:t>
      </w:r>
      <w:r w:rsidRPr="00086F66">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1284.8</w:t>
      </w:r>
      <w:r w:rsidRPr="00086F66">
        <w:rPr>
          <w:rStyle w:val="a8"/>
          <w:rFonts w:ascii="仿宋" w:eastAsia="仿宋" w:hAnsi="仿宋" w:hint="eastAsia"/>
          <w:b w:val="0"/>
          <w:bCs/>
          <w:color w:val="000000"/>
          <w:sz w:val="32"/>
          <w:szCs w:val="32"/>
        </w:rPr>
        <w:t>万元，完成预算100</w:t>
      </w:r>
      <w:r w:rsidRPr="00086F66">
        <w:rPr>
          <w:rStyle w:val="a8"/>
          <w:rFonts w:ascii="仿宋" w:eastAsia="仿宋" w:hAnsi="仿宋"/>
          <w:b w:val="0"/>
          <w:bCs/>
          <w:color w:val="000000"/>
          <w:sz w:val="32"/>
          <w:szCs w:val="32"/>
        </w:rPr>
        <w:t>%</w:t>
      </w:r>
      <w:r w:rsidRPr="00086F66">
        <w:rPr>
          <w:rStyle w:val="a8"/>
          <w:rFonts w:ascii="仿宋" w:eastAsia="仿宋" w:hAnsi="仿宋" w:hint="eastAsia"/>
          <w:b w:val="0"/>
          <w:bCs/>
          <w:color w:val="000000"/>
          <w:sz w:val="32"/>
          <w:szCs w:val="32"/>
        </w:rPr>
        <w:t>，决算数等于预算数</w:t>
      </w:r>
      <w:r>
        <w:rPr>
          <w:rStyle w:val="a8"/>
          <w:rFonts w:ascii="仿宋" w:eastAsia="仿宋" w:hAnsi="仿宋" w:hint="eastAsia"/>
          <w:b w:val="0"/>
          <w:bCs/>
          <w:sz w:val="32"/>
          <w:szCs w:val="32"/>
        </w:rPr>
        <w:t>。</w:t>
      </w:r>
    </w:p>
    <w:p w:rsidR="008248F9" w:rsidRDefault="00D45137" w:rsidP="008248F9">
      <w:pPr>
        <w:pStyle w:val="a0"/>
        <w:spacing w:before="93"/>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10</w:t>
      </w:r>
      <w:r w:rsidR="008248F9">
        <w:rPr>
          <w:rStyle w:val="a8"/>
          <w:rFonts w:ascii="仿宋" w:eastAsia="仿宋" w:hAnsi="仿宋"/>
          <w:bCs/>
          <w:sz w:val="32"/>
          <w:szCs w:val="32"/>
        </w:rPr>
        <w:t>.</w:t>
      </w:r>
      <w:r w:rsidR="008248F9" w:rsidRPr="00086F66">
        <w:rPr>
          <w:rStyle w:val="a8"/>
          <w:rFonts w:ascii="仿宋" w:eastAsia="仿宋" w:hAnsi="仿宋" w:hint="eastAsia"/>
          <w:bCs/>
          <w:color w:val="000000"/>
          <w:sz w:val="32"/>
          <w:szCs w:val="32"/>
        </w:rPr>
        <w:t>社会保障和就业（类）行政事业单位养老支出（款）行政单位离退休（项）</w:t>
      </w:r>
      <w:r w:rsidR="008248F9" w:rsidRPr="00086F66">
        <w:rPr>
          <w:rStyle w:val="a8"/>
          <w:rFonts w:ascii="仿宋" w:eastAsia="仿宋" w:hAnsi="仿宋"/>
          <w:bCs/>
          <w:color w:val="000000"/>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3096.36</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，决算数等于预算数</w:t>
      </w:r>
      <w:r w:rsidR="008248F9">
        <w:rPr>
          <w:rStyle w:val="a8"/>
          <w:rFonts w:ascii="仿宋" w:eastAsia="仿宋" w:hAnsi="仿宋" w:hint="eastAsia"/>
          <w:b w:val="0"/>
          <w:bCs/>
          <w:sz w:val="32"/>
          <w:szCs w:val="32"/>
        </w:rPr>
        <w:t>。</w:t>
      </w:r>
    </w:p>
    <w:p w:rsidR="008248F9" w:rsidRDefault="00D45137" w:rsidP="008248F9">
      <w:pPr>
        <w:pStyle w:val="a0"/>
        <w:spacing w:before="93"/>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11</w:t>
      </w:r>
      <w:r w:rsidR="008248F9">
        <w:rPr>
          <w:rStyle w:val="a8"/>
          <w:rFonts w:ascii="仿宋" w:eastAsia="仿宋" w:hAnsi="仿宋"/>
          <w:bCs/>
          <w:sz w:val="32"/>
          <w:szCs w:val="32"/>
        </w:rPr>
        <w:t>.</w:t>
      </w:r>
      <w:r w:rsidR="008248F9" w:rsidRPr="00086F66">
        <w:rPr>
          <w:rStyle w:val="a8"/>
          <w:rFonts w:ascii="仿宋" w:eastAsia="仿宋" w:hAnsi="仿宋" w:hint="eastAsia"/>
          <w:bCs/>
          <w:color w:val="000000"/>
          <w:sz w:val="32"/>
          <w:szCs w:val="32"/>
        </w:rPr>
        <w:t>社会保障和就业（类）行政事业单位养老支出（款）事业单位离退休（项）</w:t>
      </w:r>
      <w:r w:rsidR="008248F9" w:rsidRPr="00086F66">
        <w:rPr>
          <w:rStyle w:val="a8"/>
          <w:rFonts w:ascii="仿宋" w:eastAsia="仿宋" w:hAnsi="仿宋"/>
          <w:bCs/>
          <w:color w:val="000000"/>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18.45</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，决算数等于预算数</w:t>
      </w:r>
      <w:r w:rsidR="008248F9">
        <w:rPr>
          <w:rStyle w:val="a8"/>
          <w:rFonts w:ascii="仿宋" w:eastAsia="仿宋" w:hAnsi="仿宋" w:hint="eastAsia"/>
          <w:b w:val="0"/>
          <w:bCs/>
          <w:sz w:val="32"/>
          <w:szCs w:val="32"/>
        </w:rPr>
        <w:t>。</w:t>
      </w:r>
    </w:p>
    <w:p w:rsidR="008248F9" w:rsidRDefault="00D45137" w:rsidP="008248F9">
      <w:pPr>
        <w:pStyle w:val="a0"/>
        <w:spacing w:before="93"/>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12</w:t>
      </w:r>
      <w:r w:rsidR="008248F9">
        <w:rPr>
          <w:rStyle w:val="a8"/>
          <w:rFonts w:ascii="仿宋" w:eastAsia="仿宋" w:hAnsi="仿宋"/>
          <w:bCs/>
          <w:sz w:val="32"/>
          <w:szCs w:val="32"/>
        </w:rPr>
        <w:t>.</w:t>
      </w:r>
      <w:r w:rsidR="008248F9" w:rsidRPr="00086F66">
        <w:rPr>
          <w:rStyle w:val="a8"/>
          <w:rFonts w:ascii="仿宋" w:eastAsia="仿宋" w:hAnsi="仿宋" w:hint="eastAsia"/>
          <w:bCs/>
          <w:color w:val="000000"/>
          <w:sz w:val="32"/>
          <w:szCs w:val="32"/>
        </w:rPr>
        <w:t>社会保障和就业（类）行政事业单位养老支出（款）机关事业单位基本养老保险缴费支出（项）</w:t>
      </w:r>
      <w:r w:rsidR="008248F9" w:rsidRPr="00086F66">
        <w:rPr>
          <w:rStyle w:val="a8"/>
          <w:rFonts w:ascii="仿宋" w:eastAsia="仿宋" w:hAnsi="仿宋"/>
          <w:bCs/>
          <w:color w:val="000000"/>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2824.05</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，决算数等于预算数</w:t>
      </w:r>
      <w:r w:rsidR="008248F9">
        <w:rPr>
          <w:rStyle w:val="a8"/>
          <w:rFonts w:ascii="仿宋" w:eastAsia="仿宋" w:hAnsi="仿宋" w:hint="eastAsia"/>
          <w:b w:val="0"/>
          <w:bCs/>
          <w:sz w:val="32"/>
          <w:szCs w:val="32"/>
        </w:rPr>
        <w:t>。</w:t>
      </w:r>
    </w:p>
    <w:p w:rsidR="008248F9" w:rsidRDefault="00D45137" w:rsidP="008248F9">
      <w:pPr>
        <w:pStyle w:val="a0"/>
        <w:spacing w:before="93"/>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13</w:t>
      </w:r>
      <w:r w:rsidR="008248F9">
        <w:rPr>
          <w:rStyle w:val="a8"/>
          <w:rFonts w:ascii="仿宋" w:eastAsia="仿宋" w:hAnsi="仿宋"/>
          <w:bCs/>
          <w:sz w:val="32"/>
          <w:szCs w:val="32"/>
        </w:rPr>
        <w:t>.</w:t>
      </w:r>
      <w:r w:rsidR="008248F9" w:rsidRPr="00086F66">
        <w:rPr>
          <w:rStyle w:val="a8"/>
          <w:rFonts w:ascii="仿宋" w:eastAsia="仿宋" w:hAnsi="仿宋" w:hint="eastAsia"/>
          <w:bCs/>
          <w:color w:val="000000"/>
          <w:sz w:val="32"/>
          <w:szCs w:val="32"/>
        </w:rPr>
        <w:t>社会保障和就业（类）抚恤（款）死亡抚恤（项）</w:t>
      </w:r>
      <w:r w:rsidR="008248F9" w:rsidRPr="00086F66">
        <w:rPr>
          <w:rStyle w:val="a8"/>
          <w:rFonts w:ascii="仿宋" w:eastAsia="仿宋" w:hAnsi="仿宋"/>
          <w:bCs/>
          <w:color w:val="000000"/>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54.3</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，决算数等于预算数</w:t>
      </w:r>
      <w:r w:rsidR="008248F9">
        <w:rPr>
          <w:rStyle w:val="a8"/>
          <w:rFonts w:ascii="仿宋" w:eastAsia="仿宋" w:hAnsi="仿宋" w:hint="eastAsia"/>
          <w:b w:val="0"/>
          <w:bCs/>
          <w:sz w:val="32"/>
          <w:szCs w:val="32"/>
        </w:rPr>
        <w:t>。</w:t>
      </w:r>
    </w:p>
    <w:p w:rsidR="008248F9" w:rsidRDefault="00D45137" w:rsidP="008248F9">
      <w:pPr>
        <w:pStyle w:val="a0"/>
        <w:spacing w:before="93"/>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14</w:t>
      </w:r>
      <w:r w:rsidR="008248F9">
        <w:rPr>
          <w:rStyle w:val="a8"/>
          <w:rFonts w:ascii="仿宋" w:eastAsia="仿宋" w:hAnsi="仿宋"/>
          <w:bCs/>
          <w:sz w:val="32"/>
          <w:szCs w:val="32"/>
        </w:rPr>
        <w:t>.</w:t>
      </w:r>
      <w:r w:rsidR="008248F9" w:rsidRPr="00086F66">
        <w:rPr>
          <w:rStyle w:val="a8"/>
          <w:rFonts w:ascii="仿宋" w:eastAsia="仿宋" w:hAnsi="仿宋" w:hint="eastAsia"/>
          <w:bCs/>
          <w:color w:val="000000"/>
          <w:sz w:val="32"/>
          <w:szCs w:val="32"/>
        </w:rPr>
        <w:t>社会保障和就业（类）社会福利（款）儿童福利（项）</w:t>
      </w:r>
      <w:r w:rsidR="008248F9" w:rsidRPr="00086F66">
        <w:rPr>
          <w:rStyle w:val="a8"/>
          <w:rFonts w:ascii="仿宋" w:eastAsia="仿宋" w:hAnsi="仿宋"/>
          <w:bCs/>
          <w:color w:val="000000"/>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1.4</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，决算数等于预算数</w:t>
      </w:r>
      <w:r w:rsidR="008248F9">
        <w:rPr>
          <w:rStyle w:val="a8"/>
          <w:rFonts w:ascii="仿宋" w:eastAsia="仿宋" w:hAnsi="仿宋" w:hint="eastAsia"/>
          <w:b w:val="0"/>
          <w:bCs/>
          <w:sz w:val="32"/>
          <w:szCs w:val="32"/>
        </w:rPr>
        <w:t>。</w:t>
      </w:r>
    </w:p>
    <w:p w:rsidR="008248F9" w:rsidRDefault="00D45137" w:rsidP="008248F9">
      <w:pPr>
        <w:pStyle w:val="a0"/>
        <w:spacing w:before="93"/>
        <w:ind w:firstLine="585"/>
        <w:rPr>
          <w:rStyle w:val="a8"/>
          <w:rFonts w:ascii="仿宋" w:eastAsia="仿宋" w:hAnsi="仿宋"/>
          <w:b w:val="0"/>
          <w:bCs/>
          <w:sz w:val="32"/>
          <w:szCs w:val="32"/>
        </w:rPr>
      </w:pPr>
      <w:r>
        <w:rPr>
          <w:rStyle w:val="a8"/>
          <w:rFonts w:ascii="仿宋" w:eastAsia="仿宋" w:hAnsi="仿宋" w:hint="eastAsia"/>
          <w:bCs/>
          <w:sz w:val="32"/>
          <w:szCs w:val="32"/>
        </w:rPr>
        <w:t>15</w:t>
      </w:r>
      <w:r w:rsidR="008248F9">
        <w:rPr>
          <w:rStyle w:val="a8"/>
          <w:rFonts w:ascii="仿宋" w:eastAsia="仿宋" w:hAnsi="仿宋"/>
          <w:bCs/>
          <w:sz w:val="32"/>
          <w:szCs w:val="32"/>
        </w:rPr>
        <w:t>.</w:t>
      </w:r>
      <w:r w:rsidR="008248F9">
        <w:rPr>
          <w:rStyle w:val="a8"/>
          <w:rFonts w:ascii="仿宋" w:eastAsia="仿宋" w:hAnsi="仿宋" w:hint="eastAsia"/>
          <w:bCs/>
          <w:color w:val="000000"/>
          <w:sz w:val="32"/>
          <w:szCs w:val="32"/>
        </w:rPr>
        <w:t>卫生健康</w:t>
      </w:r>
      <w:r w:rsidR="008248F9" w:rsidRPr="00086F66">
        <w:rPr>
          <w:rStyle w:val="a8"/>
          <w:rFonts w:ascii="仿宋" w:eastAsia="仿宋" w:hAnsi="仿宋" w:hint="eastAsia"/>
          <w:bCs/>
          <w:color w:val="000000"/>
          <w:sz w:val="32"/>
          <w:szCs w:val="32"/>
        </w:rPr>
        <w:t>（类）</w:t>
      </w:r>
      <w:r w:rsidR="008248F9">
        <w:rPr>
          <w:rStyle w:val="a8"/>
          <w:rFonts w:ascii="仿宋" w:eastAsia="仿宋" w:hAnsi="仿宋" w:hint="eastAsia"/>
          <w:bCs/>
          <w:color w:val="000000"/>
          <w:sz w:val="32"/>
          <w:szCs w:val="32"/>
        </w:rPr>
        <w:t>公共卫生</w:t>
      </w:r>
      <w:r w:rsidR="008248F9" w:rsidRPr="00086F66">
        <w:rPr>
          <w:rStyle w:val="a8"/>
          <w:rFonts w:ascii="仿宋" w:eastAsia="仿宋" w:hAnsi="仿宋" w:hint="eastAsia"/>
          <w:bCs/>
          <w:color w:val="000000"/>
          <w:sz w:val="32"/>
          <w:szCs w:val="32"/>
        </w:rPr>
        <w:t>（款）</w:t>
      </w:r>
      <w:r w:rsidR="008248F9">
        <w:rPr>
          <w:rStyle w:val="a8"/>
          <w:rFonts w:ascii="仿宋" w:eastAsia="仿宋" w:hAnsi="仿宋" w:hint="eastAsia"/>
          <w:bCs/>
          <w:color w:val="000000"/>
          <w:sz w:val="32"/>
          <w:szCs w:val="32"/>
        </w:rPr>
        <w:t>重大公共卫生服务</w:t>
      </w:r>
      <w:r w:rsidR="008248F9" w:rsidRPr="00086F66">
        <w:rPr>
          <w:rStyle w:val="a8"/>
          <w:rFonts w:ascii="仿宋" w:eastAsia="仿宋" w:hAnsi="仿宋" w:hint="eastAsia"/>
          <w:bCs/>
          <w:color w:val="000000"/>
          <w:sz w:val="32"/>
          <w:szCs w:val="32"/>
        </w:rPr>
        <w:t>（项）</w:t>
      </w:r>
      <w:r w:rsidR="008248F9" w:rsidRPr="00086F66">
        <w:rPr>
          <w:rStyle w:val="a8"/>
          <w:rFonts w:ascii="仿宋" w:eastAsia="仿宋" w:hAnsi="仿宋"/>
          <w:bCs/>
          <w:color w:val="000000"/>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6</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，决算数等于预算数</w:t>
      </w:r>
      <w:r w:rsidR="008248F9">
        <w:rPr>
          <w:rStyle w:val="a8"/>
          <w:rFonts w:ascii="仿宋" w:eastAsia="仿宋" w:hAnsi="仿宋" w:hint="eastAsia"/>
          <w:b w:val="0"/>
          <w:bCs/>
          <w:sz w:val="32"/>
          <w:szCs w:val="32"/>
        </w:rPr>
        <w:t>。</w:t>
      </w:r>
    </w:p>
    <w:p w:rsidR="008248F9" w:rsidRPr="008248F9" w:rsidRDefault="00D45137" w:rsidP="008248F9">
      <w:pPr>
        <w:pStyle w:val="a0"/>
        <w:spacing w:before="93"/>
        <w:ind w:firstLine="585"/>
      </w:pPr>
      <w:r>
        <w:rPr>
          <w:rStyle w:val="a8"/>
          <w:rFonts w:ascii="仿宋" w:eastAsia="仿宋" w:hAnsi="仿宋" w:hint="eastAsia"/>
          <w:bCs/>
          <w:sz w:val="32"/>
          <w:szCs w:val="32"/>
        </w:rPr>
        <w:t>16</w:t>
      </w:r>
      <w:r w:rsidR="008248F9">
        <w:rPr>
          <w:rStyle w:val="a8"/>
          <w:rFonts w:ascii="仿宋" w:eastAsia="仿宋" w:hAnsi="仿宋"/>
          <w:bCs/>
          <w:sz w:val="32"/>
          <w:szCs w:val="32"/>
        </w:rPr>
        <w:t>.</w:t>
      </w:r>
      <w:r w:rsidR="008248F9">
        <w:rPr>
          <w:rStyle w:val="a8"/>
          <w:rFonts w:ascii="仿宋" w:eastAsia="仿宋" w:hAnsi="仿宋" w:hint="eastAsia"/>
          <w:bCs/>
          <w:color w:val="000000"/>
          <w:sz w:val="32"/>
          <w:szCs w:val="32"/>
        </w:rPr>
        <w:t>卫生健康</w:t>
      </w:r>
      <w:r w:rsidR="008248F9" w:rsidRPr="00086F66">
        <w:rPr>
          <w:rStyle w:val="a8"/>
          <w:rFonts w:ascii="仿宋" w:eastAsia="仿宋" w:hAnsi="仿宋" w:hint="eastAsia"/>
          <w:bCs/>
          <w:color w:val="000000"/>
          <w:sz w:val="32"/>
          <w:szCs w:val="32"/>
        </w:rPr>
        <w:t>（类）</w:t>
      </w:r>
      <w:r w:rsidR="008248F9">
        <w:rPr>
          <w:rStyle w:val="a8"/>
          <w:rFonts w:ascii="仿宋" w:eastAsia="仿宋" w:hAnsi="仿宋" w:hint="eastAsia"/>
          <w:bCs/>
          <w:color w:val="000000"/>
          <w:sz w:val="32"/>
          <w:szCs w:val="32"/>
        </w:rPr>
        <w:t>其他卫生健康支出</w:t>
      </w:r>
      <w:r w:rsidR="008248F9" w:rsidRPr="00086F66">
        <w:rPr>
          <w:rStyle w:val="a8"/>
          <w:rFonts w:ascii="仿宋" w:eastAsia="仿宋" w:hAnsi="仿宋" w:hint="eastAsia"/>
          <w:bCs/>
          <w:color w:val="000000"/>
          <w:sz w:val="32"/>
          <w:szCs w:val="32"/>
        </w:rPr>
        <w:t>（款）</w:t>
      </w:r>
      <w:r w:rsidR="008248F9">
        <w:rPr>
          <w:rStyle w:val="a8"/>
          <w:rFonts w:ascii="仿宋" w:eastAsia="仿宋" w:hAnsi="仿宋" w:hint="eastAsia"/>
          <w:bCs/>
          <w:color w:val="000000"/>
          <w:sz w:val="32"/>
          <w:szCs w:val="32"/>
        </w:rPr>
        <w:t>其他卫生健康支出</w:t>
      </w:r>
      <w:r w:rsidR="008248F9" w:rsidRPr="00086F66">
        <w:rPr>
          <w:rStyle w:val="a8"/>
          <w:rFonts w:ascii="仿宋" w:eastAsia="仿宋" w:hAnsi="仿宋" w:hint="eastAsia"/>
          <w:bCs/>
          <w:color w:val="000000"/>
          <w:sz w:val="32"/>
          <w:szCs w:val="32"/>
        </w:rPr>
        <w:t>（项）</w:t>
      </w:r>
      <w:r w:rsidR="008248F9" w:rsidRPr="00086F66">
        <w:rPr>
          <w:rStyle w:val="a8"/>
          <w:rFonts w:ascii="仿宋" w:eastAsia="仿宋" w:hAnsi="仿宋"/>
          <w:bCs/>
          <w:color w:val="000000"/>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0.64</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w:t>
      </w:r>
      <w:r w:rsidR="008248F9" w:rsidRPr="00086F66">
        <w:rPr>
          <w:rStyle w:val="a8"/>
          <w:rFonts w:ascii="仿宋" w:eastAsia="仿宋" w:hAnsi="仿宋" w:hint="eastAsia"/>
          <w:b w:val="0"/>
          <w:bCs/>
          <w:color w:val="000000"/>
          <w:sz w:val="32"/>
          <w:szCs w:val="32"/>
        </w:rPr>
        <w:lastRenderedPageBreak/>
        <w:t>数等于预算数</w:t>
      </w:r>
      <w:r w:rsidR="008248F9">
        <w:rPr>
          <w:rStyle w:val="a8"/>
          <w:rFonts w:ascii="仿宋" w:eastAsia="仿宋" w:hAnsi="仿宋" w:hint="eastAsia"/>
          <w:b w:val="0"/>
          <w:bCs/>
          <w:sz w:val="32"/>
          <w:szCs w:val="32"/>
        </w:rPr>
        <w:t>。</w:t>
      </w:r>
    </w:p>
    <w:p w:rsidR="008248F9" w:rsidRDefault="00D45137" w:rsidP="008248F9">
      <w:pPr>
        <w:pStyle w:val="a0"/>
        <w:spacing w:before="93"/>
        <w:ind w:firstLine="585"/>
        <w:rPr>
          <w:rStyle w:val="a8"/>
          <w:rFonts w:ascii="仿宋" w:eastAsia="仿宋" w:hAnsi="仿宋"/>
          <w:b w:val="0"/>
          <w:bCs/>
          <w:color w:val="000000"/>
          <w:sz w:val="32"/>
          <w:szCs w:val="32"/>
        </w:rPr>
      </w:pPr>
      <w:r>
        <w:rPr>
          <w:rStyle w:val="a8"/>
          <w:rFonts w:ascii="仿宋" w:eastAsia="仿宋" w:hAnsi="仿宋" w:hint="eastAsia"/>
          <w:bCs/>
          <w:sz w:val="32"/>
          <w:szCs w:val="32"/>
        </w:rPr>
        <w:t>17</w:t>
      </w:r>
      <w:r w:rsidR="008248F9">
        <w:rPr>
          <w:rStyle w:val="a8"/>
          <w:rFonts w:ascii="仿宋" w:eastAsia="仿宋" w:hAnsi="仿宋"/>
          <w:bCs/>
          <w:sz w:val="32"/>
          <w:szCs w:val="32"/>
        </w:rPr>
        <w:t>.</w:t>
      </w:r>
      <w:r w:rsidR="008248F9" w:rsidRPr="00086F66">
        <w:rPr>
          <w:rFonts w:ascii="仿宋" w:eastAsia="仿宋" w:hAnsi="仿宋" w:hint="eastAsia"/>
          <w:b/>
          <w:bCs/>
          <w:color w:val="000000"/>
          <w:sz w:val="32"/>
          <w:szCs w:val="32"/>
        </w:rPr>
        <w:t>城乡社区支出</w:t>
      </w:r>
      <w:r w:rsidR="008248F9" w:rsidRPr="00086F66">
        <w:rPr>
          <w:rStyle w:val="a8"/>
          <w:rFonts w:ascii="仿宋" w:eastAsia="仿宋" w:hAnsi="仿宋" w:hint="eastAsia"/>
          <w:bCs/>
          <w:color w:val="000000"/>
          <w:sz w:val="32"/>
          <w:szCs w:val="32"/>
        </w:rPr>
        <w:t>（类）</w:t>
      </w:r>
      <w:r w:rsidR="008248F9">
        <w:rPr>
          <w:rStyle w:val="a8"/>
          <w:rFonts w:ascii="仿宋" w:eastAsia="仿宋" w:hAnsi="仿宋" w:hint="eastAsia"/>
          <w:bCs/>
          <w:color w:val="000000"/>
          <w:sz w:val="32"/>
          <w:szCs w:val="32"/>
        </w:rPr>
        <w:t>城乡</w:t>
      </w:r>
      <w:r w:rsidR="008248F9" w:rsidRPr="00086F66">
        <w:rPr>
          <w:rStyle w:val="a8"/>
          <w:rFonts w:ascii="仿宋" w:eastAsia="仿宋" w:hAnsi="仿宋" w:hint="eastAsia"/>
          <w:bCs/>
          <w:color w:val="000000"/>
          <w:sz w:val="32"/>
          <w:szCs w:val="32"/>
        </w:rPr>
        <w:t>社区公共设施（款）其他城乡社区公共设施支出（项）</w:t>
      </w:r>
      <w:r w:rsidR="008248F9" w:rsidRPr="00086F66">
        <w:rPr>
          <w:rStyle w:val="a8"/>
          <w:rFonts w:ascii="仿宋" w:eastAsia="仿宋" w:hAnsi="仿宋"/>
          <w:bCs/>
          <w:color w:val="000000"/>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100</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，决算数等于预算数</w:t>
      </w:r>
      <w:r w:rsidR="008248F9">
        <w:rPr>
          <w:rStyle w:val="a8"/>
          <w:rFonts w:ascii="仿宋" w:eastAsia="仿宋" w:hAnsi="仿宋" w:hint="eastAsia"/>
          <w:b w:val="0"/>
          <w:bCs/>
          <w:color w:val="000000"/>
          <w:sz w:val="32"/>
          <w:szCs w:val="32"/>
        </w:rPr>
        <w:t>。</w:t>
      </w:r>
    </w:p>
    <w:p w:rsidR="008248F9" w:rsidRDefault="00D45137" w:rsidP="008248F9">
      <w:pPr>
        <w:pStyle w:val="a0"/>
        <w:spacing w:before="93"/>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18</w:t>
      </w:r>
      <w:r w:rsidR="008248F9">
        <w:rPr>
          <w:rStyle w:val="a8"/>
          <w:rFonts w:ascii="仿宋" w:eastAsia="仿宋" w:hAnsi="仿宋"/>
          <w:bCs/>
          <w:sz w:val="32"/>
          <w:szCs w:val="32"/>
        </w:rPr>
        <w:t>.</w:t>
      </w:r>
      <w:r w:rsidR="008248F9" w:rsidRPr="00086F66">
        <w:rPr>
          <w:rFonts w:ascii="仿宋" w:eastAsia="仿宋" w:hAnsi="仿宋" w:hint="eastAsia"/>
          <w:b/>
          <w:bCs/>
          <w:color w:val="000000"/>
          <w:sz w:val="32"/>
          <w:szCs w:val="32"/>
        </w:rPr>
        <w:t>住房保障支出</w:t>
      </w:r>
      <w:r w:rsidR="008248F9" w:rsidRPr="00086F66">
        <w:rPr>
          <w:rStyle w:val="a8"/>
          <w:rFonts w:ascii="仿宋" w:eastAsia="仿宋" w:hAnsi="仿宋" w:hint="eastAsia"/>
          <w:bCs/>
          <w:color w:val="000000"/>
          <w:sz w:val="32"/>
          <w:szCs w:val="32"/>
        </w:rPr>
        <w:t>（类）住房改革支出（款）住房公积金（项）</w:t>
      </w:r>
      <w:r w:rsidR="008248F9" w:rsidRPr="00086F66">
        <w:rPr>
          <w:rStyle w:val="a8"/>
          <w:rFonts w:ascii="仿宋" w:eastAsia="仿宋" w:hAnsi="仿宋"/>
          <w:bCs/>
          <w:color w:val="000000"/>
          <w:sz w:val="32"/>
          <w:szCs w:val="32"/>
        </w:rPr>
        <w:t>:</w:t>
      </w:r>
      <w:r w:rsidR="008248F9" w:rsidRPr="00086F66">
        <w:rPr>
          <w:rStyle w:val="a8"/>
          <w:rFonts w:ascii="仿宋" w:eastAsia="仿宋" w:hAnsi="仿宋" w:hint="eastAsia"/>
          <w:b w:val="0"/>
          <w:bCs/>
          <w:color w:val="000000"/>
          <w:sz w:val="32"/>
          <w:szCs w:val="32"/>
        </w:rPr>
        <w:t>支出决算为</w:t>
      </w:r>
      <w:r w:rsidR="008248F9">
        <w:rPr>
          <w:rStyle w:val="a8"/>
          <w:rFonts w:ascii="仿宋" w:eastAsia="仿宋" w:hAnsi="仿宋" w:hint="eastAsia"/>
          <w:b w:val="0"/>
          <w:bCs/>
          <w:color w:val="000000"/>
          <w:sz w:val="32"/>
          <w:szCs w:val="32"/>
        </w:rPr>
        <w:t>3737.63</w:t>
      </w:r>
      <w:r w:rsidR="008248F9" w:rsidRPr="00086F66">
        <w:rPr>
          <w:rStyle w:val="a8"/>
          <w:rFonts w:ascii="仿宋" w:eastAsia="仿宋" w:hAnsi="仿宋" w:hint="eastAsia"/>
          <w:b w:val="0"/>
          <w:bCs/>
          <w:color w:val="000000"/>
          <w:sz w:val="32"/>
          <w:szCs w:val="32"/>
        </w:rPr>
        <w:t>万元，完成预算100</w:t>
      </w:r>
      <w:r w:rsidR="008248F9" w:rsidRPr="00086F66">
        <w:rPr>
          <w:rStyle w:val="a8"/>
          <w:rFonts w:ascii="仿宋" w:eastAsia="仿宋" w:hAnsi="仿宋"/>
          <w:b w:val="0"/>
          <w:bCs/>
          <w:color w:val="000000"/>
          <w:sz w:val="32"/>
          <w:szCs w:val="32"/>
        </w:rPr>
        <w:t>%</w:t>
      </w:r>
      <w:r w:rsidR="008248F9" w:rsidRPr="00086F66">
        <w:rPr>
          <w:rStyle w:val="a8"/>
          <w:rFonts w:ascii="仿宋" w:eastAsia="仿宋" w:hAnsi="仿宋" w:hint="eastAsia"/>
          <w:b w:val="0"/>
          <w:bCs/>
          <w:color w:val="000000"/>
          <w:sz w:val="32"/>
          <w:szCs w:val="32"/>
        </w:rPr>
        <w:t>，决算数等于预算数</w:t>
      </w:r>
      <w:r w:rsidR="008248F9">
        <w:rPr>
          <w:rStyle w:val="a8"/>
          <w:rFonts w:ascii="仿宋" w:eastAsia="仿宋" w:hAnsi="仿宋" w:hint="eastAsia"/>
          <w:b w:val="0"/>
          <w:bCs/>
          <w:sz w:val="32"/>
          <w:szCs w:val="32"/>
        </w:rPr>
        <w:t>。</w:t>
      </w:r>
    </w:p>
    <w:p w:rsidR="009E4DB6" w:rsidRDefault="00EF39C0">
      <w:pPr>
        <w:tabs>
          <w:tab w:val="right" w:pos="8306"/>
        </w:tabs>
        <w:spacing w:line="600" w:lineRule="exact"/>
        <w:ind w:firstLine="640"/>
        <w:outlineLvl w:val="1"/>
        <w:rPr>
          <w:rStyle w:val="2Char"/>
        </w:rPr>
      </w:pPr>
      <w:bookmarkStart w:id="38" w:name="_Toc15396608"/>
      <w:bookmarkStart w:id="39"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9E4DB6" w:rsidRDefault="00EF39C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D45137">
        <w:rPr>
          <w:rFonts w:ascii="仿宋" w:eastAsia="仿宋" w:hAnsi="仿宋" w:hint="eastAsia"/>
          <w:sz w:val="32"/>
          <w:szCs w:val="32"/>
        </w:rPr>
        <w:t>50412.39</w:t>
      </w:r>
      <w:r>
        <w:rPr>
          <w:rFonts w:ascii="仿宋" w:eastAsia="仿宋" w:hAnsi="仿宋" w:hint="eastAsia"/>
          <w:sz w:val="32"/>
          <w:szCs w:val="32"/>
        </w:rPr>
        <w:t>万元，其中：</w:t>
      </w:r>
    </w:p>
    <w:p w:rsidR="009E4DB6" w:rsidRDefault="00EF39C0" w:rsidP="004556E3">
      <w:pPr>
        <w:spacing w:line="600" w:lineRule="exact"/>
        <w:ind w:firstLine="645"/>
        <w:rPr>
          <w:rFonts w:ascii="仿宋" w:eastAsia="仿宋" w:hAnsi="仿宋"/>
          <w:sz w:val="32"/>
          <w:szCs w:val="32"/>
        </w:rPr>
      </w:pPr>
      <w:r>
        <w:rPr>
          <w:rFonts w:ascii="仿宋" w:eastAsia="仿宋" w:hAnsi="仿宋" w:hint="eastAsia"/>
          <w:sz w:val="32"/>
          <w:szCs w:val="32"/>
        </w:rPr>
        <w:t>人员经费</w:t>
      </w:r>
      <w:r w:rsidR="00D45137">
        <w:rPr>
          <w:rFonts w:ascii="仿宋" w:eastAsia="仿宋" w:hAnsi="仿宋" w:hint="eastAsia"/>
          <w:sz w:val="32"/>
          <w:szCs w:val="32"/>
        </w:rPr>
        <w:t>44619.13</w:t>
      </w:r>
      <w:r>
        <w:rPr>
          <w:rFonts w:ascii="仿宋" w:eastAsia="仿宋" w:hAnsi="仿宋" w:hint="eastAsia"/>
          <w:sz w:val="32"/>
          <w:szCs w:val="32"/>
        </w:rPr>
        <w:t>万元，</w:t>
      </w:r>
      <w:r w:rsidR="00D45137" w:rsidRPr="00A9623C">
        <w:rPr>
          <w:rFonts w:ascii="仿宋" w:eastAsia="仿宋" w:hAnsi="仿宋" w:hint="eastAsia"/>
          <w:sz w:val="32"/>
          <w:szCs w:val="32"/>
        </w:rPr>
        <w:t>主要包括：基本工资</w:t>
      </w:r>
      <w:r w:rsidR="004556E3">
        <w:rPr>
          <w:rFonts w:ascii="仿宋" w:eastAsia="仿宋" w:hAnsi="仿宋" w:hint="eastAsia"/>
          <w:sz w:val="32"/>
          <w:szCs w:val="32"/>
        </w:rPr>
        <w:t>8177.16</w:t>
      </w:r>
      <w:r w:rsidR="00D45137" w:rsidRPr="00A9623C">
        <w:rPr>
          <w:rFonts w:ascii="仿宋" w:eastAsia="仿宋" w:hAnsi="仿宋" w:hint="eastAsia"/>
          <w:sz w:val="32"/>
          <w:szCs w:val="32"/>
        </w:rPr>
        <w:t>万元、津贴补贴18</w:t>
      </w:r>
      <w:r w:rsidR="004556E3">
        <w:rPr>
          <w:rFonts w:ascii="仿宋" w:eastAsia="仿宋" w:hAnsi="仿宋" w:hint="eastAsia"/>
          <w:sz w:val="32"/>
          <w:szCs w:val="32"/>
        </w:rPr>
        <w:t>875.08</w:t>
      </w:r>
      <w:r w:rsidR="00D45137" w:rsidRPr="00A9623C">
        <w:rPr>
          <w:rFonts w:ascii="仿宋" w:eastAsia="仿宋" w:hAnsi="仿宋" w:hint="eastAsia"/>
          <w:sz w:val="32"/>
          <w:szCs w:val="32"/>
        </w:rPr>
        <w:t>万元、奖金3</w:t>
      </w:r>
      <w:r w:rsidR="004556E3">
        <w:rPr>
          <w:rFonts w:ascii="仿宋" w:eastAsia="仿宋" w:hAnsi="仿宋" w:hint="eastAsia"/>
          <w:sz w:val="32"/>
          <w:szCs w:val="32"/>
        </w:rPr>
        <w:t>124.42</w:t>
      </w:r>
      <w:r w:rsidR="00D45137" w:rsidRPr="00A9623C">
        <w:rPr>
          <w:rFonts w:ascii="仿宋" w:eastAsia="仿宋" w:hAnsi="仿宋" w:hint="eastAsia"/>
          <w:sz w:val="32"/>
          <w:szCs w:val="32"/>
        </w:rPr>
        <w:t>万元、绩效工资1</w:t>
      </w:r>
      <w:r w:rsidR="004556E3">
        <w:rPr>
          <w:rFonts w:ascii="仿宋" w:eastAsia="仿宋" w:hAnsi="仿宋" w:hint="eastAsia"/>
          <w:sz w:val="32"/>
          <w:szCs w:val="32"/>
        </w:rPr>
        <w:t>5.83</w:t>
      </w:r>
      <w:r w:rsidR="00D45137" w:rsidRPr="00A9623C">
        <w:rPr>
          <w:rFonts w:ascii="仿宋" w:eastAsia="仿宋" w:hAnsi="仿宋" w:hint="eastAsia"/>
          <w:sz w:val="32"/>
          <w:szCs w:val="32"/>
        </w:rPr>
        <w:t>万元、机关事业单位基本养老保险</w:t>
      </w:r>
      <w:r w:rsidR="00D45137">
        <w:rPr>
          <w:rFonts w:ascii="仿宋" w:eastAsia="仿宋" w:hAnsi="仿宋" w:hint="eastAsia"/>
          <w:sz w:val="32"/>
          <w:szCs w:val="32"/>
        </w:rPr>
        <w:t>缴</w:t>
      </w:r>
      <w:r w:rsidR="00D45137" w:rsidRPr="00A9623C">
        <w:rPr>
          <w:rFonts w:ascii="仿宋" w:eastAsia="仿宋" w:hAnsi="仿宋" w:hint="eastAsia"/>
          <w:sz w:val="32"/>
          <w:szCs w:val="32"/>
        </w:rPr>
        <w:t>费2</w:t>
      </w:r>
      <w:r w:rsidR="004556E3">
        <w:rPr>
          <w:rFonts w:ascii="仿宋" w:eastAsia="仿宋" w:hAnsi="仿宋" w:hint="eastAsia"/>
          <w:sz w:val="32"/>
          <w:szCs w:val="32"/>
        </w:rPr>
        <w:t>824.05</w:t>
      </w:r>
      <w:r w:rsidR="00D45137" w:rsidRPr="00A9623C">
        <w:rPr>
          <w:rFonts w:ascii="仿宋" w:eastAsia="仿宋" w:hAnsi="仿宋" w:hint="eastAsia"/>
          <w:sz w:val="32"/>
          <w:szCs w:val="32"/>
        </w:rPr>
        <w:t>万元、职工基本医疗保险缴费</w:t>
      </w:r>
      <w:r w:rsidR="004556E3">
        <w:rPr>
          <w:rFonts w:ascii="仿宋" w:eastAsia="仿宋" w:hAnsi="仿宋" w:hint="eastAsia"/>
          <w:sz w:val="32"/>
          <w:szCs w:val="32"/>
        </w:rPr>
        <w:t>2460.59</w:t>
      </w:r>
      <w:r w:rsidR="00D45137" w:rsidRPr="00A9623C">
        <w:rPr>
          <w:rFonts w:ascii="仿宋" w:eastAsia="仿宋" w:hAnsi="仿宋" w:hint="eastAsia"/>
          <w:sz w:val="32"/>
          <w:szCs w:val="32"/>
        </w:rPr>
        <w:t>万元、公务员医疗补助缴费</w:t>
      </w:r>
      <w:r w:rsidR="004556E3">
        <w:rPr>
          <w:rFonts w:ascii="仿宋" w:eastAsia="仿宋" w:hAnsi="仿宋" w:hint="eastAsia"/>
          <w:sz w:val="32"/>
          <w:szCs w:val="32"/>
        </w:rPr>
        <w:t>1220.13</w:t>
      </w:r>
      <w:r w:rsidR="00D45137" w:rsidRPr="00A9623C">
        <w:rPr>
          <w:rFonts w:ascii="仿宋" w:eastAsia="仿宋" w:hAnsi="仿宋" w:hint="eastAsia"/>
          <w:sz w:val="32"/>
          <w:szCs w:val="32"/>
        </w:rPr>
        <w:t>万元、其他社会保障缴费</w:t>
      </w:r>
      <w:r w:rsidR="004556E3">
        <w:rPr>
          <w:rFonts w:ascii="仿宋" w:eastAsia="仿宋" w:hAnsi="仿宋" w:hint="eastAsia"/>
          <w:sz w:val="32"/>
          <w:szCs w:val="32"/>
        </w:rPr>
        <w:t>59.8</w:t>
      </w:r>
      <w:r w:rsidR="00D45137">
        <w:rPr>
          <w:rFonts w:ascii="仿宋" w:eastAsia="仿宋" w:hAnsi="仿宋" w:hint="eastAsia"/>
          <w:sz w:val="32"/>
          <w:szCs w:val="32"/>
        </w:rPr>
        <w:t>6</w:t>
      </w:r>
      <w:r w:rsidR="00D45137" w:rsidRPr="00A9623C">
        <w:rPr>
          <w:rFonts w:ascii="仿宋" w:eastAsia="仿宋" w:hAnsi="仿宋" w:hint="eastAsia"/>
          <w:sz w:val="32"/>
          <w:szCs w:val="32"/>
        </w:rPr>
        <w:t>万元、住房公积金</w:t>
      </w:r>
      <w:r w:rsidR="004556E3">
        <w:rPr>
          <w:rFonts w:ascii="仿宋" w:eastAsia="仿宋" w:hAnsi="仿宋" w:hint="eastAsia"/>
          <w:sz w:val="32"/>
          <w:szCs w:val="32"/>
        </w:rPr>
        <w:t>3737.63</w:t>
      </w:r>
      <w:r w:rsidR="00D45137" w:rsidRPr="00A9623C">
        <w:rPr>
          <w:rFonts w:ascii="仿宋" w:eastAsia="仿宋" w:hAnsi="仿宋" w:hint="eastAsia"/>
          <w:sz w:val="32"/>
          <w:szCs w:val="32"/>
        </w:rPr>
        <w:t>万元、</w:t>
      </w:r>
      <w:r w:rsidR="004556E3">
        <w:rPr>
          <w:rFonts w:ascii="仿宋" w:eastAsia="仿宋" w:hAnsi="仿宋" w:hint="eastAsia"/>
          <w:sz w:val="32"/>
          <w:szCs w:val="32"/>
        </w:rPr>
        <w:t>医疗费4.23万元、</w:t>
      </w:r>
      <w:r w:rsidR="00D45137" w:rsidRPr="00A9623C">
        <w:rPr>
          <w:rFonts w:ascii="仿宋" w:eastAsia="仿宋" w:hAnsi="仿宋" w:hint="eastAsia"/>
          <w:sz w:val="32"/>
          <w:szCs w:val="32"/>
        </w:rPr>
        <w:t>其他工资福利支出1</w:t>
      </w:r>
      <w:r w:rsidR="004556E3">
        <w:rPr>
          <w:rFonts w:ascii="仿宋" w:eastAsia="仿宋" w:hAnsi="仿宋" w:hint="eastAsia"/>
          <w:sz w:val="32"/>
          <w:szCs w:val="32"/>
        </w:rPr>
        <w:t>208.99</w:t>
      </w:r>
      <w:r w:rsidR="00D45137" w:rsidRPr="00A9623C">
        <w:rPr>
          <w:rFonts w:ascii="仿宋" w:eastAsia="仿宋" w:hAnsi="仿宋" w:hint="eastAsia"/>
          <w:sz w:val="32"/>
          <w:szCs w:val="32"/>
        </w:rPr>
        <w:t>万元、离休费</w:t>
      </w:r>
      <w:r w:rsidR="00D45137">
        <w:rPr>
          <w:rFonts w:ascii="仿宋" w:eastAsia="仿宋" w:hAnsi="仿宋" w:hint="eastAsia"/>
          <w:sz w:val="32"/>
          <w:szCs w:val="32"/>
        </w:rPr>
        <w:t>3</w:t>
      </w:r>
      <w:r w:rsidR="004556E3">
        <w:rPr>
          <w:rFonts w:ascii="仿宋" w:eastAsia="仿宋" w:hAnsi="仿宋" w:hint="eastAsia"/>
          <w:sz w:val="32"/>
          <w:szCs w:val="32"/>
        </w:rPr>
        <w:t>4.31</w:t>
      </w:r>
      <w:r w:rsidR="00D45137" w:rsidRPr="00A9623C">
        <w:rPr>
          <w:rFonts w:ascii="仿宋" w:eastAsia="仿宋" w:hAnsi="仿宋" w:hint="eastAsia"/>
          <w:sz w:val="32"/>
          <w:szCs w:val="32"/>
        </w:rPr>
        <w:t>万元、抚恤金</w:t>
      </w:r>
      <w:r w:rsidR="00D45137">
        <w:rPr>
          <w:rFonts w:ascii="仿宋" w:eastAsia="仿宋" w:hAnsi="仿宋" w:hint="eastAsia"/>
          <w:sz w:val="32"/>
          <w:szCs w:val="32"/>
        </w:rPr>
        <w:t>5</w:t>
      </w:r>
      <w:r w:rsidR="004556E3">
        <w:rPr>
          <w:rFonts w:ascii="仿宋" w:eastAsia="仿宋" w:hAnsi="仿宋" w:hint="eastAsia"/>
          <w:sz w:val="32"/>
          <w:szCs w:val="32"/>
        </w:rPr>
        <w:t>4.3</w:t>
      </w:r>
      <w:r w:rsidR="00D45137" w:rsidRPr="00A9623C">
        <w:rPr>
          <w:rFonts w:ascii="仿宋" w:eastAsia="仿宋" w:hAnsi="仿宋" w:hint="eastAsia"/>
          <w:sz w:val="32"/>
          <w:szCs w:val="32"/>
        </w:rPr>
        <w:t>万元、生活补助</w:t>
      </w:r>
      <w:r w:rsidR="00D45137">
        <w:rPr>
          <w:rFonts w:ascii="仿宋" w:eastAsia="仿宋" w:hAnsi="仿宋" w:hint="eastAsia"/>
          <w:sz w:val="32"/>
          <w:szCs w:val="32"/>
        </w:rPr>
        <w:t>2</w:t>
      </w:r>
      <w:r w:rsidR="004556E3">
        <w:rPr>
          <w:rFonts w:ascii="仿宋" w:eastAsia="仿宋" w:hAnsi="仿宋" w:hint="eastAsia"/>
          <w:sz w:val="32"/>
          <w:szCs w:val="32"/>
        </w:rPr>
        <w:t>803.25</w:t>
      </w:r>
      <w:r w:rsidR="00D45137" w:rsidRPr="00A9623C">
        <w:rPr>
          <w:rFonts w:ascii="仿宋" w:eastAsia="仿宋" w:hAnsi="仿宋" w:hint="eastAsia"/>
          <w:sz w:val="32"/>
          <w:szCs w:val="32"/>
        </w:rPr>
        <w:t>万元、医疗费补助</w:t>
      </w:r>
      <w:r w:rsidR="004556E3">
        <w:rPr>
          <w:rFonts w:ascii="仿宋" w:eastAsia="仿宋" w:hAnsi="仿宋" w:hint="eastAsia"/>
          <w:sz w:val="32"/>
          <w:szCs w:val="32"/>
        </w:rPr>
        <w:t>17.82</w:t>
      </w:r>
      <w:r w:rsidR="00D45137" w:rsidRPr="00A9623C">
        <w:rPr>
          <w:rFonts w:ascii="仿宋" w:eastAsia="仿宋" w:hAnsi="仿宋" w:hint="eastAsia"/>
          <w:sz w:val="32"/>
          <w:szCs w:val="32"/>
        </w:rPr>
        <w:t>万元、其他对个人和家庭的补助支出</w:t>
      </w:r>
      <w:r w:rsidR="004556E3">
        <w:rPr>
          <w:rFonts w:ascii="仿宋" w:eastAsia="仿宋" w:hAnsi="仿宋" w:hint="eastAsia"/>
          <w:sz w:val="32"/>
          <w:szCs w:val="32"/>
        </w:rPr>
        <w:t>1.48</w:t>
      </w:r>
      <w:r w:rsidR="00D45137">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br/>
      </w:r>
      <w:r>
        <w:rPr>
          <w:rFonts w:ascii="仿宋" w:eastAsia="仿宋" w:hAnsi="仿宋" w:hint="eastAsia"/>
          <w:sz w:val="32"/>
          <w:szCs w:val="32"/>
        </w:rPr>
        <w:t xml:space="preserve">　　公用经费</w:t>
      </w:r>
      <w:r w:rsidR="004556E3">
        <w:rPr>
          <w:rFonts w:ascii="仿宋" w:eastAsia="仿宋" w:hAnsi="仿宋" w:hint="eastAsia"/>
          <w:sz w:val="32"/>
          <w:szCs w:val="32"/>
        </w:rPr>
        <w:t>5793.26</w:t>
      </w:r>
      <w:r>
        <w:rPr>
          <w:rFonts w:ascii="仿宋" w:eastAsia="仿宋" w:hAnsi="仿宋" w:hint="eastAsia"/>
          <w:sz w:val="32"/>
          <w:szCs w:val="32"/>
        </w:rPr>
        <w:t>万元，主要包括：</w:t>
      </w:r>
      <w:r w:rsidR="004556E3" w:rsidRPr="00991D6A">
        <w:rPr>
          <w:rFonts w:ascii="仿宋" w:eastAsia="仿宋" w:hAnsi="仿宋" w:hint="eastAsia"/>
          <w:sz w:val="32"/>
          <w:szCs w:val="32"/>
        </w:rPr>
        <w:t>办公费</w:t>
      </w:r>
      <w:r w:rsidR="004556E3">
        <w:rPr>
          <w:rFonts w:ascii="仿宋" w:eastAsia="仿宋" w:hAnsi="仿宋" w:hint="eastAsia"/>
          <w:sz w:val="32"/>
          <w:szCs w:val="32"/>
        </w:rPr>
        <w:t>262</w:t>
      </w:r>
      <w:r w:rsidR="004556E3" w:rsidRPr="00991D6A">
        <w:rPr>
          <w:rFonts w:ascii="仿宋" w:eastAsia="仿宋" w:hAnsi="仿宋" w:hint="eastAsia"/>
          <w:sz w:val="32"/>
          <w:szCs w:val="32"/>
        </w:rPr>
        <w:t>万元</w:t>
      </w:r>
      <w:r w:rsidR="004556E3" w:rsidRPr="0095721A">
        <w:rPr>
          <w:rFonts w:ascii="仿宋" w:eastAsia="仿宋" w:hAnsi="仿宋" w:hint="eastAsia"/>
          <w:sz w:val="32"/>
          <w:szCs w:val="32"/>
        </w:rPr>
        <w:t>、印刷费</w:t>
      </w:r>
      <w:r w:rsidR="004556E3">
        <w:rPr>
          <w:rFonts w:ascii="仿宋" w:eastAsia="仿宋" w:hAnsi="仿宋" w:hint="eastAsia"/>
          <w:sz w:val="32"/>
          <w:szCs w:val="32"/>
        </w:rPr>
        <w:t>27.18</w:t>
      </w:r>
      <w:r w:rsidR="004556E3" w:rsidRPr="0095721A">
        <w:rPr>
          <w:rFonts w:ascii="仿宋" w:eastAsia="仿宋" w:hAnsi="仿宋" w:hint="eastAsia"/>
          <w:sz w:val="32"/>
          <w:szCs w:val="32"/>
        </w:rPr>
        <w:t>万元、水费</w:t>
      </w:r>
      <w:r w:rsidR="004556E3">
        <w:rPr>
          <w:rFonts w:ascii="仿宋" w:eastAsia="仿宋" w:hAnsi="仿宋" w:hint="eastAsia"/>
          <w:sz w:val="32"/>
          <w:szCs w:val="32"/>
        </w:rPr>
        <w:t>57.28</w:t>
      </w:r>
      <w:r w:rsidR="004556E3" w:rsidRPr="0095721A">
        <w:rPr>
          <w:rFonts w:ascii="仿宋" w:eastAsia="仿宋" w:hAnsi="仿宋" w:hint="eastAsia"/>
          <w:sz w:val="32"/>
          <w:szCs w:val="32"/>
        </w:rPr>
        <w:t>万元、电费</w:t>
      </w:r>
      <w:r w:rsidR="004556E3">
        <w:rPr>
          <w:rFonts w:ascii="仿宋" w:eastAsia="仿宋" w:hAnsi="仿宋" w:hint="eastAsia"/>
          <w:sz w:val="32"/>
          <w:szCs w:val="32"/>
        </w:rPr>
        <w:t>516.09</w:t>
      </w:r>
      <w:r w:rsidR="004556E3" w:rsidRPr="0095721A">
        <w:rPr>
          <w:rFonts w:ascii="仿宋" w:eastAsia="仿宋" w:hAnsi="仿宋" w:hint="eastAsia"/>
          <w:sz w:val="32"/>
          <w:szCs w:val="32"/>
        </w:rPr>
        <w:t>万元、</w:t>
      </w:r>
      <w:r w:rsidR="004556E3" w:rsidRPr="00614220">
        <w:rPr>
          <w:rFonts w:ascii="仿宋" w:eastAsia="仿宋" w:hAnsi="仿宋" w:hint="eastAsia"/>
          <w:sz w:val="32"/>
          <w:szCs w:val="32"/>
        </w:rPr>
        <w:t>邮电费</w:t>
      </w:r>
      <w:r w:rsidR="004556E3">
        <w:rPr>
          <w:rFonts w:ascii="仿宋" w:eastAsia="仿宋" w:hAnsi="仿宋" w:hint="eastAsia"/>
          <w:sz w:val="32"/>
          <w:szCs w:val="32"/>
        </w:rPr>
        <w:t>135.75</w:t>
      </w:r>
      <w:r w:rsidR="004556E3" w:rsidRPr="00614220">
        <w:rPr>
          <w:rFonts w:ascii="仿宋" w:eastAsia="仿宋" w:hAnsi="仿宋" w:hint="eastAsia"/>
          <w:sz w:val="32"/>
          <w:szCs w:val="32"/>
        </w:rPr>
        <w:t>万元、物业管理费1</w:t>
      </w:r>
      <w:r w:rsidR="004556E3">
        <w:rPr>
          <w:rFonts w:ascii="仿宋" w:eastAsia="仿宋" w:hAnsi="仿宋" w:hint="eastAsia"/>
          <w:sz w:val="32"/>
          <w:szCs w:val="32"/>
        </w:rPr>
        <w:t>14.51</w:t>
      </w:r>
      <w:r w:rsidR="004556E3" w:rsidRPr="00614220">
        <w:rPr>
          <w:rFonts w:ascii="仿宋" w:eastAsia="仿宋" w:hAnsi="仿宋" w:hint="eastAsia"/>
          <w:sz w:val="32"/>
          <w:szCs w:val="32"/>
        </w:rPr>
        <w:t>万元、</w:t>
      </w:r>
      <w:r w:rsidR="004556E3" w:rsidRPr="00862DCA">
        <w:rPr>
          <w:rFonts w:ascii="仿宋" w:eastAsia="仿宋" w:hAnsi="仿宋" w:hint="eastAsia"/>
          <w:sz w:val="32"/>
          <w:szCs w:val="32"/>
        </w:rPr>
        <w:t>差旅费</w:t>
      </w:r>
      <w:r w:rsidR="004556E3">
        <w:rPr>
          <w:rFonts w:ascii="仿宋" w:eastAsia="仿宋" w:hAnsi="仿宋" w:hint="eastAsia"/>
          <w:sz w:val="32"/>
          <w:szCs w:val="32"/>
        </w:rPr>
        <w:t>405.83</w:t>
      </w:r>
      <w:r w:rsidR="004556E3" w:rsidRPr="00862DCA">
        <w:rPr>
          <w:rFonts w:ascii="仿宋" w:eastAsia="仿宋" w:hAnsi="仿宋" w:hint="eastAsia"/>
          <w:sz w:val="32"/>
          <w:szCs w:val="32"/>
        </w:rPr>
        <w:lastRenderedPageBreak/>
        <w:t>万元、维修（护）费</w:t>
      </w:r>
      <w:r w:rsidR="004556E3">
        <w:rPr>
          <w:rFonts w:ascii="仿宋" w:eastAsia="仿宋" w:hAnsi="仿宋" w:hint="eastAsia"/>
          <w:sz w:val="32"/>
          <w:szCs w:val="32"/>
        </w:rPr>
        <w:t>292.24</w:t>
      </w:r>
      <w:r w:rsidR="004556E3" w:rsidRPr="00862DCA">
        <w:rPr>
          <w:rFonts w:ascii="仿宋" w:eastAsia="仿宋" w:hAnsi="仿宋" w:hint="eastAsia"/>
          <w:sz w:val="32"/>
          <w:szCs w:val="32"/>
        </w:rPr>
        <w:t>万元、租赁费</w:t>
      </w:r>
      <w:r w:rsidR="004556E3">
        <w:rPr>
          <w:rFonts w:ascii="仿宋" w:eastAsia="仿宋" w:hAnsi="仿宋" w:hint="eastAsia"/>
          <w:sz w:val="32"/>
          <w:szCs w:val="32"/>
        </w:rPr>
        <w:t>38.55</w:t>
      </w:r>
      <w:r w:rsidR="004556E3" w:rsidRPr="00862DCA">
        <w:rPr>
          <w:rFonts w:ascii="仿宋" w:eastAsia="仿宋" w:hAnsi="仿宋" w:hint="eastAsia"/>
          <w:sz w:val="32"/>
          <w:szCs w:val="32"/>
        </w:rPr>
        <w:t>万元、会议费</w:t>
      </w:r>
      <w:r w:rsidR="004556E3">
        <w:rPr>
          <w:rFonts w:ascii="仿宋" w:eastAsia="仿宋" w:hAnsi="仿宋" w:hint="eastAsia"/>
          <w:sz w:val="32"/>
          <w:szCs w:val="32"/>
        </w:rPr>
        <w:t>0.5</w:t>
      </w:r>
      <w:r w:rsidR="004556E3" w:rsidRPr="00862DCA">
        <w:rPr>
          <w:rFonts w:ascii="仿宋" w:eastAsia="仿宋" w:hAnsi="仿宋" w:hint="eastAsia"/>
          <w:sz w:val="32"/>
          <w:szCs w:val="32"/>
        </w:rPr>
        <w:t>万元、培训费</w:t>
      </w:r>
      <w:r w:rsidR="004556E3">
        <w:rPr>
          <w:rFonts w:ascii="仿宋" w:eastAsia="仿宋" w:hAnsi="仿宋" w:hint="eastAsia"/>
          <w:sz w:val="32"/>
          <w:szCs w:val="32"/>
        </w:rPr>
        <w:t>24.65</w:t>
      </w:r>
      <w:r w:rsidR="004556E3" w:rsidRPr="00862DCA">
        <w:rPr>
          <w:rFonts w:ascii="仿宋" w:eastAsia="仿宋" w:hAnsi="仿宋" w:hint="eastAsia"/>
          <w:sz w:val="32"/>
          <w:szCs w:val="32"/>
        </w:rPr>
        <w:t>万元、</w:t>
      </w:r>
      <w:r w:rsidR="004556E3" w:rsidRPr="000C3C1D">
        <w:rPr>
          <w:rFonts w:ascii="仿宋" w:eastAsia="仿宋" w:hAnsi="仿宋" w:hint="eastAsia"/>
          <w:sz w:val="32"/>
          <w:szCs w:val="32"/>
        </w:rPr>
        <w:t>公务接待费</w:t>
      </w:r>
      <w:r w:rsidR="004556E3">
        <w:rPr>
          <w:rFonts w:ascii="仿宋" w:eastAsia="仿宋" w:hAnsi="仿宋" w:hint="eastAsia"/>
          <w:sz w:val="32"/>
          <w:szCs w:val="32"/>
        </w:rPr>
        <w:t>0.75</w:t>
      </w:r>
      <w:r w:rsidR="004556E3" w:rsidRPr="000C3C1D">
        <w:rPr>
          <w:rFonts w:ascii="仿宋" w:eastAsia="仿宋" w:hAnsi="仿宋" w:hint="eastAsia"/>
          <w:sz w:val="32"/>
          <w:szCs w:val="32"/>
        </w:rPr>
        <w:t>万元、</w:t>
      </w:r>
      <w:r w:rsidR="004556E3" w:rsidRPr="00BC2BDF">
        <w:rPr>
          <w:rFonts w:ascii="仿宋" w:eastAsia="仿宋" w:hAnsi="仿宋" w:hint="eastAsia"/>
          <w:sz w:val="32"/>
          <w:szCs w:val="32"/>
        </w:rPr>
        <w:t>专用材料费</w:t>
      </w:r>
      <w:r w:rsidR="004556E3">
        <w:rPr>
          <w:rFonts w:ascii="仿宋" w:eastAsia="仿宋" w:hAnsi="仿宋" w:hint="eastAsia"/>
          <w:sz w:val="32"/>
          <w:szCs w:val="32"/>
        </w:rPr>
        <w:t>82.07</w:t>
      </w:r>
      <w:r w:rsidR="004556E3" w:rsidRPr="00BC2BDF">
        <w:rPr>
          <w:rFonts w:ascii="仿宋" w:eastAsia="仿宋" w:hAnsi="仿宋" w:hint="eastAsia"/>
          <w:sz w:val="32"/>
          <w:szCs w:val="32"/>
        </w:rPr>
        <w:t>万元、</w:t>
      </w:r>
      <w:r w:rsidR="004556E3" w:rsidRPr="00FF61A7">
        <w:rPr>
          <w:rFonts w:ascii="仿宋" w:eastAsia="仿宋" w:hAnsi="仿宋" w:hint="eastAsia"/>
          <w:sz w:val="32"/>
          <w:szCs w:val="32"/>
        </w:rPr>
        <w:t>被装购置费</w:t>
      </w:r>
      <w:r w:rsidR="004556E3">
        <w:rPr>
          <w:rFonts w:ascii="仿宋" w:eastAsia="仿宋" w:hAnsi="仿宋" w:hint="eastAsia"/>
          <w:sz w:val="32"/>
          <w:szCs w:val="32"/>
        </w:rPr>
        <w:t>51.39</w:t>
      </w:r>
      <w:r w:rsidR="004556E3" w:rsidRPr="00FF61A7">
        <w:rPr>
          <w:rFonts w:ascii="仿宋" w:eastAsia="仿宋" w:hAnsi="仿宋" w:hint="eastAsia"/>
          <w:sz w:val="32"/>
          <w:szCs w:val="32"/>
        </w:rPr>
        <w:t>万元、劳务费</w:t>
      </w:r>
      <w:r w:rsidR="004556E3">
        <w:rPr>
          <w:rFonts w:ascii="仿宋" w:eastAsia="仿宋" w:hAnsi="仿宋" w:hint="eastAsia"/>
          <w:sz w:val="32"/>
          <w:szCs w:val="32"/>
        </w:rPr>
        <w:t>326.06</w:t>
      </w:r>
      <w:r w:rsidR="004556E3" w:rsidRPr="00FF61A7">
        <w:rPr>
          <w:rFonts w:ascii="仿宋" w:eastAsia="仿宋" w:hAnsi="仿宋" w:hint="eastAsia"/>
          <w:sz w:val="32"/>
          <w:szCs w:val="32"/>
        </w:rPr>
        <w:t>万元、</w:t>
      </w:r>
      <w:r w:rsidR="004556E3" w:rsidRPr="004D7C7D">
        <w:rPr>
          <w:rFonts w:ascii="仿宋" w:eastAsia="仿宋" w:hAnsi="仿宋" w:hint="eastAsia"/>
          <w:sz w:val="32"/>
          <w:szCs w:val="32"/>
        </w:rPr>
        <w:t>委托业务费</w:t>
      </w:r>
      <w:r w:rsidR="004556E3">
        <w:rPr>
          <w:rFonts w:ascii="仿宋" w:eastAsia="仿宋" w:hAnsi="仿宋" w:hint="eastAsia"/>
          <w:sz w:val="32"/>
          <w:szCs w:val="32"/>
        </w:rPr>
        <w:t>56.43</w:t>
      </w:r>
      <w:r w:rsidR="004556E3" w:rsidRPr="004D7C7D">
        <w:rPr>
          <w:rFonts w:ascii="仿宋" w:eastAsia="仿宋" w:hAnsi="仿宋" w:hint="eastAsia"/>
          <w:sz w:val="32"/>
          <w:szCs w:val="32"/>
        </w:rPr>
        <w:t>万元、工会经费</w:t>
      </w:r>
      <w:r w:rsidR="004556E3">
        <w:rPr>
          <w:rFonts w:ascii="仿宋" w:eastAsia="仿宋" w:hAnsi="仿宋" w:hint="eastAsia"/>
          <w:sz w:val="32"/>
          <w:szCs w:val="32"/>
        </w:rPr>
        <w:t>363.02</w:t>
      </w:r>
      <w:r w:rsidR="004556E3" w:rsidRPr="004D7C7D">
        <w:rPr>
          <w:rFonts w:ascii="仿宋" w:eastAsia="仿宋" w:hAnsi="仿宋" w:hint="eastAsia"/>
          <w:sz w:val="32"/>
          <w:szCs w:val="32"/>
        </w:rPr>
        <w:t>万元、福利费</w:t>
      </w:r>
      <w:r w:rsidR="004556E3">
        <w:rPr>
          <w:rFonts w:ascii="仿宋" w:eastAsia="仿宋" w:hAnsi="仿宋" w:hint="eastAsia"/>
          <w:sz w:val="32"/>
          <w:szCs w:val="32"/>
        </w:rPr>
        <w:t>138.52</w:t>
      </w:r>
      <w:r w:rsidR="004556E3" w:rsidRPr="004D7C7D">
        <w:rPr>
          <w:rFonts w:ascii="仿宋" w:eastAsia="仿宋" w:hAnsi="仿宋" w:hint="eastAsia"/>
          <w:sz w:val="32"/>
          <w:szCs w:val="32"/>
        </w:rPr>
        <w:t>万元、公务用车运行维护费</w:t>
      </w:r>
      <w:r w:rsidR="004556E3">
        <w:rPr>
          <w:rFonts w:ascii="仿宋" w:eastAsia="仿宋" w:hAnsi="仿宋" w:hint="eastAsia"/>
          <w:sz w:val="32"/>
          <w:szCs w:val="32"/>
        </w:rPr>
        <w:t>308.8</w:t>
      </w:r>
      <w:r w:rsidR="004556E3" w:rsidRPr="004D7C7D">
        <w:rPr>
          <w:rFonts w:ascii="仿宋" w:eastAsia="仿宋" w:hAnsi="仿宋" w:hint="eastAsia"/>
          <w:sz w:val="32"/>
          <w:szCs w:val="32"/>
        </w:rPr>
        <w:t>万元、其他交通费</w:t>
      </w:r>
      <w:r w:rsidR="004556E3">
        <w:rPr>
          <w:rFonts w:ascii="仿宋" w:eastAsia="仿宋" w:hAnsi="仿宋" w:hint="eastAsia"/>
          <w:sz w:val="32"/>
          <w:szCs w:val="32"/>
        </w:rPr>
        <w:t>用</w:t>
      </w:r>
      <w:r w:rsidR="004556E3" w:rsidRPr="004D7C7D">
        <w:rPr>
          <w:rFonts w:ascii="仿宋" w:eastAsia="仿宋" w:hAnsi="仿宋" w:hint="eastAsia"/>
          <w:sz w:val="32"/>
          <w:szCs w:val="32"/>
        </w:rPr>
        <w:t>1</w:t>
      </w:r>
      <w:r w:rsidR="004556E3">
        <w:rPr>
          <w:rFonts w:ascii="仿宋" w:eastAsia="仿宋" w:hAnsi="仿宋" w:hint="eastAsia"/>
          <w:sz w:val="32"/>
          <w:szCs w:val="32"/>
        </w:rPr>
        <w:t>661.45</w:t>
      </w:r>
      <w:r w:rsidR="004556E3" w:rsidRPr="004D7C7D">
        <w:rPr>
          <w:rFonts w:ascii="仿宋" w:eastAsia="仿宋" w:hAnsi="仿宋" w:hint="eastAsia"/>
          <w:sz w:val="32"/>
          <w:szCs w:val="32"/>
        </w:rPr>
        <w:t>万元、其他商品和服务支出</w:t>
      </w:r>
      <w:r w:rsidR="004556E3">
        <w:rPr>
          <w:rFonts w:ascii="仿宋" w:eastAsia="仿宋" w:hAnsi="仿宋" w:hint="eastAsia"/>
          <w:sz w:val="32"/>
          <w:szCs w:val="32"/>
        </w:rPr>
        <w:t>850.7</w:t>
      </w:r>
      <w:r w:rsidR="004556E3" w:rsidRPr="004D7C7D">
        <w:rPr>
          <w:rFonts w:ascii="仿宋" w:eastAsia="仿宋" w:hAnsi="仿宋" w:hint="eastAsia"/>
          <w:sz w:val="32"/>
          <w:szCs w:val="32"/>
        </w:rPr>
        <w:t>万元</w:t>
      </w:r>
      <w:r w:rsidR="004556E3">
        <w:rPr>
          <w:rFonts w:ascii="仿宋" w:eastAsia="仿宋" w:hAnsi="仿宋" w:hint="eastAsia"/>
          <w:sz w:val="32"/>
          <w:szCs w:val="32"/>
        </w:rPr>
        <w:t>、办公设备购置64.82万元、公务用车</w:t>
      </w:r>
      <w:r>
        <w:rPr>
          <w:rFonts w:ascii="仿宋" w:eastAsia="仿宋" w:hAnsi="仿宋" w:hint="eastAsia"/>
          <w:sz w:val="32"/>
          <w:szCs w:val="32"/>
        </w:rPr>
        <w:t>购置</w:t>
      </w:r>
      <w:r w:rsidR="004556E3">
        <w:rPr>
          <w:rFonts w:ascii="仿宋" w:eastAsia="仿宋" w:hAnsi="仿宋" w:hint="eastAsia"/>
          <w:sz w:val="32"/>
          <w:szCs w:val="32"/>
        </w:rPr>
        <w:t>14.13万元</w:t>
      </w:r>
      <w:r>
        <w:rPr>
          <w:rFonts w:ascii="仿宋" w:eastAsia="仿宋" w:hAnsi="仿宋" w:hint="eastAsia"/>
          <w:sz w:val="32"/>
          <w:szCs w:val="32"/>
        </w:rPr>
        <w:t>、其他资本性支出</w:t>
      </w:r>
      <w:r w:rsidR="004556E3">
        <w:rPr>
          <w:rFonts w:ascii="仿宋" w:eastAsia="仿宋" w:hAnsi="仿宋" w:hint="eastAsia"/>
          <w:sz w:val="32"/>
          <w:szCs w:val="32"/>
        </w:rPr>
        <w:t>0.54万元</w:t>
      </w:r>
      <w:r>
        <w:rPr>
          <w:rFonts w:ascii="仿宋" w:eastAsia="仿宋" w:hAnsi="仿宋" w:hint="eastAsia"/>
          <w:sz w:val="32"/>
          <w:szCs w:val="32"/>
        </w:rPr>
        <w:t>。</w:t>
      </w:r>
    </w:p>
    <w:p w:rsidR="009E4DB6" w:rsidRDefault="00EF39C0">
      <w:pPr>
        <w:spacing w:line="600" w:lineRule="exact"/>
        <w:ind w:firstLine="640"/>
        <w:outlineLvl w:val="1"/>
        <w:rPr>
          <w:rStyle w:val="2Char"/>
          <w:rFonts w:ascii="黑体" w:eastAsia="黑体" w:hAnsi="黑体"/>
          <w:b w:val="0"/>
        </w:rPr>
      </w:pPr>
      <w:bookmarkStart w:id="40" w:name="_Toc15396609"/>
      <w:bookmarkStart w:id="41"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40"/>
      <w:bookmarkEnd w:id="41"/>
    </w:p>
    <w:p w:rsidR="009E4DB6" w:rsidRDefault="00EF39C0">
      <w:pPr>
        <w:spacing w:line="600" w:lineRule="exact"/>
        <w:ind w:firstLine="640"/>
        <w:outlineLvl w:val="2"/>
        <w:rPr>
          <w:rFonts w:ascii="仿宋" w:eastAsia="仿宋" w:hAnsi="仿宋"/>
          <w:b/>
          <w:sz w:val="32"/>
          <w:szCs w:val="32"/>
        </w:rPr>
      </w:pPr>
      <w:bookmarkStart w:id="42" w:name="_Toc15377216"/>
      <w:r>
        <w:rPr>
          <w:rFonts w:ascii="仿宋" w:eastAsia="仿宋" w:hAnsi="仿宋" w:hint="eastAsia"/>
          <w:b/>
          <w:sz w:val="32"/>
          <w:szCs w:val="32"/>
        </w:rPr>
        <w:t>（一）“三公”经费财政拨款支出决算总体情况说明</w:t>
      </w:r>
      <w:bookmarkEnd w:id="42"/>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353642">
        <w:rPr>
          <w:rFonts w:ascii="仿宋" w:eastAsia="仿宋" w:hAnsi="仿宋" w:hint="eastAsia"/>
          <w:sz w:val="32"/>
          <w:szCs w:val="32"/>
        </w:rPr>
        <w:t>624.24</w:t>
      </w:r>
      <w:r>
        <w:rPr>
          <w:rFonts w:ascii="仿宋" w:eastAsia="仿宋" w:hAnsi="仿宋" w:hint="eastAsia"/>
          <w:sz w:val="32"/>
          <w:szCs w:val="32"/>
        </w:rPr>
        <w:t>万元，完成预算</w:t>
      </w:r>
      <w:r w:rsidR="00353642">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，较上年增加</w:t>
      </w:r>
      <w:r w:rsidR="00353642">
        <w:rPr>
          <w:rFonts w:ascii="仿宋" w:eastAsia="仿宋" w:hAnsi="仿宋" w:hint="eastAsia"/>
          <w:sz w:val="32"/>
          <w:szCs w:val="32"/>
        </w:rPr>
        <w:t>82.5</w:t>
      </w:r>
      <w:r>
        <w:rPr>
          <w:rFonts w:ascii="仿宋" w:eastAsia="仿宋" w:hAnsi="仿宋" w:hint="eastAsia"/>
          <w:sz w:val="32"/>
          <w:szCs w:val="32"/>
        </w:rPr>
        <w:t>万元，增长</w:t>
      </w:r>
      <w:r w:rsidR="00353642">
        <w:rPr>
          <w:rFonts w:ascii="仿宋" w:eastAsia="仿宋" w:hAnsi="仿宋" w:hint="eastAsia"/>
          <w:sz w:val="32"/>
          <w:szCs w:val="32"/>
        </w:rPr>
        <w:t>13.22</w:t>
      </w:r>
      <w:r>
        <w:rPr>
          <w:rFonts w:ascii="仿宋" w:eastAsia="仿宋" w:hAnsi="仿宋" w:hint="eastAsia"/>
          <w:sz w:val="32"/>
          <w:szCs w:val="32"/>
        </w:rPr>
        <w:t>%。决算数</w:t>
      </w:r>
      <w:r w:rsidR="00353642">
        <w:rPr>
          <w:rFonts w:ascii="仿宋" w:eastAsia="仿宋" w:hAnsi="仿宋" w:hint="eastAsia"/>
          <w:sz w:val="32"/>
          <w:szCs w:val="32"/>
        </w:rPr>
        <w:t>与预算数持平</w:t>
      </w:r>
      <w:r>
        <w:rPr>
          <w:rFonts w:ascii="仿宋" w:eastAsia="仿宋" w:hAnsi="仿宋" w:hint="eastAsia"/>
          <w:sz w:val="32"/>
          <w:szCs w:val="32"/>
        </w:rPr>
        <w:t>。</w:t>
      </w:r>
    </w:p>
    <w:p w:rsidR="009E4DB6" w:rsidRDefault="00EF39C0">
      <w:pPr>
        <w:spacing w:line="600" w:lineRule="exact"/>
        <w:ind w:firstLine="640"/>
        <w:outlineLvl w:val="2"/>
        <w:rPr>
          <w:rFonts w:ascii="仿宋" w:eastAsia="仿宋" w:hAnsi="仿宋"/>
          <w:b/>
          <w:sz w:val="32"/>
          <w:szCs w:val="32"/>
        </w:rPr>
      </w:pPr>
      <w:bookmarkStart w:id="43" w:name="_Toc15377217"/>
      <w:r>
        <w:rPr>
          <w:rFonts w:ascii="仿宋" w:eastAsia="仿宋" w:hAnsi="仿宋" w:hint="eastAsia"/>
          <w:b/>
          <w:sz w:val="32"/>
          <w:szCs w:val="32"/>
        </w:rPr>
        <w:t>（二）“三公”经费财政拨款支出决算具体情况说明</w:t>
      </w:r>
      <w:bookmarkEnd w:id="43"/>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353642">
        <w:rPr>
          <w:rFonts w:ascii="仿宋" w:eastAsia="仿宋" w:hAnsi="仿宋" w:hint="eastAsia"/>
          <w:sz w:val="32"/>
          <w:szCs w:val="32"/>
        </w:rPr>
        <w:t>0</w:t>
      </w:r>
      <w:r>
        <w:rPr>
          <w:rFonts w:ascii="仿宋" w:eastAsia="仿宋" w:hAnsi="仿宋" w:hint="eastAsia"/>
          <w:sz w:val="32"/>
          <w:szCs w:val="32"/>
        </w:rPr>
        <w:t>万元，占</w:t>
      </w:r>
      <w:r w:rsidR="0035364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353642">
        <w:rPr>
          <w:rFonts w:ascii="仿宋" w:eastAsia="仿宋" w:hAnsi="仿宋" w:hint="eastAsia"/>
          <w:sz w:val="32"/>
          <w:szCs w:val="32"/>
        </w:rPr>
        <w:t>623.49</w:t>
      </w:r>
      <w:r>
        <w:rPr>
          <w:rFonts w:ascii="仿宋" w:eastAsia="仿宋" w:hAnsi="仿宋" w:hint="eastAsia"/>
          <w:sz w:val="32"/>
          <w:szCs w:val="32"/>
        </w:rPr>
        <w:t>万元，占</w:t>
      </w:r>
      <w:r w:rsidR="00353642">
        <w:rPr>
          <w:rFonts w:ascii="仿宋" w:eastAsia="仿宋" w:hAnsi="仿宋" w:hint="eastAsia"/>
          <w:sz w:val="32"/>
          <w:szCs w:val="32"/>
        </w:rPr>
        <w:t>99.89</w:t>
      </w:r>
      <w:r>
        <w:rPr>
          <w:rFonts w:ascii="仿宋" w:eastAsia="仿宋" w:hAnsi="仿宋"/>
          <w:sz w:val="32"/>
          <w:szCs w:val="32"/>
        </w:rPr>
        <w:t>%</w:t>
      </w:r>
      <w:r>
        <w:rPr>
          <w:rFonts w:ascii="仿宋" w:eastAsia="仿宋" w:hAnsi="仿宋" w:hint="eastAsia"/>
          <w:sz w:val="32"/>
          <w:szCs w:val="32"/>
        </w:rPr>
        <w:t>；公务接待费支出决算</w:t>
      </w:r>
      <w:r w:rsidR="00353642">
        <w:rPr>
          <w:rFonts w:ascii="仿宋" w:eastAsia="仿宋" w:hAnsi="仿宋" w:hint="eastAsia"/>
          <w:sz w:val="32"/>
          <w:szCs w:val="32"/>
        </w:rPr>
        <w:t>0.75</w:t>
      </w:r>
      <w:r>
        <w:rPr>
          <w:rFonts w:ascii="仿宋" w:eastAsia="仿宋" w:hAnsi="仿宋" w:hint="eastAsia"/>
          <w:sz w:val="32"/>
          <w:szCs w:val="32"/>
        </w:rPr>
        <w:t>万元，占</w:t>
      </w:r>
      <w:r w:rsidR="00353642">
        <w:rPr>
          <w:rFonts w:ascii="仿宋" w:eastAsia="仿宋" w:hAnsi="仿宋" w:hint="eastAsia"/>
          <w:sz w:val="32"/>
          <w:szCs w:val="32"/>
        </w:rPr>
        <w:t>0.11</w:t>
      </w:r>
      <w:r>
        <w:rPr>
          <w:rFonts w:ascii="仿宋" w:eastAsia="仿宋" w:hAnsi="仿宋"/>
          <w:sz w:val="32"/>
          <w:szCs w:val="32"/>
        </w:rPr>
        <w:t>%</w:t>
      </w:r>
      <w:r>
        <w:rPr>
          <w:rFonts w:ascii="仿宋" w:eastAsia="仿宋" w:hAnsi="仿宋" w:hint="eastAsia"/>
          <w:sz w:val="32"/>
          <w:szCs w:val="32"/>
        </w:rPr>
        <w:t>。具体情况如下：</w:t>
      </w:r>
    </w:p>
    <w:p w:rsidR="009E4DB6" w:rsidRDefault="00EF39C0" w:rsidP="00353642">
      <w:pPr>
        <w:spacing w:line="600" w:lineRule="exact"/>
        <w:rPr>
          <w:rFonts w:ascii="仿宋" w:eastAsia="仿宋" w:hAnsi="仿宋"/>
          <w:sz w:val="32"/>
          <w:szCs w:val="32"/>
        </w:rPr>
      </w:pPr>
      <w:r>
        <w:rPr>
          <w:rFonts w:ascii="仿宋" w:eastAsia="仿宋" w:hAnsi="仿宋" w:hint="eastAsia"/>
          <w:sz w:val="32"/>
          <w:szCs w:val="32"/>
        </w:rPr>
        <w:t>（图7：“三公”经费财政拨款支出结构</w:t>
      </w:r>
      <w:r w:rsidR="00353642">
        <w:rPr>
          <w:rFonts w:ascii="仿宋" w:eastAsia="仿宋" w:hAnsi="仿宋" w:hint="eastAsia"/>
          <w:sz w:val="32"/>
          <w:szCs w:val="32"/>
        </w:rPr>
        <w:t>图，金额单位：万元</w:t>
      </w:r>
      <w:r>
        <w:rPr>
          <w:rFonts w:ascii="仿宋" w:eastAsia="仿宋" w:hAnsi="仿宋" w:hint="eastAsia"/>
          <w:sz w:val="32"/>
          <w:szCs w:val="32"/>
        </w:rPr>
        <w:t>）</w:t>
      </w:r>
    </w:p>
    <w:p w:rsidR="00353642" w:rsidRDefault="00353642" w:rsidP="00353642">
      <w:pPr>
        <w:pStyle w:val="a0"/>
        <w:spacing w:before="93"/>
      </w:pPr>
    </w:p>
    <w:p w:rsidR="00353642" w:rsidRDefault="00353642" w:rsidP="00353642">
      <w:pPr>
        <w:pStyle w:val="a0"/>
        <w:spacing w:before="93"/>
      </w:pPr>
    </w:p>
    <w:p w:rsidR="00353642" w:rsidRDefault="00353642" w:rsidP="00353642">
      <w:pPr>
        <w:pStyle w:val="a0"/>
        <w:spacing w:before="93"/>
      </w:pPr>
      <w:r>
        <w:rPr>
          <w:rFonts w:hint="eastAsia"/>
          <w:noProof/>
        </w:rPr>
        <w:lastRenderedPageBreak/>
        <w:drawing>
          <wp:inline distT="0" distB="0" distL="0" distR="0">
            <wp:extent cx="4629150" cy="3124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3642" w:rsidRDefault="00353642">
      <w:pPr>
        <w:spacing w:line="600" w:lineRule="exact"/>
        <w:ind w:firstLine="640"/>
        <w:rPr>
          <w:rFonts w:ascii="仿宋_GB2312" w:eastAsia="仿宋_GB2312"/>
          <w:b/>
          <w:sz w:val="32"/>
          <w:szCs w:val="32"/>
        </w:rPr>
      </w:pPr>
    </w:p>
    <w:p w:rsidR="009E4DB6" w:rsidRDefault="00EF39C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353642">
        <w:rPr>
          <w:rFonts w:ascii="仿宋_GB2312" w:eastAsia="仿宋_GB2312" w:hint="eastAsia"/>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353642">
        <w:rPr>
          <w:rStyle w:val="a8"/>
          <w:rFonts w:ascii="仿宋" w:eastAsia="仿宋" w:hAnsi="仿宋" w:hint="eastAsia"/>
          <w:b w:val="0"/>
          <w:bCs/>
          <w:sz w:val="32"/>
          <w:szCs w:val="32"/>
        </w:rPr>
        <w:t>0</w:t>
      </w:r>
      <w:r>
        <w:rPr>
          <w:rStyle w:val="a8"/>
          <w:rFonts w:ascii="仿宋" w:eastAsia="仿宋" w:hAnsi="仿宋"/>
          <w:b w:val="0"/>
          <w:bCs/>
          <w:sz w:val="32"/>
          <w:szCs w:val="32"/>
        </w:rPr>
        <w:t>%</w:t>
      </w:r>
      <w:r w:rsidR="00353642" w:rsidRPr="00743995">
        <w:rPr>
          <w:rFonts w:ascii="仿宋_GB2312" w:eastAsia="仿宋_GB2312" w:hint="eastAsia"/>
          <w:sz w:val="32"/>
          <w:szCs w:val="32"/>
        </w:rPr>
        <w:t>全年安排因公出国（境）团组</w:t>
      </w:r>
      <w:r w:rsidR="00353642">
        <w:rPr>
          <w:rFonts w:ascii="仿宋_GB2312" w:eastAsia="仿宋_GB2312" w:hint="eastAsia"/>
          <w:sz w:val="32"/>
          <w:szCs w:val="32"/>
        </w:rPr>
        <w:t>0</w:t>
      </w:r>
      <w:r w:rsidR="00353642" w:rsidRPr="00743995">
        <w:rPr>
          <w:rFonts w:ascii="仿宋_GB2312" w:eastAsia="仿宋_GB2312" w:hint="eastAsia"/>
          <w:sz w:val="32"/>
          <w:szCs w:val="32"/>
        </w:rPr>
        <w:t>次，出国（境）</w:t>
      </w:r>
      <w:r w:rsidR="00353642">
        <w:rPr>
          <w:rFonts w:ascii="仿宋_GB2312" w:eastAsia="仿宋_GB2312" w:hint="eastAsia"/>
          <w:sz w:val="32"/>
          <w:szCs w:val="32"/>
        </w:rPr>
        <w:t>0</w:t>
      </w:r>
      <w:r w:rsidR="00353642" w:rsidRPr="00743995">
        <w:rPr>
          <w:rFonts w:ascii="仿宋_GB2312" w:eastAsia="仿宋_GB2312" w:hint="eastAsia"/>
          <w:sz w:val="32"/>
          <w:szCs w:val="32"/>
        </w:rPr>
        <w:t>人。因公出国（境）支出决算</w:t>
      </w:r>
      <w:r w:rsidR="00353642">
        <w:rPr>
          <w:rFonts w:ascii="仿宋_GB2312" w:eastAsia="仿宋_GB2312" w:hint="eastAsia"/>
          <w:sz w:val="32"/>
          <w:szCs w:val="32"/>
        </w:rPr>
        <w:t>与</w:t>
      </w:r>
      <w:r w:rsidR="00353642" w:rsidRPr="00743995">
        <w:rPr>
          <w:rFonts w:ascii="仿宋_GB2312" w:eastAsia="仿宋_GB2312"/>
          <w:sz w:val="32"/>
          <w:szCs w:val="32"/>
        </w:rPr>
        <w:t>20</w:t>
      </w:r>
      <w:r w:rsidR="00353642">
        <w:rPr>
          <w:rFonts w:ascii="仿宋_GB2312" w:eastAsia="仿宋_GB2312" w:hint="eastAsia"/>
          <w:sz w:val="32"/>
          <w:szCs w:val="32"/>
        </w:rPr>
        <w:t>21</w:t>
      </w:r>
      <w:r w:rsidR="00353642" w:rsidRPr="00743995">
        <w:rPr>
          <w:rFonts w:ascii="仿宋_GB2312" w:eastAsia="仿宋_GB2312" w:hint="eastAsia"/>
          <w:sz w:val="32"/>
          <w:szCs w:val="32"/>
        </w:rPr>
        <w:t>年</w:t>
      </w:r>
      <w:r w:rsidR="00353642">
        <w:rPr>
          <w:rFonts w:ascii="仿宋_GB2312" w:eastAsia="仿宋_GB2312" w:hint="eastAsia"/>
          <w:sz w:val="32"/>
          <w:szCs w:val="32"/>
        </w:rPr>
        <w:t>持平</w:t>
      </w:r>
      <w:r>
        <w:rPr>
          <w:rFonts w:ascii="仿宋_GB2312" w:eastAsia="仿宋_GB2312" w:hint="eastAsia"/>
          <w:sz w:val="32"/>
          <w:szCs w:val="32"/>
        </w:rPr>
        <w:t>。</w:t>
      </w:r>
    </w:p>
    <w:p w:rsidR="009E4DB6" w:rsidRDefault="00EF39C0">
      <w:pPr>
        <w:spacing w:line="600" w:lineRule="exact"/>
        <w:ind w:firstLine="640"/>
        <w:rPr>
          <w:rFonts w:ascii="仿宋_GB2312" w:eastAsia="仿宋_GB2312"/>
          <w:sz w:val="32"/>
          <w:szCs w:val="32"/>
        </w:rPr>
      </w:pPr>
      <w:r>
        <w:rPr>
          <w:rFonts w:ascii="仿宋_GB2312" w:eastAsia="仿宋_GB2312" w:hint="eastAsia"/>
          <w:sz w:val="32"/>
          <w:szCs w:val="32"/>
        </w:rPr>
        <w:t>开支内容：</w:t>
      </w:r>
      <w:r w:rsidR="00353642">
        <w:rPr>
          <w:rFonts w:ascii="仿宋_GB2312" w:eastAsia="仿宋_GB2312" w:hint="eastAsia"/>
          <w:sz w:val="32"/>
          <w:szCs w:val="32"/>
        </w:rPr>
        <w:t>无</w:t>
      </w:r>
      <w:r>
        <w:rPr>
          <w:rFonts w:ascii="仿宋_GB2312" w:eastAsia="仿宋_GB2312" w:hint="eastAsia"/>
          <w:sz w:val="32"/>
          <w:szCs w:val="32"/>
        </w:rPr>
        <w:t>。</w:t>
      </w:r>
    </w:p>
    <w:p w:rsidR="009E4DB6" w:rsidRDefault="00EF39C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353642">
        <w:rPr>
          <w:rFonts w:ascii="仿宋_GB2312" w:eastAsia="仿宋_GB2312" w:hint="eastAsia"/>
          <w:sz w:val="32"/>
          <w:szCs w:val="32"/>
        </w:rPr>
        <w:t>623.49</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353642">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w:t>
      </w:r>
      <w:r w:rsidR="00353642">
        <w:rPr>
          <w:rFonts w:ascii="仿宋_GB2312" w:eastAsia="仿宋_GB2312" w:hint="eastAsia"/>
          <w:sz w:val="32"/>
          <w:szCs w:val="32"/>
        </w:rPr>
        <w:t>82.55</w:t>
      </w:r>
      <w:r>
        <w:rPr>
          <w:rFonts w:ascii="仿宋_GB2312" w:eastAsia="仿宋_GB2312" w:hint="eastAsia"/>
          <w:sz w:val="32"/>
          <w:szCs w:val="32"/>
        </w:rPr>
        <w:t>万元，增长</w:t>
      </w:r>
      <w:r w:rsidR="00353642">
        <w:rPr>
          <w:rFonts w:ascii="仿宋_GB2312" w:eastAsia="仿宋_GB2312" w:hint="eastAsia"/>
          <w:sz w:val="32"/>
          <w:szCs w:val="32"/>
        </w:rPr>
        <w:t>13.25</w:t>
      </w:r>
      <w:r>
        <w:rPr>
          <w:rFonts w:ascii="仿宋_GB2312" w:eastAsia="仿宋_GB2312"/>
          <w:sz w:val="32"/>
          <w:szCs w:val="32"/>
        </w:rPr>
        <w:t>%</w:t>
      </w:r>
      <w:r>
        <w:rPr>
          <w:rFonts w:ascii="仿宋_GB2312" w:eastAsia="仿宋_GB2312" w:hint="eastAsia"/>
          <w:sz w:val="32"/>
          <w:szCs w:val="32"/>
        </w:rPr>
        <w:t>。主要原因</w:t>
      </w:r>
      <w:r w:rsidR="00710925">
        <w:rPr>
          <w:rFonts w:ascii="仿宋_GB2312" w:eastAsia="仿宋_GB2312" w:hint="eastAsia"/>
          <w:sz w:val="32"/>
          <w:szCs w:val="32"/>
        </w:rPr>
        <w:t>一</w:t>
      </w:r>
      <w:r>
        <w:rPr>
          <w:rFonts w:ascii="仿宋_GB2312" w:eastAsia="仿宋_GB2312" w:hint="eastAsia"/>
          <w:sz w:val="32"/>
          <w:szCs w:val="32"/>
        </w:rPr>
        <w:t>是</w:t>
      </w:r>
      <w:r w:rsidR="00DB2B78">
        <w:rPr>
          <w:rFonts w:ascii="仿宋_GB2312" w:eastAsia="仿宋_GB2312" w:hint="eastAsia"/>
          <w:sz w:val="32"/>
          <w:szCs w:val="32"/>
        </w:rPr>
        <w:t>2022年度</w:t>
      </w:r>
      <w:r w:rsidR="00353642">
        <w:rPr>
          <w:rFonts w:ascii="仿宋_GB2312" w:eastAsia="仿宋_GB2312" w:hAnsi="仿宋" w:hint="eastAsia"/>
          <w:sz w:val="32"/>
          <w:szCs w:val="32"/>
        </w:rPr>
        <w:t>仁和公安分局</w:t>
      </w:r>
      <w:r w:rsidR="00DB2B78">
        <w:rPr>
          <w:rFonts w:ascii="仿宋_GB2312" w:eastAsia="仿宋_GB2312" w:hAnsi="仿宋" w:hint="eastAsia"/>
          <w:sz w:val="32"/>
          <w:szCs w:val="32"/>
        </w:rPr>
        <w:t>新</w:t>
      </w:r>
      <w:r w:rsidR="00353642">
        <w:rPr>
          <w:rFonts w:ascii="仿宋_GB2312" w:eastAsia="仿宋_GB2312" w:hAnsi="仿宋" w:hint="eastAsia"/>
          <w:sz w:val="32"/>
          <w:szCs w:val="32"/>
        </w:rPr>
        <w:t>购置公务用车</w:t>
      </w:r>
      <w:r w:rsidR="00710925">
        <w:rPr>
          <w:rFonts w:ascii="仿宋_GB2312" w:eastAsia="仿宋_GB2312" w:hAnsi="仿宋" w:hint="eastAsia"/>
          <w:sz w:val="32"/>
          <w:szCs w:val="32"/>
        </w:rPr>
        <w:t>8台</w:t>
      </w:r>
      <w:r w:rsidR="00353642">
        <w:rPr>
          <w:rFonts w:ascii="仿宋_GB2312" w:eastAsia="仿宋_GB2312" w:hAnsi="仿宋" w:hint="eastAsia"/>
          <w:sz w:val="32"/>
          <w:szCs w:val="32"/>
        </w:rPr>
        <w:t>，</w:t>
      </w:r>
      <w:r w:rsidR="00710925">
        <w:rPr>
          <w:rFonts w:ascii="仿宋_GB2312" w:eastAsia="仿宋_GB2312" w:hAnsi="仿宋" w:hint="eastAsia"/>
          <w:sz w:val="32"/>
          <w:szCs w:val="32"/>
        </w:rPr>
        <w:t>致</w:t>
      </w:r>
      <w:r w:rsidR="00353642">
        <w:rPr>
          <w:rFonts w:ascii="仿宋_GB2312" w:eastAsia="仿宋_GB2312" w:hAnsi="仿宋" w:hint="eastAsia"/>
          <w:sz w:val="32"/>
          <w:szCs w:val="32"/>
        </w:rPr>
        <w:t>车辆购置费增加</w:t>
      </w:r>
      <w:r w:rsidR="00710925">
        <w:rPr>
          <w:rFonts w:ascii="仿宋_GB2312" w:eastAsia="仿宋_GB2312" w:hint="eastAsia"/>
          <w:sz w:val="32"/>
          <w:szCs w:val="32"/>
        </w:rPr>
        <w:t>；</w:t>
      </w:r>
      <w:r w:rsidR="00710925">
        <w:rPr>
          <w:rFonts w:ascii="仿宋_GB2312" w:eastAsia="仿宋_GB2312" w:hAnsi="仿宋" w:hint="eastAsia"/>
          <w:sz w:val="32"/>
          <w:szCs w:val="32"/>
        </w:rPr>
        <w:t>二是</w:t>
      </w:r>
      <w:r w:rsidR="00710925">
        <w:rPr>
          <w:rFonts w:ascii="仿宋_GB2312" w:eastAsia="仿宋_GB2312" w:hAnsi="仿宋" w:cs="仿宋" w:hint="eastAsia"/>
          <w:color w:val="000000"/>
          <w:sz w:val="32"/>
          <w:szCs w:val="32"/>
        </w:rPr>
        <w:t>本年</w:t>
      </w:r>
      <w:r w:rsidR="00710925" w:rsidRPr="00BE4D34">
        <w:rPr>
          <w:rFonts w:eastAsia="仿宋_GB2312"/>
          <w:sz w:val="32"/>
          <w:szCs w:val="32"/>
        </w:rPr>
        <w:t>统筹推进</w:t>
      </w:r>
      <w:r w:rsidR="00710925" w:rsidRPr="00BE4D34">
        <w:rPr>
          <w:rFonts w:eastAsia="仿宋_GB2312"/>
          <w:sz w:val="32"/>
          <w:szCs w:val="32"/>
        </w:rPr>
        <w:t xml:space="preserve"> “</w:t>
      </w:r>
      <w:r w:rsidR="00710925" w:rsidRPr="00BE4D34">
        <w:rPr>
          <w:rFonts w:eastAsia="仿宋_GB2312"/>
          <w:sz w:val="32"/>
          <w:szCs w:val="32"/>
        </w:rPr>
        <w:t>磐石</w:t>
      </w:r>
      <w:r w:rsidR="00710925" w:rsidRPr="00BE4D34">
        <w:rPr>
          <w:rFonts w:eastAsia="仿宋_GB2312"/>
          <w:sz w:val="32"/>
          <w:szCs w:val="32"/>
        </w:rPr>
        <w:t>”</w:t>
      </w:r>
      <w:r w:rsidR="00710925">
        <w:rPr>
          <w:rFonts w:eastAsia="仿宋_GB2312" w:hint="eastAsia"/>
          <w:sz w:val="32"/>
          <w:szCs w:val="32"/>
        </w:rPr>
        <w:t>系列</w:t>
      </w:r>
      <w:r w:rsidR="00710925" w:rsidRPr="00BE4D34">
        <w:rPr>
          <w:rFonts w:eastAsia="仿宋_GB2312"/>
          <w:sz w:val="32"/>
          <w:szCs w:val="32"/>
        </w:rPr>
        <w:t>专项行动</w:t>
      </w:r>
      <w:r w:rsidR="00710925">
        <w:rPr>
          <w:rFonts w:eastAsia="仿宋_GB2312" w:hint="eastAsia"/>
          <w:sz w:val="32"/>
          <w:szCs w:val="32"/>
        </w:rPr>
        <w:t>、</w:t>
      </w:r>
      <w:r w:rsidR="00710925" w:rsidRPr="00AE258E">
        <w:rPr>
          <w:rFonts w:eastAsia="仿宋_GB2312" w:hint="eastAsia"/>
          <w:sz w:val="32"/>
          <w:szCs w:val="32"/>
        </w:rPr>
        <w:t>实现“社区一民警两辅警”“农村一村一辅警”和人民调解员入驻城区派出所“全覆盖”</w:t>
      </w:r>
      <w:r w:rsidR="00710925">
        <w:rPr>
          <w:rFonts w:eastAsia="仿宋_GB2312" w:hint="eastAsia"/>
          <w:sz w:val="32"/>
          <w:szCs w:val="32"/>
        </w:rPr>
        <w:t>、</w:t>
      </w:r>
      <w:r w:rsidR="00710925" w:rsidRPr="00BE4D34">
        <w:rPr>
          <w:rFonts w:eastAsia="仿宋_GB2312"/>
          <w:sz w:val="32"/>
          <w:szCs w:val="32"/>
        </w:rPr>
        <w:t>农村道路安全治理</w:t>
      </w:r>
      <w:r w:rsidR="00710925">
        <w:rPr>
          <w:rFonts w:eastAsia="仿宋_GB2312" w:hint="eastAsia"/>
          <w:sz w:val="32"/>
          <w:szCs w:val="32"/>
        </w:rPr>
        <w:t>等重点工作持续开展，致车辆油料费、公务用车运行维护费增加。</w:t>
      </w:r>
    </w:p>
    <w:p w:rsidR="009E4DB6" w:rsidRDefault="00EF39C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B3456F">
        <w:rPr>
          <w:rFonts w:ascii="仿宋_GB2312" w:eastAsia="仿宋_GB2312" w:hint="eastAsia"/>
          <w:sz w:val="32"/>
          <w:szCs w:val="32"/>
        </w:rPr>
        <w:t>173.85</w:t>
      </w:r>
      <w:r>
        <w:rPr>
          <w:rFonts w:ascii="仿宋_GB2312" w:eastAsia="仿宋_GB2312" w:hint="eastAsia"/>
          <w:sz w:val="32"/>
          <w:szCs w:val="32"/>
        </w:rPr>
        <w:t>万元。全年按规定更</w:t>
      </w:r>
      <w:r>
        <w:rPr>
          <w:rFonts w:ascii="仿宋_GB2312" w:eastAsia="仿宋_GB2312" w:hint="eastAsia"/>
          <w:sz w:val="32"/>
          <w:szCs w:val="32"/>
        </w:rPr>
        <w:lastRenderedPageBreak/>
        <w:t>新购置公务用车</w:t>
      </w:r>
      <w:r w:rsidR="00B3456F">
        <w:rPr>
          <w:rFonts w:ascii="仿宋_GB2312" w:eastAsia="仿宋_GB2312" w:hint="eastAsia"/>
          <w:sz w:val="32"/>
          <w:szCs w:val="32"/>
        </w:rPr>
        <w:t>8</w:t>
      </w:r>
      <w:r>
        <w:rPr>
          <w:rFonts w:ascii="仿宋_GB2312" w:eastAsia="仿宋_GB2312" w:hint="eastAsia"/>
          <w:sz w:val="32"/>
          <w:szCs w:val="32"/>
        </w:rPr>
        <w:t>辆，其中：轿车</w:t>
      </w:r>
      <w:r w:rsidR="00B3456F">
        <w:rPr>
          <w:rFonts w:ascii="仿宋_GB2312" w:eastAsia="仿宋_GB2312" w:hint="eastAsia"/>
          <w:sz w:val="32"/>
          <w:szCs w:val="32"/>
        </w:rPr>
        <w:t>0</w:t>
      </w:r>
      <w:r>
        <w:rPr>
          <w:rFonts w:ascii="仿宋_GB2312" w:eastAsia="仿宋_GB2312" w:hint="eastAsia"/>
          <w:sz w:val="32"/>
          <w:szCs w:val="32"/>
        </w:rPr>
        <w:t>辆、金额</w:t>
      </w:r>
      <w:r w:rsidR="00B3456F">
        <w:rPr>
          <w:rFonts w:ascii="仿宋_GB2312" w:eastAsia="仿宋_GB2312" w:hint="eastAsia"/>
          <w:sz w:val="32"/>
          <w:szCs w:val="32"/>
        </w:rPr>
        <w:t>0</w:t>
      </w:r>
      <w:r>
        <w:rPr>
          <w:rFonts w:ascii="仿宋_GB2312" w:eastAsia="仿宋_GB2312" w:hint="eastAsia"/>
          <w:sz w:val="32"/>
          <w:szCs w:val="32"/>
        </w:rPr>
        <w:t>万元，越野车</w:t>
      </w:r>
      <w:r w:rsidR="00B3456F">
        <w:rPr>
          <w:rFonts w:ascii="仿宋_GB2312" w:eastAsia="仿宋_GB2312" w:hint="eastAsia"/>
          <w:sz w:val="32"/>
          <w:szCs w:val="32"/>
        </w:rPr>
        <w:t>0</w:t>
      </w:r>
      <w:r>
        <w:rPr>
          <w:rFonts w:ascii="仿宋_GB2312" w:eastAsia="仿宋_GB2312" w:hint="eastAsia"/>
          <w:sz w:val="32"/>
          <w:szCs w:val="32"/>
        </w:rPr>
        <w:t>辆、金额</w:t>
      </w:r>
      <w:r w:rsidR="00B3456F">
        <w:rPr>
          <w:rFonts w:ascii="仿宋_GB2312" w:eastAsia="仿宋_GB2312" w:hint="eastAsia"/>
          <w:sz w:val="32"/>
          <w:szCs w:val="32"/>
        </w:rPr>
        <w:t>0</w:t>
      </w:r>
      <w:r>
        <w:rPr>
          <w:rFonts w:ascii="仿宋_GB2312" w:eastAsia="仿宋_GB2312" w:hint="eastAsia"/>
          <w:sz w:val="32"/>
          <w:szCs w:val="32"/>
        </w:rPr>
        <w:t>万元，载客汽车</w:t>
      </w:r>
      <w:r w:rsidR="00B3456F">
        <w:rPr>
          <w:rFonts w:ascii="仿宋_GB2312" w:eastAsia="仿宋_GB2312" w:hint="eastAsia"/>
          <w:sz w:val="32"/>
          <w:szCs w:val="32"/>
        </w:rPr>
        <w:t>8</w:t>
      </w:r>
      <w:r>
        <w:rPr>
          <w:rFonts w:ascii="仿宋_GB2312" w:eastAsia="仿宋_GB2312" w:hint="eastAsia"/>
          <w:sz w:val="32"/>
          <w:szCs w:val="32"/>
        </w:rPr>
        <w:t>辆、金额</w:t>
      </w:r>
      <w:r w:rsidR="005A2B1F">
        <w:rPr>
          <w:rFonts w:ascii="仿宋_GB2312" w:eastAsia="仿宋_GB2312" w:hint="eastAsia"/>
          <w:sz w:val="32"/>
          <w:szCs w:val="32"/>
        </w:rPr>
        <w:t>173.85</w:t>
      </w:r>
      <w:r>
        <w:rPr>
          <w:rFonts w:ascii="仿宋_GB2312" w:eastAsia="仿宋_GB2312" w:hint="eastAsia"/>
          <w:sz w:val="32"/>
          <w:szCs w:val="32"/>
        </w:rPr>
        <w:t>万元，主要用于</w:t>
      </w:r>
      <w:r w:rsidR="00B3456F">
        <w:rPr>
          <w:rFonts w:ascii="仿宋_GB2312" w:eastAsia="仿宋_GB2312" w:hint="eastAsia"/>
          <w:sz w:val="32"/>
          <w:szCs w:val="32"/>
        </w:rPr>
        <w:t>执法执勤及各类勤务</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B3456F">
        <w:rPr>
          <w:rFonts w:ascii="仿宋_GB2312" w:eastAsia="仿宋_GB2312" w:hint="eastAsia"/>
          <w:sz w:val="32"/>
          <w:szCs w:val="32"/>
        </w:rPr>
        <w:t>437</w:t>
      </w:r>
      <w:r>
        <w:rPr>
          <w:rFonts w:ascii="仿宋_GB2312" w:eastAsia="仿宋_GB2312" w:hint="eastAsia"/>
          <w:sz w:val="32"/>
          <w:szCs w:val="32"/>
        </w:rPr>
        <w:t>辆，其中：轿车</w:t>
      </w:r>
      <w:r w:rsidR="00B3456F">
        <w:rPr>
          <w:rFonts w:ascii="仿宋_GB2312" w:eastAsia="仿宋_GB2312" w:hint="eastAsia"/>
          <w:sz w:val="32"/>
          <w:szCs w:val="32"/>
        </w:rPr>
        <w:t>237</w:t>
      </w:r>
      <w:r>
        <w:rPr>
          <w:rFonts w:ascii="仿宋_GB2312" w:eastAsia="仿宋_GB2312" w:hint="eastAsia"/>
          <w:sz w:val="32"/>
          <w:szCs w:val="32"/>
        </w:rPr>
        <w:t>辆、越野车</w:t>
      </w:r>
      <w:r w:rsidR="00B3456F">
        <w:rPr>
          <w:rFonts w:ascii="仿宋_GB2312" w:eastAsia="仿宋_GB2312" w:hint="eastAsia"/>
          <w:sz w:val="32"/>
          <w:szCs w:val="32"/>
        </w:rPr>
        <w:t>57</w:t>
      </w:r>
      <w:r>
        <w:rPr>
          <w:rFonts w:ascii="仿宋_GB2312" w:eastAsia="仿宋_GB2312" w:hint="eastAsia"/>
          <w:sz w:val="32"/>
          <w:szCs w:val="32"/>
        </w:rPr>
        <w:t>辆、</w:t>
      </w:r>
      <w:r w:rsidR="00B3456F" w:rsidRPr="006038C3">
        <w:rPr>
          <w:rFonts w:ascii="仿宋_GB2312" w:eastAsia="仿宋_GB2312" w:hint="eastAsia"/>
          <w:sz w:val="32"/>
          <w:szCs w:val="32"/>
        </w:rPr>
        <w:t>小型载客汽车</w:t>
      </w:r>
      <w:r w:rsidR="00B3456F">
        <w:rPr>
          <w:rFonts w:ascii="仿宋_GB2312" w:eastAsia="仿宋_GB2312" w:hint="eastAsia"/>
          <w:sz w:val="32"/>
          <w:szCs w:val="32"/>
        </w:rPr>
        <w:t>65</w:t>
      </w:r>
      <w:r w:rsidR="00B3456F" w:rsidRPr="006038C3">
        <w:rPr>
          <w:rFonts w:ascii="仿宋_GB2312" w:eastAsia="仿宋_GB2312" w:hint="eastAsia"/>
          <w:sz w:val="32"/>
          <w:szCs w:val="32"/>
        </w:rPr>
        <w:t>辆</w:t>
      </w:r>
      <w:r w:rsidR="00B3456F">
        <w:rPr>
          <w:rFonts w:ascii="仿宋_GB2312" w:eastAsia="仿宋_GB2312" w:hint="eastAsia"/>
          <w:sz w:val="32"/>
          <w:szCs w:val="32"/>
        </w:rPr>
        <w:t>、大中型载客汽车11辆、其他车型71辆</w:t>
      </w:r>
      <w:r>
        <w:rPr>
          <w:rFonts w:ascii="仿宋_GB2312" w:eastAsia="仿宋_GB2312" w:hint="eastAsia"/>
          <w:sz w:val="32"/>
          <w:szCs w:val="32"/>
        </w:rPr>
        <w:t>。</w:t>
      </w:r>
    </w:p>
    <w:p w:rsidR="009E4DB6" w:rsidRDefault="00EF39C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B3456F">
        <w:rPr>
          <w:rFonts w:ascii="仿宋_GB2312" w:eastAsia="仿宋_GB2312" w:hint="eastAsia"/>
          <w:sz w:val="32"/>
          <w:szCs w:val="32"/>
        </w:rPr>
        <w:t>449.6</w:t>
      </w:r>
      <w:r w:rsidR="005A2B1F">
        <w:rPr>
          <w:rFonts w:ascii="仿宋_GB2312" w:eastAsia="仿宋_GB2312" w:hint="eastAsia"/>
          <w:sz w:val="32"/>
          <w:szCs w:val="32"/>
        </w:rPr>
        <w:t>4</w:t>
      </w:r>
      <w:r>
        <w:rPr>
          <w:rFonts w:ascii="仿宋_GB2312" w:eastAsia="仿宋_GB2312" w:hint="eastAsia"/>
          <w:sz w:val="32"/>
          <w:szCs w:val="32"/>
        </w:rPr>
        <w:t>万元。主要用于</w:t>
      </w:r>
      <w:r w:rsidR="00B3456F" w:rsidRPr="005D6606">
        <w:rPr>
          <w:rFonts w:ascii="仿宋" w:eastAsia="仿宋" w:hAnsi="仿宋" w:hint="eastAsia"/>
          <w:color w:val="000000"/>
          <w:sz w:val="32"/>
          <w:szCs w:val="32"/>
        </w:rPr>
        <w:t>公安办案出差、</w:t>
      </w:r>
      <w:r w:rsidR="00B3456F">
        <w:rPr>
          <w:rFonts w:ascii="仿宋" w:eastAsia="仿宋" w:hAnsi="仿宋" w:hint="eastAsia"/>
          <w:color w:val="000000"/>
          <w:sz w:val="32"/>
          <w:szCs w:val="32"/>
        </w:rPr>
        <w:t>勘察现场等所需的公务用车燃料费、维修费、过路过桥费、保险费等支</w:t>
      </w:r>
      <w:r>
        <w:rPr>
          <w:rFonts w:ascii="仿宋_GB2312" w:eastAsia="仿宋_GB2312" w:hint="eastAsia"/>
          <w:sz w:val="32"/>
          <w:szCs w:val="32"/>
        </w:rPr>
        <w:t>出。</w:t>
      </w:r>
    </w:p>
    <w:p w:rsidR="009E4DB6" w:rsidRDefault="00EF39C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B3456F" w:rsidRPr="00B3456F">
        <w:rPr>
          <w:rFonts w:ascii="仿宋_GB2312" w:eastAsia="仿宋_GB2312" w:hint="eastAsia"/>
          <w:sz w:val="32"/>
          <w:szCs w:val="32"/>
        </w:rPr>
        <w:t>0.75万</w:t>
      </w:r>
      <w:r>
        <w:rPr>
          <w:rFonts w:ascii="仿宋_GB2312" w:eastAsia="仿宋_GB2312" w:hint="eastAsia"/>
          <w:sz w:val="32"/>
          <w:szCs w:val="32"/>
        </w:rPr>
        <w:t>元，</w:t>
      </w:r>
      <w:r>
        <w:rPr>
          <w:rStyle w:val="a8"/>
          <w:rFonts w:ascii="仿宋" w:eastAsia="仿宋" w:hAnsi="仿宋" w:hint="eastAsia"/>
          <w:b w:val="0"/>
          <w:bCs/>
          <w:sz w:val="32"/>
          <w:szCs w:val="32"/>
        </w:rPr>
        <w:t>完成预算</w:t>
      </w:r>
      <w:r w:rsidR="00B3456F">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w:t>
      </w:r>
      <w:r w:rsidR="00B3456F">
        <w:rPr>
          <w:rFonts w:ascii="仿宋_GB2312" w:eastAsia="仿宋_GB2312" w:hint="eastAsia"/>
          <w:sz w:val="32"/>
          <w:szCs w:val="32"/>
        </w:rPr>
        <w:t>0.</w:t>
      </w:r>
      <w:r w:rsidR="007B256B">
        <w:rPr>
          <w:rFonts w:ascii="仿宋_GB2312" w:eastAsia="仿宋_GB2312" w:hint="eastAsia"/>
          <w:sz w:val="32"/>
          <w:szCs w:val="32"/>
        </w:rPr>
        <w:t>0</w:t>
      </w:r>
      <w:r w:rsidR="00B3456F">
        <w:rPr>
          <w:rFonts w:ascii="仿宋_GB2312" w:eastAsia="仿宋_GB2312" w:hint="eastAsia"/>
          <w:sz w:val="32"/>
          <w:szCs w:val="32"/>
        </w:rPr>
        <w:t>5</w:t>
      </w:r>
      <w:r>
        <w:rPr>
          <w:rFonts w:ascii="仿宋_GB2312" w:eastAsia="仿宋_GB2312" w:hint="eastAsia"/>
          <w:sz w:val="32"/>
          <w:szCs w:val="32"/>
        </w:rPr>
        <w:t>万元，下降</w:t>
      </w:r>
      <w:r w:rsidR="007B256B">
        <w:rPr>
          <w:rFonts w:ascii="仿宋_GB2312" w:eastAsia="仿宋_GB2312" w:hint="eastAsia"/>
          <w:sz w:val="32"/>
          <w:szCs w:val="32"/>
        </w:rPr>
        <w:t>6.25</w:t>
      </w:r>
      <w:r>
        <w:rPr>
          <w:rFonts w:ascii="仿宋_GB2312" w:eastAsia="仿宋_GB2312"/>
          <w:sz w:val="32"/>
          <w:szCs w:val="32"/>
        </w:rPr>
        <w:t>%</w:t>
      </w:r>
      <w:r>
        <w:rPr>
          <w:rFonts w:ascii="仿宋_GB2312" w:eastAsia="仿宋_GB2312" w:hint="eastAsia"/>
          <w:sz w:val="32"/>
          <w:szCs w:val="32"/>
        </w:rPr>
        <w:t>。主要原因是</w:t>
      </w:r>
      <w:r w:rsidR="008D5F4B">
        <w:rPr>
          <w:rFonts w:ascii="仿宋_GB2312" w:eastAsia="仿宋_GB2312" w:hint="eastAsia"/>
          <w:sz w:val="32"/>
          <w:szCs w:val="32"/>
        </w:rPr>
        <w:t>我局</w:t>
      </w:r>
      <w:r w:rsidR="007B256B" w:rsidRPr="005D6606">
        <w:rPr>
          <w:rFonts w:ascii="仿宋_GB2312" w:eastAsia="仿宋_GB2312" w:hAnsi="仿宋" w:hint="eastAsia"/>
          <w:sz w:val="32"/>
          <w:szCs w:val="32"/>
        </w:rPr>
        <w:t>严格执行中央八项规定，严格遵守《四川省党政机关国内公务接待管理办法》、《攀枝花市党政机关国内公务接待管理办法》等相关规定，坚持务实节约、严格标准和对口接待等原则，严格控制公务接待费支出总额</w:t>
      </w:r>
      <w:r>
        <w:rPr>
          <w:rFonts w:ascii="仿宋_GB2312" w:eastAsia="仿宋_GB2312" w:hint="eastAsia"/>
          <w:sz w:val="32"/>
          <w:szCs w:val="32"/>
        </w:rPr>
        <w:t>。其中：</w:t>
      </w:r>
    </w:p>
    <w:p w:rsidR="009E4DB6" w:rsidRDefault="00EF39C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7B256B">
        <w:rPr>
          <w:rFonts w:ascii="仿宋" w:eastAsia="仿宋" w:hAnsi="仿宋" w:hint="eastAsia"/>
          <w:sz w:val="32"/>
          <w:szCs w:val="32"/>
        </w:rPr>
        <w:t>0.75</w:t>
      </w:r>
      <w:r w:rsidR="008861AB">
        <w:rPr>
          <w:rFonts w:ascii="仿宋_GB2312" w:eastAsia="仿宋_GB2312" w:hint="eastAsia"/>
          <w:sz w:val="32"/>
          <w:szCs w:val="32"/>
        </w:rPr>
        <w:t>万元，</w:t>
      </w:r>
      <w:bookmarkStart w:id="44" w:name="_GoBack"/>
      <w:bookmarkEnd w:id="44"/>
      <w:r w:rsidR="007B256B" w:rsidRPr="006038C3">
        <w:rPr>
          <w:rFonts w:ascii="仿宋_GB2312" w:eastAsia="仿宋_GB2312" w:hAnsi="仿宋" w:hint="eastAsia"/>
          <w:sz w:val="32"/>
          <w:szCs w:val="32"/>
        </w:rPr>
        <w:t>主要用于执行公务、开展业务活动开支的用餐费。国内公务接待</w:t>
      </w:r>
      <w:r w:rsidR="006B324B">
        <w:rPr>
          <w:rFonts w:ascii="仿宋_GB2312" w:eastAsia="仿宋_GB2312" w:hAnsi="仿宋" w:hint="eastAsia"/>
          <w:sz w:val="32"/>
          <w:szCs w:val="32"/>
        </w:rPr>
        <w:t>48</w:t>
      </w:r>
      <w:r w:rsidR="007B256B" w:rsidRPr="006038C3">
        <w:rPr>
          <w:rFonts w:ascii="仿宋_GB2312" w:eastAsia="仿宋_GB2312" w:hAnsi="仿宋" w:hint="eastAsia"/>
          <w:sz w:val="32"/>
          <w:szCs w:val="32"/>
        </w:rPr>
        <w:t>批次</w:t>
      </w:r>
      <w:r w:rsidR="006B324B">
        <w:rPr>
          <w:rFonts w:ascii="仿宋_GB2312" w:eastAsia="仿宋_GB2312" w:hAnsi="仿宋" w:hint="eastAsia"/>
          <w:sz w:val="32"/>
          <w:szCs w:val="32"/>
        </w:rPr>
        <w:t>48</w:t>
      </w:r>
      <w:r w:rsidR="007B256B" w:rsidRPr="006038C3">
        <w:rPr>
          <w:rFonts w:ascii="仿宋_GB2312" w:eastAsia="仿宋_GB2312" w:hAnsi="仿宋" w:hint="eastAsia"/>
          <w:sz w:val="32"/>
          <w:szCs w:val="32"/>
        </w:rPr>
        <w:t>人次（不包括陪同人员），共计支出0.</w:t>
      </w:r>
      <w:r w:rsidR="006B324B">
        <w:rPr>
          <w:rFonts w:ascii="仿宋_GB2312" w:eastAsia="仿宋_GB2312" w:hAnsi="仿宋" w:hint="eastAsia"/>
          <w:sz w:val="32"/>
          <w:szCs w:val="32"/>
        </w:rPr>
        <w:t>75</w:t>
      </w:r>
      <w:r w:rsidR="007B256B" w:rsidRPr="006038C3">
        <w:rPr>
          <w:rFonts w:ascii="仿宋_GB2312" w:eastAsia="仿宋_GB2312" w:hAnsi="仿宋" w:hint="eastAsia"/>
          <w:sz w:val="32"/>
          <w:szCs w:val="32"/>
        </w:rPr>
        <w:t>万元，具体内容包括：上级单位来我局检查、其他地市州公安部门到我局考察等发生的餐费0.</w:t>
      </w:r>
      <w:r w:rsidR="006B324B">
        <w:rPr>
          <w:rFonts w:ascii="仿宋_GB2312" w:eastAsia="仿宋_GB2312" w:hAnsi="仿宋" w:hint="eastAsia"/>
          <w:sz w:val="32"/>
          <w:szCs w:val="32"/>
        </w:rPr>
        <w:t>75</w:t>
      </w:r>
      <w:r w:rsidR="007B256B" w:rsidRPr="006038C3">
        <w:rPr>
          <w:rFonts w:ascii="仿宋_GB2312" w:eastAsia="仿宋_GB2312" w:hAnsi="仿宋" w:hint="eastAsia"/>
          <w:sz w:val="32"/>
          <w:szCs w:val="32"/>
        </w:rPr>
        <w:t>万元</w:t>
      </w:r>
      <w:r>
        <w:rPr>
          <w:rFonts w:ascii="仿宋_GB2312" w:eastAsia="仿宋_GB2312" w:hint="eastAsia"/>
          <w:sz w:val="32"/>
          <w:szCs w:val="32"/>
        </w:rPr>
        <w:t>。</w:t>
      </w:r>
    </w:p>
    <w:p w:rsidR="009E4DB6" w:rsidRDefault="00EF39C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6B324B">
        <w:rPr>
          <w:rFonts w:ascii="仿宋" w:eastAsia="仿宋" w:hAnsi="仿宋" w:hint="eastAsia"/>
          <w:sz w:val="32"/>
          <w:szCs w:val="32"/>
        </w:rPr>
        <w:t>0</w:t>
      </w:r>
      <w:r>
        <w:rPr>
          <w:rFonts w:ascii="仿宋_GB2312" w:eastAsia="仿宋_GB2312" w:hint="eastAsia"/>
          <w:sz w:val="32"/>
          <w:szCs w:val="32"/>
        </w:rPr>
        <w:t>万元，主要用于接待</w:t>
      </w:r>
      <w:r w:rsidR="006B324B">
        <w:rPr>
          <w:rFonts w:ascii="仿宋_GB2312" w:eastAsia="仿宋_GB2312" w:hint="eastAsia"/>
          <w:sz w:val="32"/>
          <w:szCs w:val="32"/>
        </w:rPr>
        <w:t>无</w:t>
      </w:r>
      <w:r>
        <w:rPr>
          <w:rFonts w:ascii="仿宋_GB2312" w:eastAsia="仿宋_GB2312" w:hint="eastAsia"/>
          <w:sz w:val="32"/>
          <w:szCs w:val="32"/>
        </w:rPr>
        <w:t>。外事接待</w:t>
      </w:r>
      <w:r w:rsidR="006B324B">
        <w:rPr>
          <w:rFonts w:ascii="仿宋_GB2312" w:eastAsia="仿宋_GB2312" w:hint="eastAsia"/>
          <w:sz w:val="32"/>
          <w:szCs w:val="32"/>
        </w:rPr>
        <w:t>0</w:t>
      </w:r>
      <w:r>
        <w:rPr>
          <w:rFonts w:ascii="仿宋_GB2312" w:eastAsia="仿宋_GB2312" w:hint="eastAsia"/>
          <w:sz w:val="32"/>
          <w:szCs w:val="32"/>
        </w:rPr>
        <w:t>批次，</w:t>
      </w:r>
      <w:r w:rsidR="006B324B">
        <w:rPr>
          <w:rFonts w:ascii="仿宋_GB2312" w:eastAsia="仿宋_GB2312" w:hint="eastAsia"/>
          <w:sz w:val="32"/>
          <w:szCs w:val="32"/>
        </w:rPr>
        <w:t>0</w:t>
      </w:r>
      <w:r>
        <w:rPr>
          <w:rFonts w:ascii="仿宋_GB2312" w:eastAsia="仿宋_GB2312" w:hint="eastAsia"/>
          <w:sz w:val="32"/>
          <w:szCs w:val="32"/>
        </w:rPr>
        <w:t>人次（不包括陪同人员），共计支出</w:t>
      </w:r>
      <w:r w:rsidR="006B324B">
        <w:rPr>
          <w:rFonts w:ascii="仿宋_GB2312" w:eastAsia="仿宋_GB2312" w:hint="eastAsia"/>
          <w:sz w:val="32"/>
          <w:szCs w:val="32"/>
        </w:rPr>
        <w:t>0</w:t>
      </w:r>
      <w:r>
        <w:rPr>
          <w:rFonts w:ascii="仿宋_GB2312" w:eastAsia="仿宋_GB2312" w:hint="eastAsia"/>
          <w:sz w:val="32"/>
          <w:szCs w:val="32"/>
        </w:rPr>
        <w:t>万元。</w:t>
      </w:r>
    </w:p>
    <w:p w:rsidR="009E4DB6" w:rsidRDefault="009E4DB6">
      <w:pPr>
        <w:spacing w:line="600" w:lineRule="exact"/>
        <w:ind w:firstLine="640"/>
        <w:outlineLvl w:val="1"/>
        <w:rPr>
          <w:rFonts w:ascii="黑体" w:eastAsia="黑体"/>
          <w:sz w:val="32"/>
          <w:szCs w:val="32"/>
        </w:rPr>
      </w:pPr>
      <w:bookmarkStart w:id="45" w:name="_Toc15396610"/>
      <w:bookmarkStart w:id="46" w:name="_Toc15377218"/>
    </w:p>
    <w:p w:rsidR="009E4DB6" w:rsidRDefault="00EF39C0">
      <w:pPr>
        <w:spacing w:line="600" w:lineRule="exact"/>
        <w:ind w:firstLine="640"/>
        <w:outlineLvl w:val="1"/>
        <w:rPr>
          <w:rStyle w:val="2Char"/>
          <w:rFonts w:ascii="黑体" w:eastAsia="黑体" w:hAnsi="黑体"/>
        </w:rPr>
      </w:pPr>
      <w:r>
        <w:rPr>
          <w:rFonts w:ascii="黑体" w:eastAsia="黑体" w:hint="eastAsia"/>
          <w:sz w:val="32"/>
          <w:szCs w:val="32"/>
        </w:rPr>
        <w:lastRenderedPageBreak/>
        <w:t>八、</w:t>
      </w:r>
      <w:r>
        <w:rPr>
          <w:rStyle w:val="2Char"/>
          <w:rFonts w:ascii="黑体" w:eastAsia="黑体" w:hAnsi="黑体" w:hint="eastAsia"/>
          <w:b w:val="0"/>
        </w:rPr>
        <w:t>政府性基金预算支出决算情况说明</w:t>
      </w:r>
      <w:bookmarkEnd w:id="45"/>
      <w:bookmarkEnd w:id="46"/>
    </w:p>
    <w:p w:rsidR="009E4DB6" w:rsidRPr="008D5F4B" w:rsidRDefault="00EF39C0" w:rsidP="008D5F4B">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6B324B">
        <w:rPr>
          <w:rFonts w:ascii="仿宋_GB2312" w:eastAsia="仿宋_GB2312" w:hint="eastAsia"/>
          <w:sz w:val="32"/>
          <w:szCs w:val="32"/>
        </w:rPr>
        <w:t>2115.9</w:t>
      </w:r>
      <w:r>
        <w:rPr>
          <w:rFonts w:ascii="仿宋_GB2312" w:eastAsia="仿宋_GB2312" w:hint="eastAsia"/>
          <w:sz w:val="32"/>
          <w:szCs w:val="32"/>
        </w:rPr>
        <w:t>万元。</w:t>
      </w:r>
      <w:r w:rsidR="006B324B" w:rsidRPr="005D6606">
        <w:rPr>
          <w:rFonts w:ascii="仿宋_GB2312" w:eastAsia="仿宋_GB2312" w:hAnsi="仿宋" w:hint="eastAsia"/>
          <w:sz w:val="32"/>
          <w:szCs w:val="32"/>
        </w:rPr>
        <w:t>主要用于市公安智能安全系统建设项目2020年</w:t>
      </w:r>
      <w:r w:rsidR="008D5F4B">
        <w:rPr>
          <w:rFonts w:ascii="仿宋_GB2312" w:eastAsia="仿宋_GB2312" w:hAnsi="仿宋" w:hint="eastAsia"/>
          <w:sz w:val="32"/>
          <w:szCs w:val="32"/>
        </w:rPr>
        <w:t>度未付</w:t>
      </w:r>
      <w:r w:rsidR="006B324B" w:rsidRPr="005D6606">
        <w:rPr>
          <w:rFonts w:ascii="仿宋_GB2312" w:eastAsia="仿宋_GB2312" w:hAnsi="仿宋" w:hint="eastAsia"/>
          <w:sz w:val="32"/>
          <w:szCs w:val="32"/>
        </w:rPr>
        <w:t>租赁费</w:t>
      </w:r>
      <w:r w:rsidR="008D5F4B">
        <w:rPr>
          <w:rFonts w:ascii="仿宋_GB2312" w:eastAsia="仿宋_GB2312" w:hAnsi="仿宋" w:hint="eastAsia"/>
          <w:sz w:val="32"/>
          <w:szCs w:val="32"/>
        </w:rPr>
        <w:t>595.95万元</w:t>
      </w:r>
      <w:r w:rsidR="005A2B1F">
        <w:rPr>
          <w:rFonts w:ascii="仿宋_GB2312" w:eastAsia="仿宋_GB2312" w:hAnsi="仿宋" w:hint="eastAsia"/>
          <w:sz w:val="32"/>
          <w:szCs w:val="32"/>
        </w:rPr>
        <w:t>，</w:t>
      </w:r>
      <w:r w:rsidR="006B324B" w:rsidRPr="005D6606">
        <w:rPr>
          <w:rFonts w:ascii="仿宋_GB2312" w:eastAsia="仿宋_GB2312" w:hAnsi="仿宋" w:hint="eastAsia"/>
          <w:sz w:val="32"/>
          <w:szCs w:val="32"/>
        </w:rPr>
        <w:t>市看守所迁建</w:t>
      </w:r>
      <w:r w:rsidR="008D5F4B">
        <w:rPr>
          <w:rFonts w:ascii="仿宋_GB2312" w:eastAsia="仿宋_GB2312" w:hAnsi="仿宋" w:hint="eastAsia"/>
          <w:sz w:val="32"/>
          <w:szCs w:val="32"/>
        </w:rPr>
        <w:t>项目场平、主体工程及配套设施1519.95万元。</w:t>
      </w:r>
    </w:p>
    <w:p w:rsidR="009E4DB6" w:rsidRDefault="00EF39C0">
      <w:pPr>
        <w:numPr>
          <w:ilvl w:val="0"/>
          <w:numId w:val="3"/>
        </w:numPr>
        <w:spacing w:line="600" w:lineRule="exact"/>
        <w:ind w:firstLine="640"/>
        <w:outlineLvl w:val="1"/>
        <w:rPr>
          <w:rStyle w:val="2Char"/>
          <w:rFonts w:ascii="黑体" w:eastAsia="黑体" w:hAnsi="黑体"/>
          <w:b w:val="0"/>
        </w:rPr>
      </w:pPr>
      <w:bookmarkStart w:id="47" w:name="_Toc15377219"/>
      <w:bookmarkStart w:id="48" w:name="_Toc15396611"/>
      <w:r>
        <w:rPr>
          <w:rStyle w:val="2Char"/>
          <w:rFonts w:ascii="黑体" w:eastAsia="黑体" w:hAnsi="黑体" w:hint="eastAsia"/>
          <w:b w:val="0"/>
        </w:rPr>
        <w:t>国有资本经营预算支出决算情况说明</w:t>
      </w:r>
      <w:bookmarkEnd w:id="47"/>
      <w:bookmarkEnd w:id="48"/>
    </w:p>
    <w:p w:rsidR="009E4DB6" w:rsidRDefault="00EF39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8D5F4B">
        <w:rPr>
          <w:rFonts w:ascii="仿宋_GB2312" w:eastAsia="仿宋_GB2312" w:hint="eastAsia"/>
          <w:sz w:val="32"/>
          <w:szCs w:val="32"/>
        </w:rPr>
        <w:t>0</w:t>
      </w:r>
      <w:r>
        <w:rPr>
          <w:rFonts w:ascii="仿宋_GB2312" w:eastAsia="仿宋_GB2312" w:hint="eastAsia"/>
          <w:sz w:val="32"/>
          <w:szCs w:val="32"/>
        </w:rPr>
        <w:t>万元。</w:t>
      </w:r>
    </w:p>
    <w:p w:rsidR="009E4DB6" w:rsidRDefault="00EF39C0">
      <w:pPr>
        <w:numPr>
          <w:ilvl w:val="0"/>
          <w:numId w:val="3"/>
        </w:numPr>
        <w:spacing w:line="600" w:lineRule="exact"/>
        <w:ind w:firstLine="640"/>
        <w:outlineLvl w:val="1"/>
        <w:rPr>
          <w:rStyle w:val="2Char"/>
          <w:rFonts w:ascii="黑体" w:eastAsia="黑体" w:hAnsi="黑体"/>
          <w:b w:val="0"/>
        </w:rPr>
      </w:pPr>
      <w:bookmarkStart w:id="49" w:name="_Toc15396612"/>
      <w:bookmarkStart w:id="50" w:name="_Toc15377221"/>
      <w:r>
        <w:rPr>
          <w:rStyle w:val="2Char"/>
          <w:rFonts w:ascii="黑体" w:eastAsia="黑体" w:hAnsi="黑体" w:hint="eastAsia"/>
          <w:b w:val="0"/>
        </w:rPr>
        <w:t>其他重要事项的情况说明</w:t>
      </w:r>
      <w:bookmarkEnd w:id="49"/>
      <w:bookmarkEnd w:id="50"/>
    </w:p>
    <w:p w:rsidR="009E4DB6" w:rsidRDefault="00EF39C0">
      <w:pPr>
        <w:spacing w:line="600" w:lineRule="exact"/>
        <w:ind w:firstLineChars="200" w:firstLine="643"/>
        <w:outlineLvl w:val="2"/>
        <w:rPr>
          <w:rFonts w:ascii="仿宋" w:eastAsia="仿宋" w:hAnsi="仿宋"/>
          <w:sz w:val="32"/>
          <w:szCs w:val="32"/>
        </w:rPr>
      </w:pPr>
      <w:bookmarkStart w:id="51" w:name="_Toc15377222"/>
      <w:r>
        <w:rPr>
          <w:rFonts w:ascii="仿宋" w:eastAsia="仿宋" w:hAnsi="仿宋" w:hint="eastAsia"/>
          <w:b/>
          <w:sz w:val="32"/>
          <w:szCs w:val="32"/>
        </w:rPr>
        <w:t>（一）机关运行经费支出情况</w:t>
      </w:r>
      <w:bookmarkEnd w:id="51"/>
    </w:p>
    <w:p w:rsidR="009E4DB6" w:rsidRDefault="00EF39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8D5F4B" w:rsidRPr="00754AAC">
        <w:rPr>
          <w:rFonts w:ascii="仿宋_GB2312" w:eastAsia="仿宋_GB2312" w:hint="eastAsia"/>
          <w:sz w:val="32"/>
          <w:szCs w:val="32"/>
        </w:rPr>
        <w:t>攀枝花市公安局部门</w:t>
      </w:r>
      <w:r>
        <w:rPr>
          <w:rFonts w:ascii="仿宋_GB2312" w:eastAsia="仿宋_GB2312" w:hint="eastAsia"/>
          <w:sz w:val="32"/>
          <w:szCs w:val="32"/>
        </w:rPr>
        <w:t>机关运行经费支出</w:t>
      </w:r>
      <w:r w:rsidR="008D5F4B">
        <w:rPr>
          <w:rFonts w:ascii="仿宋_GB2312" w:eastAsia="仿宋_GB2312" w:hint="eastAsia"/>
          <w:sz w:val="32"/>
          <w:szCs w:val="32"/>
        </w:rPr>
        <w:t>5793.26</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21年减少</w:t>
      </w:r>
      <w:r w:rsidR="008D5F4B">
        <w:rPr>
          <w:rFonts w:ascii="仿宋_GB2312" w:eastAsia="仿宋_GB2312" w:hint="eastAsia"/>
          <w:sz w:val="32"/>
          <w:szCs w:val="32"/>
        </w:rPr>
        <w:t>214.78</w:t>
      </w:r>
      <w:r>
        <w:rPr>
          <w:rFonts w:ascii="仿宋_GB2312" w:eastAsia="仿宋_GB2312" w:hint="eastAsia"/>
          <w:sz w:val="32"/>
          <w:szCs w:val="32"/>
        </w:rPr>
        <w:t>万元，下降</w:t>
      </w:r>
      <w:r w:rsidR="008D5F4B">
        <w:rPr>
          <w:rFonts w:ascii="仿宋_GB2312" w:eastAsia="仿宋_GB2312" w:hint="eastAsia"/>
          <w:sz w:val="32"/>
          <w:szCs w:val="32"/>
        </w:rPr>
        <w:t>3.58</w:t>
      </w:r>
      <w:r>
        <w:rPr>
          <w:rFonts w:ascii="仿宋_GB2312" w:eastAsia="仿宋_GB2312"/>
          <w:sz w:val="32"/>
          <w:szCs w:val="32"/>
        </w:rPr>
        <w:t>%</w:t>
      </w:r>
      <w:r>
        <w:rPr>
          <w:rFonts w:ascii="仿宋_GB2312" w:eastAsia="仿宋_GB2312" w:hint="eastAsia"/>
          <w:sz w:val="32"/>
          <w:szCs w:val="32"/>
        </w:rPr>
        <w:t>。主要原因是</w:t>
      </w:r>
      <w:r w:rsidR="008D5F4B" w:rsidRPr="005D6606">
        <w:rPr>
          <w:rFonts w:ascii="仿宋_GB2312" w:eastAsia="仿宋_GB2312" w:hAnsi="仿宋" w:hint="eastAsia"/>
          <w:sz w:val="32"/>
          <w:szCs w:val="32"/>
        </w:rPr>
        <w:t>厉行勤俭节约，</w:t>
      </w:r>
      <w:r w:rsidR="007B66FB">
        <w:rPr>
          <w:rFonts w:ascii="仿宋_GB2312" w:eastAsia="仿宋_GB2312" w:hAnsi="仿宋" w:hint="eastAsia"/>
          <w:sz w:val="32"/>
          <w:szCs w:val="32"/>
        </w:rPr>
        <w:t>机关运行经费减少</w:t>
      </w:r>
      <w:r>
        <w:rPr>
          <w:rFonts w:ascii="仿宋_GB2312" w:eastAsia="仿宋_GB2312" w:hint="eastAsia"/>
          <w:sz w:val="32"/>
          <w:szCs w:val="32"/>
        </w:rPr>
        <w:t>。</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52" w:name="_Toc15377223"/>
      <w:r>
        <w:rPr>
          <w:rFonts w:ascii="仿宋" w:eastAsia="仿宋" w:hAnsi="仿宋" w:hint="eastAsia"/>
          <w:b/>
          <w:sz w:val="32"/>
          <w:szCs w:val="32"/>
        </w:rPr>
        <w:t>（二）政府采购支出情况</w:t>
      </w:r>
      <w:bookmarkEnd w:id="52"/>
    </w:p>
    <w:p w:rsidR="009E4DB6" w:rsidRDefault="00EF39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7B66FB" w:rsidRPr="00754AAC">
        <w:rPr>
          <w:rFonts w:ascii="仿宋_GB2312" w:eastAsia="仿宋_GB2312" w:hint="eastAsia"/>
          <w:sz w:val="32"/>
          <w:szCs w:val="32"/>
        </w:rPr>
        <w:t>攀枝花市公安局部门</w:t>
      </w:r>
      <w:r>
        <w:rPr>
          <w:rFonts w:ascii="仿宋_GB2312" w:eastAsia="仿宋_GB2312" w:hint="eastAsia"/>
          <w:sz w:val="32"/>
          <w:szCs w:val="32"/>
        </w:rPr>
        <w:t>政府采购支出总额</w:t>
      </w:r>
      <w:r w:rsidR="007B66FB">
        <w:rPr>
          <w:rFonts w:ascii="仿宋_GB2312" w:eastAsia="仿宋_GB2312" w:hint="eastAsia"/>
          <w:sz w:val="32"/>
          <w:szCs w:val="32"/>
        </w:rPr>
        <w:t>1677.36</w:t>
      </w:r>
      <w:r>
        <w:rPr>
          <w:rFonts w:ascii="仿宋_GB2312" w:eastAsia="仿宋_GB2312" w:hint="eastAsia"/>
          <w:sz w:val="32"/>
          <w:szCs w:val="32"/>
        </w:rPr>
        <w:t>万元，其中：政府采购货物支出</w:t>
      </w:r>
      <w:r w:rsidR="007B66FB">
        <w:rPr>
          <w:rFonts w:ascii="仿宋_GB2312" w:eastAsia="仿宋_GB2312" w:hint="eastAsia"/>
          <w:sz w:val="32"/>
          <w:szCs w:val="32"/>
        </w:rPr>
        <w:t>214.31</w:t>
      </w:r>
      <w:r>
        <w:rPr>
          <w:rFonts w:ascii="仿宋_GB2312" w:eastAsia="仿宋_GB2312" w:hint="eastAsia"/>
          <w:sz w:val="32"/>
          <w:szCs w:val="32"/>
        </w:rPr>
        <w:t>万元、政府采购工程支出</w:t>
      </w:r>
      <w:r w:rsidR="007B66FB">
        <w:rPr>
          <w:rFonts w:ascii="仿宋_GB2312" w:eastAsia="仿宋_GB2312" w:hint="eastAsia"/>
          <w:sz w:val="32"/>
          <w:szCs w:val="32"/>
        </w:rPr>
        <w:t>858.45</w:t>
      </w:r>
      <w:r>
        <w:rPr>
          <w:rFonts w:ascii="仿宋_GB2312" w:eastAsia="仿宋_GB2312" w:hint="eastAsia"/>
          <w:sz w:val="32"/>
          <w:szCs w:val="32"/>
        </w:rPr>
        <w:t>万元、政府采购服务支出</w:t>
      </w:r>
      <w:r w:rsidR="007B66FB">
        <w:rPr>
          <w:rFonts w:ascii="仿宋_GB2312" w:eastAsia="仿宋_GB2312" w:hint="eastAsia"/>
          <w:sz w:val="32"/>
          <w:szCs w:val="32"/>
        </w:rPr>
        <w:t>604.6</w:t>
      </w:r>
      <w:r>
        <w:rPr>
          <w:rFonts w:ascii="仿宋_GB2312" w:eastAsia="仿宋_GB2312" w:hint="eastAsia"/>
          <w:sz w:val="32"/>
          <w:szCs w:val="32"/>
        </w:rPr>
        <w:t>元。主要用于</w:t>
      </w:r>
      <w:r w:rsidR="007B66FB">
        <w:rPr>
          <w:rFonts w:ascii="仿宋_GB2312" w:eastAsia="仿宋_GB2312" w:hint="eastAsia"/>
          <w:sz w:val="32"/>
          <w:szCs w:val="32"/>
        </w:rPr>
        <w:t>办公设备、专用设备、信息软件、物业管理服务等的购置</w:t>
      </w:r>
      <w:r>
        <w:rPr>
          <w:rFonts w:ascii="仿宋_GB2312" w:eastAsia="仿宋_GB2312" w:hint="eastAsia"/>
          <w:sz w:val="32"/>
          <w:szCs w:val="32"/>
        </w:rPr>
        <w:t>。授予中小企业合同金额</w:t>
      </w:r>
      <w:r w:rsidR="007B66FB">
        <w:rPr>
          <w:rFonts w:ascii="仿宋_GB2312" w:eastAsia="仿宋_GB2312" w:hint="eastAsia"/>
          <w:sz w:val="32"/>
          <w:szCs w:val="32"/>
        </w:rPr>
        <w:t>845.05</w:t>
      </w:r>
      <w:r>
        <w:rPr>
          <w:rFonts w:ascii="仿宋_GB2312" w:eastAsia="仿宋_GB2312" w:hint="eastAsia"/>
          <w:sz w:val="32"/>
          <w:szCs w:val="32"/>
        </w:rPr>
        <w:t>万元，占政府采购支出总额的</w:t>
      </w:r>
      <w:r w:rsidR="007B66FB">
        <w:rPr>
          <w:rFonts w:ascii="仿宋_GB2312" w:eastAsia="仿宋_GB2312" w:hint="eastAsia"/>
          <w:sz w:val="32"/>
          <w:szCs w:val="32"/>
        </w:rPr>
        <w:t>50.39</w:t>
      </w:r>
      <w:r>
        <w:rPr>
          <w:rFonts w:ascii="仿宋_GB2312" w:eastAsia="仿宋_GB2312"/>
          <w:sz w:val="32"/>
          <w:szCs w:val="32"/>
        </w:rPr>
        <w:t>%</w:t>
      </w:r>
      <w:r>
        <w:rPr>
          <w:rFonts w:ascii="仿宋_GB2312" w:eastAsia="仿宋_GB2312" w:hint="eastAsia"/>
          <w:sz w:val="32"/>
          <w:szCs w:val="32"/>
        </w:rPr>
        <w:t>，其中：授予小微企业合同金额</w:t>
      </w:r>
      <w:r w:rsidR="007B66FB">
        <w:rPr>
          <w:rFonts w:ascii="仿宋_GB2312" w:eastAsia="仿宋_GB2312" w:hint="eastAsia"/>
          <w:sz w:val="32"/>
          <w:szCs w:val="32"/>
        </w:rPr>
        <w:t>0</w:t>
      </w:r>
      <w:r>
        <w:rPr>
          <w:rFonts w:ascii="仿宋_GB2312" w:eastAsia="仿宋_GB2312" w:hint="eastAsia"/>
          <w:sz w:val="32"/>
          <w:szCs w:val="32"/>
        </w:rPr>
        <w:t>万元，占政府采购支出总额的</w:t>
      </w:r>
      <w:r w:rsidR="007B66FB">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53" w:name="_Toc15377224"/>
      <w:r>
        <w:rPr>
          <w:rFonts w:ascii="仿宋" w:eastAsia="仿宋" w:hAnsi="仿宋" w:hint="eastAsia"/>
          <w:b/>
          <w:sz w:val="32"/>
          <w:szCs w:val="32"/>
        </w:rPr>
        <w:t>（三）国有资产占有使用情况</w:t>
      </w:r>
      <w:bookmarkEnd w:id="53"/>
    </w:p>
    <w:p w:rsidR="009E4DB6" w:rsidRDefault="00EF39C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7B66FB" w:rsidRPr="00754AAC">
        <w:rPr>
          <w:rFonts w:ascii="仿宋_GB2312" w:eastAsia="仿宋_GB2312" w:hint="eastAsia"/>
          <w:sz w:val="32"/>
          <w:szCs w:val="32"/>
        </w:rPr>
        <w:t>攀枝花市公安局部门</w:t>
      </w:r>
      <w:r>
        <w:rPr>
          <w:rFonts w:ascii="仿宋_GB2312" w:eastAsia="仿宋_GB2312" w:hint="eastAsia"/>
          <w:sz w:val="32"/>
          <w:szCs w:val="32"/>
        </w:rPr>
        <w:t>共有车辆</w:t>
      </w:r>
      <w:r w:rsidR="007B66FB">
        <w:rPr>
          <w:rFonts w:ascii="仿宋_GB2312" w:eastAsia="仿宋_GB2312" w:hint="eastAsia"/>
          <w:sz w:val="32"/>
          <w:szCs w:val="32"/>
        </w:rPr>
        <w:t>437</w:t>
      </w:r>
      <w:r>
        <w:rPr>
          <w:rFonts w:ascii="仿宋_GB2312" w:eastAsia="仿宋_GB2312" w:hint="eastAsia"/>
          <w:sz w:val="32"/>
          <w:szCs w:val="32"/>
        </w:rPr>
        <w:t>辆，其中：主要领导干部用车</w:t>
      </w:r>
      <w:r w:rsidR="007B66FB">
        <w:rPr>
          <w:rFonts w:ascii="仿宋_GB2312" w:eastAsia="仿宋_GB2312" w:hint="eastAsia"/>
          <w:sz w:val="32"/>
          <w:szCs w:val="32"/>
        </w:rPr>
        <w:t>0</w:t>
      </w:r>
      <w:r>
        <w:rPr>
          <w:rFonts w:ascii="仿宋_GB2312" w:eastAsia="仿宋_GB2312" w:hint="eastAsia"/>
          <w:sz w:val="32"/>
          <w:szCs w:val="32"/>
        </w:rPr>
        <w:t>辆、机要通信用车</w:t>
      </w:r>
      <w:r w:rsidR="007B66FB">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lastRenderedPageBreak/>
        <w:t>应急保障用车</w:t>
      </w:r>
      <w:r w:rsidR="007B66FB">
        <w:rPr>
          <w:rFonts w:ascii="仿宋_GB2312" w:eastAsia="仿宋_GB2312" w:hint="eastAsia"/>
          <w:sz w:val="32"/>
          <w:szCs w:val="32"/>
        </w:rPr>
        <w:t>1</w:t>
      </w:r>
      <w:r>
        <w:rPr>
          <w:rFonts w:ascii="仿宋_GB2312" w:eastAsia="仿宋_GB2312" w:hint="eastAsia"/>
          <w:sz w:val="32"/>
          <w:szCs w:val="32"/>
        </w:rPr>
        <w:t>辆、</w:t>
      </w:r>
      <w:r w:rsidR="007B66FB">
        <w:rPr>
          <w:rFonts w:ascii="仿宋_GB2312" w:eastAsia="仿宋_GB2312" w:hint="eastAsia"/>
          <w:sz w:val="32"/>
          <w:szCs w:val="32"/>
        </w:rPr>
        <w:t>执法执勤用车424辆、特种专业技术用车11辆、</w:t>
      </w:r>
      <w:r>
        <w:rPr>
          <w:rFonts w:ascii="仿宋_GB2312" w:eastAsia="仿宋_GB2312" w:hint="eastAsia"/>
          <w:sz w:val="32"/>
          <w:szCs w:val="32"/>
        </w:rPr>
        <w:t>其他用车</w:t>
      </w:r>
      <w:r w:rsidR="007B66FB">
        <w:rPr>
          <w:rFonts w:ascii="仿宋_GB2312" w:eastAsia="仿宋_GB2312" w:hint="eastAsia"/>
          <w:sz w:val="32"/>
          <w:szCs w:val="32"/>
        </w:rPr>
        <w:t>1</w:t>
      </w:r>
      <w:r>
        <w:rPr>
          <w:rFonts w:ascii="仿宋_GB2312" w:eastAsia="仿宋_GB2312" w:hint="eastAsia"/>
          <w:sz w:val="32"/>
          <w:szCs w:val="32"/>
        </w:rPr>
        <w:t>辆，其他用车主要是用于</w:t>
      </w:r>
      <w:r w:rsidR="007B66FB">
        <w:rPr>
          <w:rFonts w:ascii="仿宋_GB2312" w:eastAsia="仿宋_GB2312" w:hint="eastAsia"/>
          <w:sz w:val="32"/>
          <w:szCs w:val="32"/>
        </w:rPr>
        <w:t>保障应急通讯（动中通）</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r w:rsidR="007B66FB">
        <w:rPr>
          <w:rFonts w:ascii="仿宋_GB2312" w:eastAsia="仿宋_GB2312" w:hint="eastAsia"/>
          <w:sz w:val="32"/>
          <w:szCs w:val="32"/>
        </w:rPr>
        <w:t>16</w:t>
      </w:r>
      <w:r>
        <w:rPr>
          <w:rFonts w:ascii="仿宋_GB2312" w:eastAsia="仿宋_GB2312" w:hint="eastAsia"/>
          <w:sz w:val="32"/>
          <w:szCs w:val="32"/>
        </w:rPr>
        <w:t>台（套）。</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9E4DB6" w:rsidRDefault="00EF39C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根据预算绩效管理要求，本部门在2022年度预算编制阶段，组织对</w:t>
      </w:r>
      <w:r w:rsidR="00A94EA4" w:rsidRPr="00A94EA4">
        <w:rPr>
          <w:rFonts w:ascii="仿宋_GB2312" w:eastAsia="仿宋_GB2312" w:hAnsi="仿宋_GB2312" w:cs="仿宋_GB2312" w:hint="eastAsia"/>
          <w:sz w:val="32"/>
          <w:szCs w:val="32"/>
        </w:rPr>
        <w:t>拘押收教场所运转经费（含安防系统租赁）</w:t>
      </w:r>
      <w:r w:rsidR="00A94EA4">
        <w:rPr>
          <w:rFonts w:ascii="仿宋_GB2312" w:eastAsia="仿宋_GB2312" w:hAnsi="仿宋_GB2312" w:cs="仿宋_GB2312" w:hint="eastAsia"/>
          <w:sz w:val="32"/>
          <w:szCs w:val="32"/>
        </w:rPr>
        <w:t>、</w:t>
      </w:r>
      <w:r w:rsidR="00A94EA4" w:rsidRPr="00A94EA4">
        <w:rPr>
          <w:rFonts w:ascii="仿宋_GB2312" w:eastAsia="仿宋_GB2312" w:hAnsi="仿宋_GB2312" w:cs="仿宋_GB2312" w:hint="eastAsia"/>
          <w:sz w:val="32"/>
          <w:szCs w:val="32"/>
        </w:rPr>
        <w:t>市看守所迁建项目主体工程</w:t>
      </w:r>
      <w:r w:rsidR="00A94EA4">
        <w:rPr>
          <w:rFonts w:ascii="仿宋_GB2312" w:eastAsia="仿宋_GB2312" w:hAnsi="仿宋_GB2312" w:cs="仿宋_GB2312" w:hint="eastAsia"/>
          <w:sz w:val="32"/>
          <w:szCs w:val="32"/>
        </w:rPr>
        <w:t>、辅警经费、</w:t>
      </w:r>
      <w:r w:rsidR="00A94EA4" w:rsidRPr="00A94EA4">
        <w:rPr>
          <w:rFonts w:ascii="仿宋_GB2312" w:eastAsia="仿宋_GB2312" w:hAnsi="仿宋_GB2312" w:cs="仿宋_GB2312" w:hint="eastAsia"/>
          <w:sz w:val="32"/>
          <w:szCs w:val="32"/>
        </w:rPr>
        <w:t>公务员工伤保险（行政）</w:t>
      </w:r>
      <w:r w:rsidR="000126CF">
        <w:rPr>
          <w:rFonts w:ascii="仿宋_GB2312" w:eastAsia="仿宋_GB2312" w:hAnsi="仿宋_GB2312" w:cs="仿宋_GB2312" w:hint="eastAsia"/>
          <w:sz w:val="32"/>
          <w:szCs w:val="32"/>
        </w:rPr>
        <w:t>、</w:t>
      </w:r>
      <w:r w:rsidR="00A94EA4" w:rsidRPr="00A94EA4">
        <w:rPr>
          <w:rFonts w:ascii="仿宋_GB2312" w:eastAsia="仿宋_GB2312" w:hAnsi="仿宋_GB2312" w:cs="仿宋_GB2312" w:hint="eastAsia"/>
          <w:sz w:val="32"/>
          <w:szCs w:val="32"/>
        </w:rPr>
        <w:t>2022年度市级挂职干部补助</w:t>
      </w:r>
      <w:r w:rsidRPr="00270F81">
        <w:rPr>
          <w:rFonts w:ascii="仿宋_GB2312" w:eastAsia="仿宋_GB2312" w:hAnsi="仿宋_GB2312" w:cs="仿宋_GB2312" w:hint="eastAsia"/>
          <w:sz w:val="32"/>
          <w:szCs w:val="32"/>
        </w:rPr>
        <w:t>等</w:t>
      </w:r>
      <w:r w:rsidR="00D92B75">
        <w:rPr>
          <w:rFonts w:ascii="仿宋_GB2312" w:eastAsia="仿宋_GB2312" w:hAnsi="仿宋_GB2312" w:cs="仿宋_GB2312" w:hint="eastAsia"/>
          <w:sz w:val="32"/>
          <w:szCs w:val="32"/>
        </w:rPr>
        <w:t>122</w:t>
      </w:r>
      <w:r w:rsidRPr="00270F81">
        <w:rPr>
          <w:rFonts w:ascii="仿宋_GB2312" w:eastAsia="仿宋_GB2312" w:hAnsi="仿宋_GB2312" w:cs="仿宋_GB2312" w:hint="eastAsia"/>
          <w:sz w:val="32"/>
          <w:szCs w:val="32"/>
        </w:rPr>
        <w:t>个项目开展了预算事前绩效评估，对</w:t>
      </w:r>
      <w:r w:rsidR="00D92B75">
        <w:rPr>
          <w:rFonts w:ascii="仿宋_GB2312" w:eastAsia="仿宋_GB2312" w:hAnsi="仿宋_GB2312" w:cs="仿宋_GB2312" w:hint="eastAsia"/>
          <w:sz w:val="32"/>
          <w:szCs w:val="32"/>
        </w:rPr>
        <w:t>122</w:t>
      </w:r>
      <w:r w:rsidRPr="00270F81">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项目编制了绩效目标，预算执行过程中，选取</w:t>
      </w:r>
      <w:r w:rsidR="00A94EA4">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个项目开展</w:t>
      </w:r>
      <w:r w:rsidR="00A94EA4">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绩效监控。</w:t>
      </w:r>
    </w:p>
    <w:p w:rsidR="009E4DB6" w:rsidRDefault="00A94EA4">
      <w:pPr>
        <w:widowControl/>
        <w:ind w:firstLineChars="200" w:firstLine="640"/>
        <w:jc w:val="left"/>
        <w:rPr>
          <w:rFonts w:ascii="仿宋_GB2312" w:eastAsia="仿宋_GB2312"/>
          <w:b/>
          <w:sz w:val="32"/>
          <w:szCs w:val="32"/>
        </w:rPr>
      </w:pPr>
      <w:r>
        <w:rPr>
          <w:rFonts w:ascii="仿宋_GB2312" w:eastAsia="仿宋_GB2312" w:hAnsi="仿宋_GB2312" w:cs="仿宋_GB2312" w:hint="eastAsia"/>
          <w:sz w:val="32"/>
          <w:szCs w:val="32"/>
        </w:rPr>
        <w:t>本部门</w:t>
      </w:r>
      <w:r w:rsidR="00EF39C0">
        <w:rPr>
          <w:rFonts w:ascii="仿宋_GB2312" w:eastAsia="仿宋_GB2312" w:hAnsi="仿宋_GB2312" w:cs="仿宋_GB2312" w:hint="eastAsia"/>
          <w:sz w:val="32"/>
          <w:szCs w:val="32"/>
        </w:rPr>
        <w:t>组织对2022年度一般公共预算、政府性基金预算、国有资本经营预算、社会保险基金预算以及资本资产、债券资金等全面开展绩效自评，形成</w:t>
      </w:r>
      <w:r>
        <w:rPr>
          <w:rFonts w:ascii="仿宋_GB2312" w:eastAsia="仿宋_GB2312" w:hAnsi="仿宋_GB2312" w:cs="仿宋_GB2312" w:hint="eastAsia"/>
          <w:sz w:val="32"/>
          <w:szCs w:val="32"/>
        </w:rPr>
        <w:t>攀枝花市公安局</w:t>
      </w:r>
      <w:r w:rsidR="00EF39C0">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2022年度整体（含部门预算项目）</w:t>
      </w:r>
      <w:r w:rsidR="00525C6B">
        <w:rPr>
          <w:rFonts w:ascii="仿宋_GB2312" w:eastAsia="仿宋_GB2312" w:hAnsi="仿宋_GB2312" w:cs="仿宋_GB2312" w:hint="eastAsia"/>
          <w:sz w:val="32"/>
          <w:szCs w:val="32"/>
        </w:rPr>
        <w:t>绩效自评报告，</w:t>
      </w:r>
      <w:r w:rsidR="00616631">
        <w:rPr>
          <w:rFonts w:ascii="仿宋_GB2312" w:eastAsia="仿宋_GB2312" w:hAnsi="仿宋_GB2312" w:cs="仿宋_GB2312" w:hint="eastAsia"/>
          <w:sz w:val="32"/>
          <w:szCs w:val="32"/>
        </w:rPr>
        <w:t>不文明养犬</w:t>
      </w:r>
      <w:r w:rsidR="009F0E41">
        <w:rPr>
          <w:rFonts w:ascii="仿宋_GB2312" w:eastAsia="仿宋_GB2312" w:hAnsi="仿宋_GB2312" w:cs="仿宋_GB2312" w:hint="eastAsia"/>
          <w:sz w:val="32"/>
          <w:szCs w:val="32"/>
        </w:rPr>
        <w:t>专项整治（创文专项资金）等专项预算项目绩效自评报告。</w:t>
      </w:r>
      <w:r w:rsidR="00EF39C0">
        <w:rPr>
          <w:rFonts w:ascii="仿宋_GB2312" w:eastAsia="仿宋_GB2312" w:hAnsi="仿宋_GB2312" w:cs="仿宋_GB2312" w:hint="eastAsia"/>
          <w:sz w:val="32"/>
          <w:szCs w:val="32"/>
        </w:rPr>
        <w:t>其中，</w:t>
      </w:r>
      <w:r w:rsidR="009F0E41">
        <w:rPr>
          <w:rFonts w:ascii="仿宋_GB2312" w:eastAsia="仿宋_GB2312" w:hAnsi="仿宋_GB2312" w:cs="仿宋_GB2312" w:hint="eastAsia"/>
          <w:sz w:val="32"/>
          <w:szCs w:val="32"/>
        </w:rPr>
        <w:t>市公安局部门2022年度整体（含部门预算项目）绩效</w:t>
      </w:r>
      <w:r w:rsidR="00EF39C0">
        <w:rPr>
          <w:rFonts w:ascii="仿宋_GB2312" w:eastAsia="仿宋_GB2312" w:hAnsi="仿宋_GB2312" w:cs="仿宋_GB2312" w:hint="eastAsia"/>
          <w:sz w:val="32"/>
          <w:szCs w:val="32"/>
        </w:rPr>
        <w:t>自评得分为</w:t>
      </w:r>
      <w:r w:rsidR="009F0E41">
        <w:rPr>
          <w:rFonts w:ascii="仿宋_GB2312" w:eastAsia="仿宋_GB2312" w:hAnsi="仿宋_GB2312" w:cs="仿宋_GB2312" w:hint="eastAsia"/>
          <w:sz w:val="32"/>
          <w:szCs w:val="32"/>
        </w:rPr>
        <w:t>9</w:t>
      </w:r>
      <w:r w:rsidR="00525C6B">
        <w:rPr>
          <w:rFonts w:ascii="仿宋_GB2312" w:eastAsia="仿宋_GB2312" w:hAnsi="仿宋_GB2312" w:cs="仿宋_GB2312" w:hint="eastAsia"/>
          <w:sz w:val="32"/>
          <w:szCs w:val="32"/>
        </w:rPr>
        <w:t>6</w:t>
      </w:r>
      <w:r w:rsidR="00EF39C0">
        <w:rPr>
          <w:rFonts w:ascii="仿宋_GB2312" w:eastAsia="仿宋_GB2312" w:hAnsi="仿宋_GB2312" w:cs="仿宋_GB2312" w:hint="eastAsia"/>
          <w:sz w:val="32"/>
          <w:szCs w:val="32"/>
        </w:rPr>
        <w:t>分，绩效自评综述：</w:t>
      </w:r>
      <w:r w:rsidR="009F0E41" w:rsidRPr="009F0E41">
        <w:rPr>
          <w:rFonts w:ascii="仿宋_GB2312" w:eastAsia="仿宋_GB2312" w:hAnsiTheme="minorEastAsia" w:hint="eastAsia"/>
          <w:sz w:val="32"/>
          <w:szCs w:val="32"/>
        </w:rPr>
        <w:t>攀枝花市公安局部门在使用财政预算资金保障人员经费和日常公用经费的同时，合理高效使用各级财政下达的项目资金完成年度公安专项工作，</w:t>
      </w:r>
      <w:r w:rsidR="009F0E41" w:rsidRPr="009F0E41">
        <w:rPr>
          <w:rFonts w:ascii="仿宋_GB2312" w:eastAsia="仿宋_GB2312" w:hAnsiTheme="minorEastAsia" w:hint="eastAsia"/>
          <w:color w:val="000000"/>
          <w:kern w:val="0"/>
          <w:sz w:val="32"/>
          <w:szCs w:val="32"/>
          <w:shd w:val="clear" w:color="auto" w:fill="FFFFFF"/>
        </w:rPr>
        <w:t>自评结果等次为“优”</w:t>
      </w:r>
      <w:r w:rsidR="009F0E41">
        <w:rPr>
          <w:rFonts w:ascii="仿宋_GB2312" w:eastAsia="仿宋_GB2312" w:hAnsi="仿宋_GB2312" w:cs="仿宋_GB2312" w:hint="eastAsia"/>
          <w:sz w:val="32"/>
          <w:szCs w:val="32"/>
        </w:rPr>
        <w:t>。不文明养犬专项整治（创文专项资金）</w:t>
      </w:r>
      <w:r w:rsidR="00EF39C0">
        <w:rPr>
          <w:rFonts w:ascii="仿宋_GB2312" w:eastAsia="仿宋_GB2312" w:hAnsi="仿宋_GB2312" w:cs="仿宋_GB2312" w:hint="eastAsia"/>
          <w:sz w:val="32"/>
          <w:szCs w:val="32"/>
        </w:rPr>
        <w:t>专项预算项目绩效自评得分为</w:t>
      </w:r>
      <w:r w:rsidR="009F0E41">
        <w:rPr>
          <w:rFonts w:ascii="仿宋_GB2312" w:eastAsia="仿宋_GB2312" w:hAnsi="仿宋_GB2312" w:cs="仿宋_GB2312" w:hint="eastAsia"/>
          <w:sz w:val="32"/>
          <w:szCs w:val="32"/>
        </w:rPr>
        <w:t>9</w:t>
      </w:r>
      <w:r w:rsidR="00525C6B">
        <w:rPr>
          <w:rFonts w:ascii="仿宋_GB2312" w:eastAsia="仿宋_GB2312" w:hAnsi="仿宋_GB2312" w:cs="仿宋_GB2312" w:hint="eastAsia"/>
          <w:sz w:val="32"/>
          <w:szCs w:val="32"/>
        </w:rPr>
        <w:t>5</w:t>
      </w:r>
      <w:r w:rsidR="00EF39C0">
        <w:rPr>
          <w:rFonts w:ascii="仿宋_GB2312" w:eastAsia="仿宋_GB2312" w:hAnsi="仿宋_GB2312" w:cs="仿宋_GB2312" w:hint="eastAsia"/>
          <w:sz w:val="32"/>
          <w:szCs w:val="32"/>
        </w:rPr>
        <w:t>分，绩效自评综述：</w:t>
      </w:r>
      <w:r w:rsidR="009F0E41" w:rsidRPr="009F0E41">
        <w:rPr>
          <w:rFonts w:ascii="仿宋_GB2312" w:eastAsia="仿宋_GB2312" w:hint="eastAsia"/>
          <w:kern w:val="0"/>
          <w:sz w:val="32"/>
          <w:szCs w:val="32"/>
        </w:rPr>
        <w:t>2022年开展不文明养犬专项整治工作中所需经费全部</w:t>
      </w:r>
      <w:r w:rsidR="009F0E41" w:rsidRPr="009F0E41">
        <w:rPr>
          <w:rFonts w:ascii="仿宋_GB2312" w:eastAsia="仿宋_GB2312" w:hint="eastAsia"/>
          <w:kern w:val="0"/>
          <w:sz w:val="32"/>
          <w:szCs w:val="32"/>
        </w:rPr>
        <w:lastRenderedPageBreak/>
        <w:t>用印制犬只宣传资料及购买捕犬工具，切实保障了我市创文工作的扎实推进</w:t>
      </w:r>
      <w:r w:rsidR="00EF39C0" w:rsidRPr="009F0E41">
        <w:rPr>
          <w:rFonts w:ascii="仿宋_GB2312" w:eastAsia="仿宋_GB2312" w:hAnsi="仿宋_GB2312" w:cs="仿宋_GB2312" w:hint="eastAsia"/>
          <w:sz w:val="32"/>
          <w:szCs w:val="32"/>
        </w:rPr>
        <w:t>。</w:t>
      </w:r>
      <w:r w:rsidR="009F0E41">
        <w:rPr>
          <w:rFonts w:ascii="仿宋_GB2312" w:eastAsia="仿宋_GB2312" w:hAnsi="仿宋_GB2312" w:cs="仿宋_GB2312" w:hint="eastAsia"/>
          <w:sz w:val="32"/>
          <w:szCs w:val="32"/>
        </w:rPr>
        <w:t>绩效自评报告详见附件（第四部分）。</w:t>
      </w:r>
      <w:r w:rsidR="00EF39C0">
        <w:rPr>
          <w:rFonts w:ascii="仿宋_GB2312" w:eastAsia="仿宋_GB2312"/>
          <w:b/>
          <w:sz w:val="32"/>
          <w:szCs w:val="32"/>
        </w:rPr>
        <w:br w:type="page"/>
      </w:r>
    </w:p>
    <w:p w:rsidR="009E4DB6" w:rsidRDefault="00EF39C0">
      <w:pPr>
        <w:numPr>
          <w:ilvl w:val="0"/>
          <w:numId w:val="4"/>
        </w:numPr>
        <w:spacing w:line="600" w:lineRule="exact"/>
        <w:ind w:firstLineChars="150" w:firstLine="660"/>
        <w:jc w:val="center"/>
        <w:outlineLvl w:val="0"/>
        <w:rPr>
          <w:rStyle w:val="1Char"/>
          <w:rFonts w:ascii="黑体" w:eastAsia="黑体" w:hAnsi="黑体"/>
          <w:b w:val="0"/>
        </w:rPr>
      </w:pPr>
      <w:bookmarkStart w:id="54" w:name="_Toc15396613"/>
      <w:bookmarkStart w:id="55"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4"/>
      <w:bookmarkEnd w:id="55"/>
    </w:p>
    <w:p w:rsidR="009E4DB6" w:rsidRDefault="009E4DB6">
      <w:pPr>
        <w:spacing w:line="600" w:lineRule="exact"/>
        <w:jc w:val="left"/>
        <w:rPr>
          <w:rFonts w:ascii="宋体"/>
          <w:b/>
          <w:sz w:val="44"/>
          <w:szCs w:val="44"/>
        </w:rPr>
      </w:pPr>
    </w:p>
    <w:p w:rsidR="009F0E41" w:rsidRDefault="009F0E41" w:rsidP="009F0E4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9F0E41" w:rsidRPr="0059129B" w:rsidRDefault="009F0E41" w:rsidP="009F0E41">
      <w:pPr>
        <w:pStyle w:val="Default"/>
        <w:spacing w:line="560" w:lineRule="exact"/>
        <w:ind w:firstLineChars="200" w:firstLine="640"/>
        <w:rPr>
          <w:rFonts w:ascii="Times New Roman" w:eastAsia="仿宋_GB2312" w:hAnsi="Times New Roman" w:cs="Times New Roman"/>
          <w:sz w:val="32"/>
          <w:szCs w:val="32"/>
        </w:rPr>
      </w:pPr>
      <w:r>
        <w:rPr>
          <w:rFonts w:ascii="仿宋_GB2312" w:eastAsia="仿宋_GB2312"/>
          <w:color w:val="auto"/>
          <w:sz w:val="32"/>
          <w:szCs w:val="32"/>
        </w:rPr>
        <w:t>2.</w:t>
      </w:r>
      <w:r w:rsidRPr="006166B4">
        <w:rPr>
          <w:rFonts w:ascii="Times New Roman" w:eastAsia="仿宋_GB2312" w:hAnsi="Times New Roman" w:cs="Times New Roman" w:hint="eastAsia"/>
          <w:sz w:val="32"/>
          <w:szCs w:val="32"/>
        </w:rPr>
        <w:t>其他收入：</w:t>
      </w:r>
      <w:r w:rsidRPr="00CE49DA">
        <w:rPr>
          <w:rFonts w:ascii="仿宋_GB2312" w:eastAsia="仿宋_GB2312" w:hint="eastAsia"/>
          <w:sz w:val="32"/>
          <w:szCs w:val="32"/>
        </w:rPr>
        <w:t>指单位取得的除上述收入以外的各项收入。</w:t>
      </w:r>
    </w:p>
    <w:p w:rsidR="009F0E41" w:rsidRDefault="009F0E41" w:rsidP="009F0E4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p>
    <w:p w:rsidR="009F0E41" w:rsidRDefault="009F0E41" w:rsidP="009F0E41">
      <w:pPr>
        <w:pStyle w:val="Default"/>
        <w:spacing w:line="560" w:lineRule="exact"/>
        <w:ind w:firstLineChars="200" w:firstLine="640"/>
        <w:rPr>
          <w:rFonts w:ascii="仿宋_GB2312" w:eastAsia="仿宋_GB2312"/>
          <w:color w:val="auto"/>
          <w:sz w:val="32"/>
          <w:szCs w:val="32"/>
        </w:rPr>
      </w:pPr>
      <w:r>
        <w:rPr>
          <w:rFonts w:ascii="仿宋_GB2312" w:eastAsia="仿宋_GB2312" w:hint="eastAsia"/>
          <w:sz w:val="32"/>
          <w:szCs w:val="32"/>
        </w:rPr>
        <w:t>4.年末结转和结余：指单位按有关规定结转到下年或以后年度继续使用的资金</w:t>
      </w:r>
      <w:r>
        <w:rPr>
          <w:rFonts w:ascii="仿宋_GB2312" w:eastAsia="仿宋_GB2312" w:hint="eastAsia"/>
          <w:color w:val="auto"/>
          <w:sz w:val="32"/>
          <w:szCs w:val="32"/>
        </w:rPr>
        <w:t>。</w:t>
      </w:r>
    </w:p>
    <w:p w:rsidR="000F7FCC" w:rsidRDefault="000F7FCC" w:rsidP="000F7FC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D35E4D">
        <w:rPr>
          <w:rFonts w:ascii="仿宋_GB2312" w:eastAsia="仿宋_GB2312"/>
          <w:sz w:val="32"/>
          <w:szCs w:val="32"/>
        </w:rPr>
        <w:t>.</w:t>
      </w:r>
      <w:r w:rsidRPr="00A13CC1">
        <w:rPr>
          <w:rFonts w:ascii="仿宋_GB2312" w:eastAsia="仿宋_GB2312" w:hint="eastAsia"/>
          <w:sz w:val="32"/>
          <w:szCs w:val="32"/>
        </w:rPr>
        <w:t>一般公共服务</w:t>
      </w:r>
      <w:r>
        <w:rPr>
          <w:rFonts w:ascii="仿宋_GB2312" w:eastAsia="仿宋_GB2312" w:hint="eastAsia"/>
          <w:sz w:val="32"/>
          <w:szCs w:val="32"/>
        </w:rPr>
        <w:t>支出-组织事务-其他组织事务支出：反映除上述项目以外其他用于中国共产党组织部门的事务支出</w:t>
      </w:r>
      <w:r w:rsidRPr="00CE49DA">
        <w:rPr>
          <w:rFonts w:ascii="仿宋_GB2312" w:eastAsia="仿宋_GB2312" w:hint="eastAsia"/>
          <w:sz w:val="32"/>
          <w:szCs w:val="32"/>
        </w:rPr>
        <w:t>。</w:t>
      </w:r>
    </w:p>
    <w:p w:rsidR="000F7FCC" w:rsidRDefault="000F7FCC" w:rsidP="000F7FC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480EAF">
        <w:rPr>
          <w:rFonts w:ascii="仿宋_GB2312" w:eastAsia="仿宋_GB2312" w:hint="eastAsia"/>
          <w:sz w:val="32"/>
          <w:szCs w:val="32"/>
        </w:rPr>
        <w:t>.</w:t>
      </w:r>
      <w:r w:rsidRPr="00A13CC1">
        <w:rPr>
          <w:rFonts w:ascii="仿宋_GB2312" w:eastAsia="仿宋_GB2312" w:hint="eastAsia"/>
          <w:sz w:val="32"/>
          <w:szCs w:val="32"/>
        </w:rPr>
        <w:t>一般公共服务</w:t>
      </w:r>
      <w:r>
        <w:rPr>
          <w:rFonts w:ascii="仿宋_GB2312" w:eastAsia="仿宋_GB2312" w:hint="eastAsia"/>
          <w:sz w:val="32"/>
          <w:szCs w:val="32"/>
        </w:rPr>
        <w:t>支出-宣传事务-其他宣传事务支出：反映除上述项目以外其他用于中国共产党宣传部门的事务支出</w:t>
      </w:r>
      <w:r w:rsidRPr="00CE49DA">
        <w:rPr>
          <w:rFonts w:ascii="仿宋_GB2312" w:eastAsia="仿宋_GB2312" w:hint="eastAsia"/>
          <w:sz w:val="32"/>
          <w:szCs w:val="32"/>
        </w:rPr>
        <w:t>。</w:t>
      </w:r>
    </w:p>
    <w:p w:rsidR="000F7FCC" w:rsidRPr="00480EAF" w:rsidRDefault="000F7FCC" w:rsidP="000F7FC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Pr="00480EAF">
        <w:rPr>
          <w:rFonts w:ascii="仿宋_GB2312" w:eastAsia="仿宋_GB2312" w:hint="eastAsia"/>
          <w:sz w:val="32"/>
          <w:szCs w:val="32"/>
        </w:rPr>
        <w:t>公共安全支出-公安-行政运行：</w:t>
      </w:r>
      <w:r>
        <w:rPr>
          <w:rFonts w:ascii="仿宋_GB2312" w:eastAsia="仿宋_GB2312" w:hint="eastAsia"/>
          <w:sz w:val="32"/>
          <w:szCs w:val="32"/>
        </w:rPr>
        <w:t>反映</w:t>
      </w:r>
      <w:r w:rsidRPr="00480EAF">
        <w:rPr>
          <w:rFonts w:ascii="仿宋_GB2312" w:eastAsia="仿宋_GB2312" w:hint="eastAsia"/>
          <w:sz w:val="32"/>
          <w:szCs w:val="32"/>
        </w:rPr>
        <w:t>行政单位（包括实行公务员管理的事业单位）的基本支出。</w:t>
      </w:r>
    </w:p>
    <w:p w:rsidR="000F7FCC" w:rsidRDefault="000F7FCC" w:rsidP="000F7FC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Pr="00480EAF">
        <w:rPr>
          <w:rFonts w:ascii="仿宋_GB2312" w:eastAsia="仿宋_GB2312" w:hint="eastAsia"/>
          <w:sz w:val="32"/>
          <w:szCs w:val="32"/>
        </w:rPr>
        <w:t>.</w:t>
      </w:r>
      <w:r w:rsidRPr="00D35E4D">
        <w:rPr>
          <w:rFonts w:ascii="仿宋_GB2312" w:eastAsia="仿宋_GB2312" w:hint="eastAsia"/>
          <w:sz w:val="32"/>
          <w:szCs w:val="32"/>
        </w:rPr>
        <w:t>公共安全支出-公安-一般行政管理事务</w:t>
      </w:r>
      <w:r w:rsidRPr="00480EAF">
        <w:rPr>
          <w:rFonts w:ascii="仿宋_GB2312" w:eastAsia="仿宋_GB2312" w:hint="eastAsia"/>
          <w:sz w:val="32"/>
          <w:szCs w:val="32"/>
        </w:rPr>
        <w:t>：</w:t>
      </w:r>
      <w:r>
        <w:rPr>
          <w:rFonts w:ascii="仿宋_GB2312" w:eastAsia="仿宋_GB2312" w:hint="eastAsia"/>
          <w:sz w:val="32"/>
          <w:szCs w:val="32"/>
        </w:rPr>
        <w:t>反映</w:t>
      </w:r>
      <w:r w:rsidRPr="00480EAF">
        <w:rPr>
          <w:rFonts w:ascii="仿宋_GB2312" w:eastAsia="仿宋_GB2312" w:hint="eastAsia"/>
          <w:sz w:val="32"/>
          <w:szCs w:val="32"/>
        </w:rPr>
        <w:t>行政单位（包括实行公务员管理的事业单位）未单独设置项级科目的其他项目支出。</w:t>
      </w:r>
    </w:p>
    <w:p w:rsidR="000F7FCC" w:rsidRPr="00D66588" w:rsidRDefault="000F7FCC" w:rsidP="000F7FCC">
      <w:pPr>
        <w:rPr>
          <w:rFonts w:ascii="仿宋_GB2312" w:eastAsia="仿宋_GB2312" w:hAnsi="Calibri" w:cs="仿宋"/>
          <w:color w:val="000000"/>
          <w:kern w:val="0"/>
          <w:sz w:val="32"/>
          <w:szCs w:val="32"/>
        </w:rPr>
      </w:pPr>
      <w:r>
        <w:rPr>
          <w:rFonts w:ascii="仿宋_GB2312" w:eastAsia="仿宋_GB2312" w:hint="eastAsia"/>
          <w:sz w:val="32"/>
          <w:szCs w:val="32"/>
        </w:rPr>
        <w:t xml:space="preserve">    9</w:t>
      </w:r>
      <w:r w:rsidRPr="00480EAF">
        <w:rPr>
          <w:rFonts w:ascii="仿宋_GB2312" w:eastAsia="仿宋_GB2312" w:hint="eastAsia"/>
          <w:color w:val="000000"/>
          <w:sz w:val="32"/>
          <w:szCs w:val="32"/>
        </w:rPr>
        <w:t>.</w:t>
      </w:r>
      <w:r w:rsidRPr="00D66588">
        <w:rPr>
          <w:rFonts w:ascii="仿宋_GB2312" w:eastAsia="仿宋_GB2312" w:hAnsi="Calibri" w:cs="仿宋" w:hint="eastAsia"/>
          <w:color w:val="000000"/>
          <w:kern w:val="0"/>
          <w:sz w:val="32"/>
          <w:szCs w:val="32"/>
        </w:rPr>
        <w:t>公共安全支出-公安-事业运行</w:t>
      </w:r>
      <w:r>
        <w:rPr>
          <w:rFonts w:ascii="仿宋_GB2312" w:eastAsia="仿宋_GB2312" w:hAnsi="Calibri" w:cs="仿宋" w:hint="eastAsia"/>
          <w:color w:val="000000"/>
          <w:kern w:val="0"/>
          <w:sz w:val="32"/>
          <w:szCs w:val="32"/>
        </w:rPr>
        <w:t>：反映事业单位的基本支出。</w:t>
      </w:r>
    </w:p>
    <w:p w:rsidR="000F7FCC" w:rsidRDefault="000F7FCC" w:rsidP="000F7FCC">
      <w:pPr>
        <w:ind w:firstLine="645"/>
        <w:rPr>
          <w:rFonts w:ascii="仿宋_GB2312" w:eastAsia="仿宋_GB2312" w:hAnsi="Calibri" w:cs="仿宋"/>
          <w:color w:val="000000"/>
          <w:kern w:val="0"/>
          <w:sz w:val="32"/>
          <w:szCs w:val="32"/>
        </w:rPr>
      </w:pPr>
      <w:r>
        <w:rPr>
          <w:rFonts w:ascii="仿宋_GB2312" w:eastAsia="仿宋_GB2312" w:hint="eastAsia"/>
          <w:sz w:val="32"/>
          <w:szCs w:val="32"/>
        </w:rPr>
        <w:t>10</w:t>
      </w:r>
      <w:r w:rsidRPr="00480EAF">
        <w:rPr>
          <w:rFonts w:ascii="仿宋_GB2312" w:eastAsia="仿宋_GB2312" w:hint="eastAsia"/>
          <w:color w:val="000000"/>
          <w:sz w:val="32"/>
          <w:szCs w:val="32"/>
        </w:rPr>
        <w:t>.</w:t>
      </w:r>
      <w:r w:rsidRPr="00D66588">
        <w:rPr>
          <w:rFonts w:ascii="仿宋_GB2312" w:eastAsia="仿宋_GB2312" w:hAnsi="Calibri" w:cs="仿宋" w:hint="eastAsia"/>
          <w:color w:val="000000"/>
          <w:kern w:val="0"/>
          <w:sz w:val="32"/>
          <w:szCs w:val="32"/>
        </w:rPr>
        <w:t>公共安全支出-公安-其他公安支出：</w:t>
      </w:r>
      <w:r>
        <w:rPr>
          <w:rFonts w:ascii="仿宋_GB2312" w:eastAsia="仿宋_GB2312" w:hAnsi="Calibri" w:cs="仿宋" w:hint="eastAsia"/>
          <w:color w:val="000000"/>
          <w:kern w:val="0"/>
          <w:sz w:val="32"/>
          <w:szCs w:val="32"/>
        </w:rPr>
        <w:t>反映项目以外其他用于公安方面的支出。</w:t>
      </w:r>
    </w:p>
    <w:p w:rsidR="000F7FCC" w:rsidRDefault="000F7FCC" w:rsidP="000F7FCC">
      <w:pPr>
        <w:pStyle w:val="Default"/>
        <w:spacing w:line="560" w:lineRule="exact"/>
        <w:ind w:firstLineChars="200" w:firstLine="640"/>
        <w:rPr>
          <w:rFonts w:ascii="仿宋_GB2312" w:eastAsia="仿宋_GB2312"/>
          <w:sz w:val="32"/>
          <w:szCs w:val="32"/>
        </w:rPr>
      </w:pPr>
      <w:r w:rsidRPr="000F7FCC">
        <w:rPr>
          <w:rFonts w:ascii="仿宋_GB2312" w:eastAsia="仿宋_GB2312" w:hint="eastAsia"/>
          <w:sz w:val="32"/>
          <w:szCs w:val="32"/>
        </w:rPr>
        <w:lastRenderedPageBreak/>
        <w:t>11</w:t>
      </w:r>
      <w:r w:rsidRPr="00480EAF">
        <w:rPr>
          <w:rFonts w:ascii="仿宋_GB2312" w:eastAsia="仿宋_GB2312" w:hint="eastAsia"/>
          <w:sz w:val="32"/>
          <w:szCs w:val="32"/>
        </w:rPr>
        <w:t>.</w:t>
      </w:r>
      <w:r w:rsidRPr="00D66588">
        <w:rPr>
          <w:rFonts w:ascii="仿宋_GB2312" w:eastAsia="仿宋_GB2312" w:hint="eastAsia"/>
          <w:sz w:val="32"/>
          <w:szCs w:val="32"/>
        </w:rPr>
        <w:t>公共安全支出-</w:t>
      </w:r>
      <w:r>
        <w:rPr>
          <w:rFonts w:hint="eastAsia"/>
          <w:sz w:val="32"/>
          <w:szCs w:val="32"/>
        </w:rPr>
        <w:t>法院</w:t>
      </w:r>
      <w:r w:rsidRPr="00D66588">
        <w:rPr>
          <w:rFonts w:ascii="仿宋_GB2312" w:eastAsia="仿宋_GB2312" w:hint="eastAsia"/>
          <w:sz w:val="32"/>
          <w:szCs w:val="32"/>
        </w:rPr>
        <w:t>-</w:t>
      </w:r>
      <w:r>
        <w:rPr>
          <w:rFonts w:hint="eastAsia"/>
          <w:sz w:val="32"/>
          <w:szCs w:val="32"/>
        </w:rPr>
        <w:t>一般行政管理事务</w:t>
      </w:r>
      <w:r w:rsidRPr="00D66588">
        <w:rPr>
          <w:rFonts w:ascii="仿宋_GB2312" w:eastAsia="仿宋_GB2312" w:hint="eastAsia"/>
          <w:sz w:val="32"/>
          <w:szCs w:val="32"/>
        </w:rPr>
        <w:t>：</w:t>
      </w:r>
      <w:r>
        <w:rPr>
          <w:rFonts w:ascii="仿宋_GB2312" w:eastAsia="仿宋_GB2312" w:hint="eastAsia"/>
          <w:sz w:val="32"/>
          <w:szCs w:val="32"/>
        </w:rPr>
        <w:t>反映</w:t>
      </w:r>
      <w:r w:rsidRPr="00480EAF">
        <w:rPr>
          <w:rFonts w:ascii="仿宋_GB2312" w:eastAsia="仿宋_GB2312" w:hint="eastAsia"/>
          <w:sz w:val="32"/>
          <w:szCs w:val="32"/>
        </w:rPr>
        <w:t>行政单位（包括实行公务员管理的事业单位）未单独设置项级科目的其他项目支出。</w:t>
      </w:r>
    </w:p>
    <w:p w:rsidR="000F7FCC" w:rsidRPr="000F7FCC" w:rsidRDefault="000F7FCC" w:rsidP="000F7FCC">
      <w:pPr>
        <w:pStyle w:val="a0"/>
        <w:spacing w:before="93"/>
        <w:ind w:firstLine="645"/>
      </w:pPr>
      <w:r>
        <w:rPr>
          <w:rFonts w:hint="eastAsia"/>
          <w:sz w:val="32"/>
          <w:szCs w:val="32"/>
        </w:rPr>
        <w:t>12</w:t>
      </w:r>
      <w:r w:rsidRPr="00480EAF">
        <w:rPr>
          <w:rFonts w:hint="eastAsia"/>
          <w:color w:val="000000"/>
          <w:sz w:val="32"/>
          <w:szCs w:val="32"/>
        </w:rPr>
        <w:t>.</w:t>
      </w:r>
      <w:r w:rsidRPr="00D66588">
        <w:rPr>
          <w:rFonts w:hAnsi="Calibri" w:cs="仿宋" w:hint="eastAsia"/>
          <w:color w:val="000000"/>
          <w:sz w:val="32"/>
          <w:szCs w:val="32"/>
        </w:rPr>
        <w:t>公共安全支出-</w:t>
      </w:r>
      <w:r>
        <w:rPr>
          <w:rFonts w:hAnsi="Calibri" w:cs="仿宋" w:hint="eastAsia"/>
          <w:color w:val="000000"/>
          <w:sz w:val="32"/>
          <w:szCs w:val="32"/>
        </w:rPr>
        <w:t>强制隔离戒毒</w:t>
      </w:r>
      <w:r w:rsidRPr="00D66588">
        <w:rPr>
          <w:rFonts w:hAnsi="Calibri" w:cs="仿宋" w:hint="eastAsia"/>
          <w:color w:val="000000"/>
          <w:sz w:val="32"/>
          <w:szCs w:val="32"/>
        </w:rPr>
        <w:t>-</w:t>
      </w:r>
      <w:r>
        <w:rPr>
          <w:rFonts w:hAnsi="Calibri" w:cs="仿宋" w:hint="eastAsia"/>
          <w:color w:val="000000"/>
          <w:sz w:val="32"/>
          <w:szCs w:val="32"/>
        </w:rPr>
        <w:t>行政运行</w:t>
      </w:r>
      <w:r w:rsidRPr="00D66588">
        <w:rPr>
          <w:rFonts w:hAnsi="Calibri" w:cs="仿宋" w:hint="eastAsia"/>
          <w:color w:val="000000"/>
          <w:sz w:val="32"/>
          <w:szCs w:val="32"/>
        </w:rPr>
        <w:t>：</w:t>
      </w:r>
      <w:r>
        <w:rPr>
          <w:rFonts w:hint="eastAsia"/>
          <w:sz w:val="32"/>
          <w:szCs w:val="32"/>
        </w:rPr>
        <w:t>反映</w:t>
      </w:r>
      <w:r w:rsidRPr="00480EAF">
        <w:rPr>
          <w:rFonts w:hint="eastAsia"/>
          <w:sz w:val="32"/>
          <w:szCs w:val="32"/>
        </w:rPr>
        <w:t>行政单位（包括实行公务员管理的事业单位）的基本支出</w:t>
      </w:r>
      <w:r>
        <w:rPr>
          <w:rFonts w:hint="eastAsia"/>
          <w:sz w:val="32"/>
          <w:szCs w:val="32"/>
        </w:rPr>
        <w:t>。</w:t>
      </w:r>
    </w:p>
    <w:p w:rsidR="009E4DB6" w:rsidRDefault="000F7FCC">
      <w:pPr>
        <w:pStyle w:val="Default"/>
        <w:spacing w:line="560" w:lineRule="exact"/>
        <w:ind w:firstLineChars="200" w:firstLine="640"/>
        <w:rPr>
          <w:rFonts w:ascii="仿宋_GB2312" w:eastAsia="仿宋_GB2312"/>
          <w:sz w:val="32"/>
          <w:szCs w:val="32"/>
        </w:rPr>
      </w:pPr>
      <w:r w:rsidRPr="000F7FCC">
        <w:rPr>
          <w:rFonts w:ascii="仿宋_GB2312" w:eastAsia="仿宋_GB2312" w:hint="eastAsia"/>
          <w:sz w:val="32"/>
          <w:szCs w:val="32"/>
        </w:rPr>
        <w:t>13</w:t>
      </w:r>
      <w:r w:rsidRPr="00480EAF">
        <w:rPr>
          <w:rFonts w:ascii="仿宋_GB2312" w:eastAsia="仿宋_GB2312" w:hint="eastAsia"/>
          <w:sz w:val="32"/>
          <w:szCs w:val="32"/>
        </w:rPr>
        <w:t>.</w:t>
      </w:r>
      <w:r w:rsidRPr="00D66588">
        <w:rPr>
          <w:rFonts w:ascii="仿宋_GB2312" w:eastAsia="仿宋_GB2312" w:hint="eastAsia"/>
          <w:sz w:val="32"/>
          <w:szCs w:val="32"/>
        </w:rPr>
        <w:t>公共安全支出-</w:t>
      </w:r>
      <w:r>
        <w:rPr>
          <w:rFonts w:hint="eastAsia"/>
          <w:sz w:val="32"/>
          <w:szCs w:val="32"/>
        </w:rPr>
        <w:t>其他公共安全支出</w:t>
      </w:r>
      <w:r w:rsidRPr="00D66588">
        <w:rPr>
          <w:rFonts w:ascii="仿宋_GB2312" w:eastAsia="仿宋_GB2312" w:hint="eastAsia"/>
          <w:sz w:val="32"/>
          <w:szCs w:val="32"/>
        </w:rPr>
        <w:t>-</w:t>
      </w:r>
      <w:r>
        <w:rPr>
          <w:rFonts w:hint="eastAsia"/>
          <w:sz w:val="32"/>
          <w:szCs w:val="32"/>
        </w:rPr>
        <w:t>其他公共安全支出</w:t>
      </w:r>
      <w:r w:rsidRPr="00D66588">
        <w:rPr>
          <w:rFonts w:ascii="仿宋_GB2312" w:eastAsia="仿宋_GB2312" w:hint="eastAsia"/>
          <w:sz w:val="32"/>
          <w:szCs w:val="32"/>
        </w:rPr>
        <w:t>：</w:t>
      </w:r>
      <w:r>
        <w:rPr>
          <w:rFonts w:ascii="仿宋_GB2312" w:eastAsia="仿宋_GB2312" w:hint="eastAsia"/>
          <w:sz w:val="32"/>
          <w:szCs w:val="32"/>
        </w:rPr>
        <w:t>反映除上述项目以外其他用于公共安全方面的</w:t>
      </w:r>
      <w:r w:rsidRPr="00480EAF">
        <w:rPr>
          <w:rFonts w:ascii="仿宋_GB2312" w:eastAsia="仿宋_GB2312" w:hint="eastAsia"/>
          <w:sz w:val="32"/>
          <w:szCs w:val="32"/>
        </w:rPr>
        <w:t>支出</w:t>
      </w:r>
      <w:r>
        <w:rPr>
          <w:rFonts w:ascii="仿宋_GB2312" w:eastAsia="仿宋_GB2312" w:hint="eastAsia"/>
          <w:sz w:val="32"/>
          <w:szCs w:val="32"/>
        </w:rPr>
        <w:t>。</w:t>
      </w:r>
    </w:p>
    <w:p w:rsidR="000F7FCC" w:rsidRPr="00D66588" w:rsidRDefault="000F7FCC" w:rsidP="000F7FCC">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14</w:t>
      </w:r>
      <w:r w:rsidRPr="00D66588">
        <w:rPr>
          <w:rFonts w:ascii="仿宋_GB2312" w:eastAsia="仿宋_GB2312" w:hAnsi="Calibri" w:cs="仿宋" w:hint="eastAsia"/>
          <w:color w:val="000000"/>
          <w:kern w:val="0"/>
          <w:sz w:val="32"/>
          <w:szCs w:val="32"/>
        </w:rPr>
        <w:t>.社会保障和就业-行政事业单位养老支出-行政单位离退休</w:t>
      </w:r>
      <w:r>
        <w:rPr>
          <w:rFonts w:ascii="仿宋_GB2312" w:eastAsia="仿宋_GB2312" w:hAnsi="Calibri" w:cs="仿宋" w:hint="eastAsia"/>
          <w:color w:val="000000"/>
          <w:kern w:val="0"/>
          <w:sz w:val="32"/>
          <w:szCs w:val="32"/>
        </w:rPr>
        <w:t>：</w:t>
      </w:r>
      <w:r w:rsidRPr="00473278">
        <w:rPr>
          <w:rFonts w:ascii="仿宋_GB2312" w:eastAsia="仿宋_GB2312" w:hAnsi="Calibri" w:cs="仿宋" w:hint="eastAsia"/>
          <w:color w:val="000000"/>
          <w:kern w:val="0"/>
          <w:sz w:val="32"/>
          <w:szCs w:val="32"/>
        </w:rPr>
        <w:t>反映行政单位（包括实行公务员管理的事业单位）开支的离退休经费</w:t>
      </w:r>
      <w:r>
        <w:rPr>
          <w:rFonts w:ascii="仿宋_GB2312" w:eastAsia="仿宋_GB2312" w:hAnsi="Calibri" w:cs="仿宋" w:hint="eastAsia"/>
          <w:color w:val="000000"/>
          <w:kern w:val="0"/>
          <w:sz w:val="32"/>
          <w:szCs w:val="32"/>
        </w:rPr>
        <w:t>。</w:t>
      </w:r>
    </w:p>
    <w:p w:rsidR="000F7FCC" w:rsidRPr="00D66588" w:rsidRDefault="000F7FCC" w:rsidP="000F7FCC">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15</w:t>
      </w:r>
      <w:r w:rsidRPr="00D66588">
        <w:rPr>
          <w:rFonts w:ascii="仿宋_GB2312" w:eastAsia="仿宋_GB2312" w:hAnsi="Calibri" w:cs="仿宋" w:hint="eastAsia"/>
          <w:color w:val="000000"/>
          <w:kern w:val="0"/>
          <w:sz w:val="32"/>
          <w:szCs w:val="32"/>
        </w:rPr>
        <w:t>.社会保障和就业-行政事业单位养老支出-事业单位离退休</w:t>
      </w:r>
      <w:r w:rsidRPr="00FE6D0F">
        <w:rPr>
          <w:rFonts w:ascii="仿宋_GB2312" w:eastAsia="仿宋_GB2312" w:hAnsi="Calibri" w:cs="仿宋" w:hint="eastAsia"/>
          <w:color w:val="000000"/>
          <w:kern w:val="0"/>
          <w:sz w:val="32"/>
          <w:szCs w:val="32"/>
        </w:rPr>
        <w:t>：反映事业单位开支的离退休经费</w:t>
      </w:r>
      <w:r>
        <w:rPr>
          <w:rFonts w:ascii="仿宋_GB2312" w:eastAsia="仿宋_GB2312" w:hAnsi="Calibri" w:cs="仿宋" w:hint="eastAsia"/>
          <w:color w:val="000000"/>
          <w:kern w:val="0"/>
          <w:sz w:val="32"/>
          <w:szCs w:val="32"/>
        </w:rPr>
        <w:t>。</w:t>
      </w:r>
    </w:p>
    <w:p w:rsidR="000F7FCC" w:rsidRPr="00D66588" w:rsidRDefault="000F7FCC" w:rsidP="000F7FCC">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16</w:t>
      </w:r>
      <w:r w:rsidRPr="00D66588">
        <w:rPr>
          <w:rFonts w:ascii="仿宋_GB2312" w:eastAsia="仿宋_GB2312" w:hAnsi="Calibri" w:cs="仿宋" w:hint="eastAsia"/>
          <w:color w:val="000000"/>
          <w:kern w:val="0"/>
          <w:sz w:val="32"/>
          <w:szCs w:val="32"/>
        </w:rPr>
        <w:t>.社会保障和就业-行政事业单位养老支出-</w:t>
      </w:r>
      <w:r>
        <w:rPr>
          <w:rFonts w:ascii="仿宋_GB2312" w:eastAsia="仿宋_GB2312" w:hAnsi="Calibri" w:cs="仿宋" w:hint="eastAsia"/>
          <w:color w:val="000000"/>
          <w:kern w:val="0"/>
          <w:sz w:val="32"/>
          <w:szCs w:val="32"/>
        </w:rPr>
        <w:t>机关</w:t>
      </w:r>
      <w:r w:rsidRPr="00D66588">
        <w:rPr>
          <w:rFonts w:ascii="仿宋_GB2312" w:eastAsia="仿宋_GB2312" w:hAnsi="Calibri" w:cs="仿宋" w:hint="eastAsia"/>
          <w:color w:val="000000"/>
          <w:kern w:val="0"/>
          <w:sz w:val="32"/>
          <w:szCs w:val="32"/>
        </w:rPr>
        <w:t>事业单位基本养老保险缴费支出</w:t>
      </w:r>
      <w:r w:rsidRPr="00F20D55">
        <w:rPr>
          <w:rFonts w:ascii="仿宋_GB2312" w:eastAsia="仿宋_GB2312" w:hAnsi="Calibri" w:cs="仿宋" w:hint="eastAsia"/>
          <w:color w:val="000000"/>
          <w:kern w:val="0"/>
          <w:sz w:val="32"/>
          <w:szCs w:val="32"/>
        </w:rPr>
        <w:t>：反映机关事业单位实施养老保险制度由单位缴纳的基本养老保险费支出。</w:t>
      </w:r>
    </w:p>
    <w:p w:rsidR="000F7FCC" w:rsidRPr="00A949EE" w:rsidRDefault="000F7FCC" w:rsidP="000F7FCC">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17</w:t>
      </w:r>
      <w:r w:rsidRPr="00D66588">
        <w:rPr>
          <w:rFonts w:ascii="仿宋_GB2312" w:eastAsia="仿宋_GB2312" w:hAnsi="Calibri" w:cs="仿宋" w:hint="eastAsia"/>
          <w:color w:val="000000"/>
          <w:kern w:val="0"/>
          <w:sz w:val="32"/>
          <w:szCs w:val="32"/>
        </w:rPr>
        <w:t>.社会保障和就业-抚恤-死亡抚恤</w:t>
      </w:r>
      <w:r w:rsidRPr="00F20D55">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反映按规定用于烈士和牺牲、病故人员家属的一次性和定期抚恤金以及丧葬补助费。</w:t>
      </w:r>
    </w:p>
    <w:p w:rsidR="000F7FCC" w:rsidRPr="00D66588" w:rsidRDefault="000F7FCC" w:rsidP="000F7FCC">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18</w:t>
      </w:r>
      <w:r w:rsidRPr="00D66588">
        <w:rPr>
          <w:rFonts w:ascii="仿宋_GB2312" w:eastAsia="仿宋_GB2312" w:hAnsi="Calibri" w:cs="仿宋" w:hint="eastAsia"/>
          <w:color w:val="000000"/>
          <w:kern w:val="0"/>
          <w:sz w:val="32"/>
          <w:szCs w:val="32"/>
        </w:rPr>
        <w:t>.社会保障和就业-社会福利-儿童福利</w:t>
      </w:r>
      <w:r>
        <w:rPr>
          <w:rFonts w:ascii="仿宋_GB2312" w:eastAsia="仿宋_GB2312" w:hAnsi="Calibri" w:cs="仿宋" w:hint="eastAsia"/>
          <w:color w:val="000000"/>
          <w:kern w:val="0"/>
          <w:sz w:val="32"/>
          <w:szCs w:val="32"/>
        </w:rPr>
        <w:t>：反映对儿童提供福利服务方面的支出。</w:t>
      </w:r>
    </w:p>
    <w:p w:rsidR="000F7FCC" w:rsidRPr="000F7FCC" w:rsidRDefault="000F7FCC" w:rsidP="000F7FCC">
      <w:pPr>
        <w:pStyle w:val="Default"/>
        <w:spacing w:line="560" w:lineRule="exact"/>
        <w:ind w:firstLineChars="200" w:firstLine="640"/>
        <w:rPr>
          <w:rFonts w:ascii="仿宋_GB2312" w:eastAsia="仿宋_GB2312"/>
          <w:sz w:val="32"/>
          <w:szCs w:val="32"/>
        </w:rPr>
      </w:pPr>
      <w:r>
        <w:rPr>
          <w:rStyle w:val="a8"/>
          <w:rFonts w:ascii="仿宋_GB2312" w:eastAsia="仿宋_GB2312" w:hAnsi="宋体" w:cs="宋体" w:hint="eastAsia"/>
          <w:b w:val="0"/>
          <w:sz w:val="32"/>
          <w:szCs w:val="32"/>
        </w:rPr>
        <w:t>19.卫</w:t>
      </w:r>
      <w:r w:rsidRPr="00480EAF">
        <w:rPr>
          <w:rStyle w:val="a8"/>
          <w:rFonts w:ascii="仿宋_GB2312" w:eastAsia="仿宋_GB2312" w:hAnsi="宋体" w:cs="宋体" w:hint="eastAsia"/>
          <w:b w:val="0"/>
          <w:sz w:val="32"/>
          <w:szCs w:val="32"/>
        </w:rPr>
        <w:t>生健康支出-公共卫生-重大公共卫生服务：反映重大疾病、重大传染病预防控制等重大公共卫生服务项目支出。</w:t>
      </w:r>
    </w:p>
    <w:p w:rsidR="000F7FCC" w:rsidRDefault="000F7FCC">
      <w:pPr>
        <w:pStyle w:val="Default"/>
        <w:spacing w:line="560" w:lineRule="exact"/>
        <w:ind w:firstLineChars="200" w:firstLine="640"/>
        <w:rPr>
          <w:rFonts w:ascii="仿宋_GB2312" w:eastAsia="仿宋_GB2312"/>
          <w:sz w:val="32"/>
          <w:szCs w:val="32"/>
        </w:rPr>
      </w:pPr>
      <w:r>
        <w:rPr>
          <w:rStyle w:val="a8"/>
          <w:rFonts w:ascii="仿宋_GB2312" w:eastAsia="仿宋_GB2312" w:hAnsi="宋体" w:cs="宋体" w:hint="eastAsia"/>
          <w:b w:val="0"/>
          <w:sz w:val="32"/>
          <w:szCs w:val="32"/>
        </w:rPr>
        <w:lastRenderedPageBreak/>
        <w:t>20.卫</w:t>
      </w:r>
      <w:r w:rsidRPr="00480EAF">
        <w:rPr>
          <w:rStyle w:val="a8"/>
          <w:rFonts w:ascii="仿宋_GB2312" w:eastAsia="仿宋_GB2312" w:hAnsi="宋体" w:cs="宋体" w:hint="eastAsia"/>
          <w:b w:val="0"/>
          <w:sz w:val="32"/>
          <w:szCs w:val="32"/>
        </w:rPr>
        <w:t>生健康支出-</w:t>
      </w:r>
      <w:r>
        <w:rPr>
          <w:rStyle w:val="a8"/>
          <w:rFonts w:ascii="仿宋_GB2312" w:eastAsia="仿宋_GB2312" w:hAnsi="宋体" w:cs="宋体" w:hint="eastAsia"/>
          <w:b w:val="0"/>
          <w:sz w:val="32"/>
          <w:szCs w:val="32"/>
        </w:rPr>
        <w:t>其他</w:t>
      </w:r>
      <w:r w:rsidRPr="00480EAF">
        <w:rPr>
          <w:rStyle w:val="a8"/>
          <w:rFonts w:ascii="仿宋_GB2312" w:eastAsia="仿宋_GB2312" w:hAnsi="宋体" w:cs="宋体" w:hint="eastAsia"/>
          <w:b w:val="0"/>
          <w:sz w:val="32"/>
          <w:szCs w:val="32"/>
        </w:rPr>
        <w:t>卫生</w:t>
      </w:r>
      <w:r>
        <w:rPr>
          <w:rStyle w:val="a8"/>
          <w:rFonts w:ascii="仿宋_GB2312" w:eastAsia="仿宋_GB2312" w:hAnsi="宋体" w:cs="宋体" w:hint="eastAsia"/>
          <w:b w:val="0"/>
          <w:sz w:val="32"/>
          <w:szCs w:val="32"/>
        </w:rPr>
        <w:t>健康支出</w:t>
      </w:r>
      <w:r w:rsidRPr="00480EAF">
        <w:rPr>
          <w:rStyle w:val="a8"/>
          <w:rFonts w:ascii="仿宋_GB2312" w:eastAsia="仿宋_GB2312" w:hAnsi="宋体" w:cs="宋体" w:hint="eastAsia"/>
          <w:b w:val="0"/>
          <w:sz w:val="32"/>
          <w:szCs w:val="32"/>
        </w:rPr>
        <w:t>-</w:t>
      </w:r>
      <w:r>
        <w:rPr>
          <w:rStyle w:val="a8"/>
          <w:rFonts w:ascii="仿宋_GB2312" w:eastAsia="仿宋_GB2312" w:hAnsi="宋体" w:cs="宋体" w:hint="eastAsia"/>
          <w:b w:val="0"/>
          <w:sz w:val="32"/>
          <w:szCs w:val="32"/>
        </w:rPr>
        <w:t>其他</w:t>
      </w:r>
      <w:r w:rsidRPr="00480EAF">
        <w:rPr>
          <w:rStyle w:val="a8"/>
          <w:rFonts w:ascii="仿宋_GB2312" w:eastAsia="仿宋_GB2312" w:hAnsi="宋体" w:cs="宋体" w:hint="eastAsia"/>
          <w:b w:val="0"/>
          <w:sz w:val="32"/>
          <w:szCs w:val="32"/>
        </w:rPr>
        <w:t>卫生</w:t>
      </w:r>
      <w:r>
        <w:rPr>
          <w:rStyle w:val="a8"/>
          <w:rFonts w:ascii="仿宋_GB2312" w:eastAsia="仿宋_GB2312" w:hAnsi="宋体" w:cs="宋体" w:hint="eastAsia"/>
          <w:b w:val="0"/>
          <w:sz w:val="32"/>
          <w:szCs w:val="32"/>
        </w:rPr>
        <w:t>健康支出</w:t>
      </w:r>
      <w:r w:rsidRPr="00480EAF">
        <w:rPr>
          <w:rStyle w:val="a8"/>
          <w:rFonts w:ascii="仿宋_GB2312" w:eastAsia="仿宋_GB2312" w:hAnsi="宋体" w:cs="宋体" w:hint="eastAsia"/>
          <w:b w:val="0"/>
          <w:sz w:val="32"/>
          <w:szCs w:val="32"/>
        </w:rPr>
        <w:t>：反映</w:t>
      </w:r>
      <w:r>
        <w:rPr>
          <w:rStyle w:val="a8"/>
          <w:rFonts w:ascii="仿宋_GB2312" w:eastAsia="仿宋_GB2312" w:hAnsi="宋体" w:cs="宋体" w:hint="eastAsia"/>
          <w:b w:val="0"/>
          <w:sz w:val="32"/>
          <w:szCs w:val="32"/>
        </w:rPr>
        <w:t>除上述项目以外其他用于卫生健康方面的</w:t>
      </w:r>
      <w:r w:rsidRPr="00480EAF">
        <w:rPr>
          <w:rStyle w:val="a8"/>
          <w:rFonts w:ascii="仿宋_GB2312" w:eastAsia="仿宋_GB2312" w:hAnsi="宋体" w:cs="宋体" w:hint="eastAsia"/>
          <w:b w:val="0"/>
          <w:sz w:val="32"/>
          <w:szCs w:val="32"/>
        </w:rPr>
        <w:t>支出。</w:t>
      </w:r>
    </w:p>
    <w:p w:rsidR="000F7FCC" w:rsidRPr="00D66588" w:rsidRDefault="000F7FCC" w:rsidP="000F7FCC">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21</w:t>
      </w:r>
      <w:r w:rsidRPr="00D66588">
        <w:rPr>
          <w:rFonts w:ascii="仿宋_GB2312" w:eastAsia="仿宋_GB2312" w:hAnsi="Calibri" w:cs="仿宋" w:hint="eastAsia"/>
          <w:color w:val="000000"/>
          <w:kern w:val="0"/>
          <w:sz w:val="32"/>
          <w:szCs w:val="32"/>
        </w:rPr>
        <w:t>.城乡社区支出-城乡社区公共设施-其他城区社区公共设施支出</w:t>
      </w:r>
      <w:r w:rsidRPr="00E47E7B">
        <w:rPr>
          <w:rFonts w:ascii="仿宋_GB2312" w:eastAsia="仿宋_GB2312" w:hAnsi="Calibri" w:cs="仿宋" w:hint="eastAsia"/>
          <w:color w:val="000000"/>
          <w:kern w:val="0"/>
          <w:sz w:val="32"/>
          <w:szCs w:val="32"/>
        </w:rPr>
        <w:t>：反映除上述项目以外其他用于城乡社区公共设施方面的支出</w:t>
      </w:r>
      <w:r>
        <w:rPr>
          <w:rFonts w:ascii="仿宋_GB2312" w:eastAsia="仿宋_GB2312" w:hAnsi="Calibri" w:cs="仿宋" w:hint="eastAsia"/>
          <w:color w:val="000000"/>
          <w:kern w:val="0"/>
          <w:sz w:val="32"/>
          <w:szCs w:val="32"/>
        </w:rPr>
        <w:t>。</w:t>
      </w:r>
    </w:p>
    <w:p w:rsidR="000F7FCC" w:rsidRPr="000404A2" w:rsidRDefault="000F7FCC" w:rsidP="00BD3514">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22</w:t>
      </w:r>
      <w:r w:rsidRPr="00D66588">
        <w:rPr>
          <w:rFonts w:ascii="仿宋_GB2312" w:eastAsia="仿宋_GB2312" w:hAnsi="Calibri" w:cs="仿宋" w:hint="eastAsia"/>
          <w:color w:val="000000"/>
          <w:kern w:val="0"/>
          <w:sz w:val="32"/>
          <w:szCs w:val="32"/>
        </w:rPr>
        <w:t>.住房保障支出-住房改革支出-住房公积金</w:t>
      </w:r>
      <w:r w:rsidRPr="008F2B3D">
        <w:rPr>
          <w:rFonts w:ascii="仿宋_GB2312" w:eastAsia="仿宋_GB2312" w:hAnsi="Calibri" w:cs="仿宋" w:hint="eastAsia"/>
          <w:color w:val="000000"/>
          <w:kern w:val="0"/>
          <w:sz w:val="32"/>
          <w:szCs w:val="32"/>
        </w:rPr>
        <w:t>：反映行政事业单位按人力资源和社会保障部、财政部规定的基本工资和津补贴以及规定比例为职工缴纳的住房公积金。</w:t>
      </w:r>
    </w:p>
    <w:p w:rsidR="009E4DB6" w:rsidRDefault="000F7FCC">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3</w:t>
      </w:r>
      <w:r w:rsidR="00EF39C0">
        <w:rPr>
          <w:rFonts w:ascii="仿宋_GB2312" w:eastAsia="仿宋_GB2312"/>
          <w:sz w:val="32"/>
          <w:szCs w:val="32"/>
        </w:rPr>
        <w:t>.</w:t>
      </w:r>
      <w:r w:rsidR="00EF39C0">
        <w:rPr>
          <w:rFonts w:ascii="仿宋_GB2312" w:eastAsia="仿宋_GB2312" w:hint="eastAsia"/>
          <w:sz w:val="32"/>
          <w:szCs w:val="32"/>
        </w:rPr>
        <w:t>基本支出：指为保障机构正常运转、完成日常工作任务而发生的人员支出和公用支出。</w:t>
      </w:r>
    </w:p>
    <w:p w:rsidR="009E4DB6" w:rsidRDefault="000F7FCC">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4</w:t>
      </w:r>
      <w:r w:rsidR="00EF39C0">
        <w:rPr>
          <w:rFonts w:ascii="仿宋_GB2312" w:eastAsia="仿宋_GB2312"/>
          <w:sz w:val="32"/>
          <w:szCs w:val="32"/>
        </w:rPr>
        <w:t>.</w:t>
      </w:r>
      <w:r w:rsidR="00EF39C0">
        <w:rPr>
          <w:rFonts w:ascii="仿宋_GB2312" w:eastAsia="仿宋_GB2312" w:hint="eastAsia"/>
          <w:sz w:val="32"/>
          <w:szCs w:val="32"/>
        </w:rPr>
        <w:t>项目支出：指在基本支出之外为完成特定行政任务和事业发展目标所发生的支出。</w:t>
      </w:r>
    </w:p>
    <w:p w:rsidR="009E4DB6" w:rsidRDefault="000F7FC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25</w:t>
      </w:r>
      <w:r w:rsidR="00EF39C0">
        <w:rPr>
          <w:rFonts w:ascii="仿宋_GB2312" w:eastAsia="仿宋_GB2312"/>
          <w:color w:val="auto"/>
          <w:sz w:val="32"/>
          <w:szCs w:val="32"/>
        </w:rPr>
        <w:t>.</w:t>
      </w:r>
      <w:r w:rsidR="00EF39C0">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E4DB6" w:rsidRDefault="000F7FC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26</w:t>
      </w:r>
      <w:r w:rsidR="00EF39C0">
        <w:rPr>
          <w:rFonts w:ascii="仿宋_GB2312" w:eastAsia="仿宋_GB2312"/>
          <w:color w:val="auto"/>
          <w:sz w:val="32"/>
          <w:szCs w:val="32"/>
        </w:rPr>
        <w:t>.</w:t>
      </w:r>
      <w:r w:rsidR="00EF39C0">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w:t>
      </w:r>
      <w:r w:rsidR="00EF39C0">
        <w:rPr>
          <w:rFonts w:ascii="仿宋_GB2312" w:eastAsia="仿宋_GB2312" w:hint="eastAsia"/>
          <w:color w:val="auto"/>
          <w:sz w:val="32"/>
          <w:szCs w:val="32"/>
        </w:rPr>
        <w:lastRenderedPageBreak/>
        <w:t>维修费、专用材料及一般设备购置费、办公用房水电费、办公用房取暖费、办公用房物业管理费、公务用车运行维护费以及其他费用。</w:t>
      </w:r>
    </w:p>
    <w:p w:rsidR="009E4DB6" w:rsidRDefault="00EF39C0">
      <w:pPr>
        <w:spacing w:line="600" w:lineRule="exact"/>
        <w:jc w:val="center"/>
        <w:outlineLvl w:val="0"/>
        <w:rPr>
          <w:rStyle w:val="1Char"/>
          <w:rFonts w:ascii="黑体" w:eastAsia="黑体" w:hAnsi="黑体"/>
          <w:b w:val="0"/>
        </w:rPr>
      </w:pPr>
      <w:bookmarkStart w:id="56" w:name="_Toc15377226"/>
      <w:r>
        <w:rPr>
          <w:rFonts w:ascii="宋体"/>
          <w:b/>
          <w:sz w:val="44"/>
          <w:szCs w:val="44"/>
        </w:rPr>
        <w:br w:type="page"/>
      </w:r>
      <w:bookmarkStart w:id="57"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7"/>
    </w:p>
    <w:p w:rsidR="009E4DB6" w:rsidRDefault="00EF39C0">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525C6B" w:rsidRDefault="000F7FCC" w:rsidP="003C70F4">
      <w:pPr>
        <w:widowControl/>
        <w:spacing w:line="580" w:lineRule="exact"/>
        <w:contextualSpacing/>
        <w:jc w:val="center"/>
        <w:rPr>
          <w:rFonts w:asciiTheme="minorEastAsia" w:eastAsiaTheme="minorEastAsia" w:hAnsiTheme="minorEastAsia"/>
          <w:b/>
          <w:sz w:val="36"/>
          <w:szCs w:val="36"/>
          <w:shd w:val="clear" w:color="auto" w:fill="FFFFFF"/>
        </w:rPr>
      </w:pPr>
      <w:r w:rsidRPr="00525C6B">
        <w:rPr>
          <w:rFonts w:asciiTheme="minorEastAsia" w:eastAsiaTheme="minorEastAsia" w:hAnsiTheme="minorEastAsia" w:hint="eastAsia"/>
          <w:b/>
          <w:sz w:val="36"/>
          <w:szCs w:val="36"/>
          <w:shd w:val="clear" w:color="auto" w:fill="FFFFFF"/>
        </w:rPr>
        <w:t>攀枝花市公安局部门</w:t>
      </w:r>
    </w:p>
    <w:p w:rsidR="000F7FCC" w:rsidRPr="00525C6B" w:rsidRDefault="000F7FCC" w:rsidP="003C70F4">
      <w:pPr>
        <w:widowControl/>
        <w:spacing w:line="580" w:lineRule="exact"/>
        <w:contextualSpacing/>
        <w:jc w:val="center"/>
        <w:rPr>
          <w:rFonts w:asciiTheme="minorEastAsia" w:eastAsiaTheme="minorEastAsia" w:hAnsiTheme="minorEastAsia"/>
          <w:b/>
          <w:sz w:val="36"/>
          <w:szCs w:val="36"/>
          <w:shd w:val="clear" w:color="auto" w:fill="FFFFFF"/>
        </w:rPr>
      </w:pPr>
      <w:r w:rsidRPr="00525C6B">
        <w:rPr>
          <w:rFonts w:asciiTheme="minorEastAsia" w:eastAsiaTheme="minorEastAsia" w:hAnsiTheme="minorEastAsia"/>
          <w:b/>
          <w:sz w:val="36"/>
          <w:szCs w:val="36"/>
          <w:shd w:val="clear" w:color="auto" w:fill="FFFFFF"/>
        </w:rPr>
        <w:t>202</w:t>
      </w:r>
      <w:r w:rsidRPr="00525C6B">
        <w:rPr>
          <w:rFonts w:asciiTheme="minorEastAsia" w:eastAsiaTheme="minorEastAsia" w:hAnsiTheme="minorEastAsia" w:hint="eastAsia"/>
          <w:b/>
          <w:sz w:val="36"/>
          <w:szCs w:val="36"/>
          <w:shd w:val="clear" w:color="auto" w:fill="FFFFFF"/>
        </w:rPr>
        <w:t>2</w:t>
      </w:r>
      <w:r w:rsidRPr="00525C6B">
        <w:rPr>
          <w:rFonts w:asciiTheme="minorEastAsia" w:eastAsiaTheme="minorEastAsia" w:hAnsiTheme="minorEastAsia"/>
          <w:b/>
          <w:sz w:val="36"/>
          <w:szCs w:val="36"/>
          <w:shd w:val="clear" w:color="auto" w:fill="FFFFFF"/>
        </w:rPr>
        <w:t>年</w:t>
      </w:r>
      <w:r w:rsidRPr="00525C6B">
        <w:rPr>
          <w:rFonts w:asciiTheme="minorEastAsia" w:eastAsiaTheme="minorEastAsia" w:hAnsiTheme="minorEastAsia" w:hint="eastAsia"/>
          <w:b/>
          <w:sz w:val="36"/>
          <w:szCs w:val="36"/>
          <w:shd w:val="clear" w:color="auto" w:fill="FFFFFF"/>
        </w:rPr>
        <w:t>度</w:t>
      </w:r>
      <w:r w:rsidR="00525C6B" w:rsidRPr="00525C6B">
        <w:rPr>
          <w:rFonts w:asciiTheme="minorEastAsia" w:eastAsiaTheme="minorEastAsia" w:hAnsiTheme="minorEastAsia" w:hint="eastAsia"/>
          <w:b/>
          <w:sz w:val="36"/>
          <w:szCs w:val="36"/>
          <w:shd w:val="clear" w:color="auto" w:fill="FFFFFF"/>
        </w:rPr>
        <w:t>部门</w:t>
      </w:r>
      <w:r w:rsidRPr="00525C6B">
        <w:rPr>
          <w:rFonts w:asciiTheme="minorEastAsia" w:eastAsiaTheme="minorEastAsia" w:hAnsiTheme="minorEastAsia"/>
          <w:b/>
          <w:sz w:val="36"/>
          <w:szCs w:val="36"/>
          <w:shd w:val="clear" w:color="auto" w:fill="FFFFFF"/>
        </w:rPr>
        <w:t>整体绩效评价报告</w:t>
      </w:r>
    </w:p>
    <w:p w:rsidR="000F7FCC" w:rsidRPr="007F4463" w:rsidRDefault="000F7FCC" w:rsidP="000F7FCC">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color w:val="000000"/>
          <w:kern w:val="0"/>
          <w:sz w:val="32"/>
          <w:szCs w:val="32"/>
          <w:shd w:val="clear" w:color="auto" w:fill="FFFFFF"/>
        </w:rPr>
        <w:t>一、</w:t>
      </w:r>
      <w:r w:rsidRPr="00C81C4F">
        <w:rPr>
          <w:rFonts w:ascii="仿宋_GB2312" w:eastAsia="仿宋_GB2312" w:hint="eastAsia"/>
          <w:color w:val="000000"/>
          <w:kern w:val="0"/>
          <w:sz w:val="32"/>
          <w:szCs w:val="32"/>
          <w:shd w:val="clear" w:color="auto" w:fill="FFFFFF"/>
          <w:lang w:val="zh-CN"/>
        </w:rPr>
        <w:t>部门（单位）概况</w:t>
      </w:r>
    </w:p>
    <w:p w:rsidR="000F7FCC" w:rsidRPr="00C81C4F" w:rsidRDefault="000F7FCC" w:rsidP="00C81C4F">
      <w:pPr>
        <w:widowControl/>
        <w:adjustRightInd w:val="0"/>
        <w:snapToGrid w:val="0"/>
        <w:spacing w:line="580" w:lineRule="exact"/>
        <w:ind w:firstLineChars="200" w:firstLine="643"/>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b/>
          <w:color w:val="000000"/>
          <w:kern w:val="0"/>
          <w:sz w:val="32"/>
          <w:szCs w:val="32"/>
          <w:shd w:val="clear" w:color="auto" w:fill="FFFFFF"/>
          <w:lang w:val="zh-CN"/>
        </w:rPr>
        <w:t>（一）机构组成</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Ansi="仿宋" w:hint="eastAsia"/>
          <w:sz w:val="32"/>
          <w:szCs w:val="32"/>
        </w:rPr>
        <w:t>攀枝花市公安局部门</w:t>
      </w:r>
      <w:r w:rsidR="00525C6B">
        <w:rPr>
          <w:rFonts w:ascii="仿宋_GB2312" w:eastAsia="仿宋_GB2312" w:hAnsi="仿宋" w:hint="eastAsia"/>
          <w:sz w:val="32"/>
          <w:szCs w:val="32"/>
        </w:rPr>
        <w:t>下属</w:t>
      </w:r>
      <w:r w:rsidRPr="00C81C4F">
        <w:rPr>
          <w:rFonts w:ascii="仿宋_GB2312" w:eastAsia="仿宋_GB2312" w:hAnsi="仿宋" w:hint="eastAsia"/>
          <w:sz w:val="32"/>
          <w:szCs w:val="32"/>
        </w:rPr>
        <w:t>二级预算单位</w:t>
      </w:r>
      <w:r w:rsidR="00525C6B">
        <w:rPr>
          <w:rFonts w:ascii="仿宋_GB2312" w:eastAsia="仿宋_GB2312" w:hAnsi="仿宋" w:hint="eastAsia"/>
          <w:sz w:val="32"/>
          <w:szCs w:val="32"/>
        </w:rPr>
        <w:t>4</w:t>
      </w:r>
      <w:r w:rsidRPr="00C81C4F">
        <w:rPr>
          <w:rFonts w:ascii="仿宋_GB2312" w:eastAsia="仿宋_GB2312" w:hAnsi="仿宋" w:hint="eastAsia"/>
          <w:sz w:val="32"/>
          <w:szCs w:val="32"/>
        </w:rPr>
        <w:t>个。其中攀枝花市公安局（本级）下设机场分局、钒钛高新区分局、支队、科等37个部门；攀枝花市公安局东区分局下设科、室、所、队19个部门；攀枝花市公安局西区分局下设机构18个；攀枝花市公安局仁和区分局下设机构25个。</w:t>
      </w:r>
    </w:p>
    <w:p w:rsidR="000F7FCC" w:rsidRPr="00C81C4F" w:rsidRDefault="000F7FCC" w:rsidP="00C81C4F">
      <w:pPr>
        <w:widowControl/>
        <w:adjustRightInd w:val="0"/>
        <w:snapToGrid w:val="0"/>
        <w:spacing w:line="580" w:lineRule="exact"/>
        <w:ind w:firstLineChars="200" w:firstLine="643"/>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b/>
          <w:color w:val="000000"/>
          <w:kern w:val="0"/>
          <w:sz w:val="32"/>
          <w:szCs w:val="32"/>
          <w:shd w:val="clear" w:color="auto" w:fill="FFFFFF"/>
          <w:lang w:val="zh-CN"/>
        </w:rPr>
        <w:t>（二）机构职能</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Ansi="仿宋" w:hint="eastAsia"/>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p>
    <w:p w:rsidR="000F7FCC" w:rsidRPr="00C81C4F" w:rsidRDefault="000F7FCC" w:rsidP="00C81C4F">
      <w:pPr>
        <w:widowControl/>
        <w:adjustRightInd w:val="0"/>
        <w:snapToGrid w:val="0"/>
        <w:spacing w:line="580" w:lineRule="exact"/>
        <w:ind w:firstLineChars="200" w:firstLine="643"/>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b/>
          <w:color w:val="000000"/>
          <w:kern w:val="0"/>
          <w:sz w:val="32"/>
          <w:szCs w:val="32"/>
          <w:shd w:val="clear" w:color="auto" w:fill="FFFFFF"/>
          <w:lang w:val="zh-CN"/>
        </w:rPr>
        <w:t>（三）人员概况</w:t>
      </w:r>
    </w:p>
    <w:p w:rsidR="000F7FCC" w:rsidRPr="00C81C4F" w:rsidRDefault="000F7FCC" w:rsidP="00C81C4F">
      <w:pPr>
        <w:snapToGrid w:val="0"/>
        <w:spacing w:line="520" w:lineRule="exact"/>
        <w:ind w:firstLineChars="200" w:firstLine="640"/>
        <w:rPr>
          <w:rFonts w:ascii="仿宋_GB2312" w:eastAsia="仿宋_GB2312" w:hAnsi="仿宋"/>
          <w:sz w:val="32"/>
          <w:szCs w:val="32"/>
        </w:rPr>
      </w:pPr>
      <w:r w:rsidRPr="00C81C4F">
        <w:rPr>
          <w:rFonts w:ascii="仿宋_GB2312" w:eastAsia="仿宋_GB2312" w:hAnsi="仿宋" w:hint="eastAsia"/>
          <w:sz w:val="32"/>
          <w:szCs w:val="32"/>
        </w:rPr>
        <w:t>攀枝花市公安局（本级）2022年末人员总数为1096人，其中：在职人员723人，离休人员1人，退休人员372人。“110接警台”、“天网监控”、“留置看护”、钒钛高新区分局</w:t>
      </w:r>
      <w:r w:rsidRPr="00C81C4F">
        <w:rPr>
          <w:rFonts w:ascii="仿宋_GB2312" w:eastAsia="仿宋_GB2312" w:hAnsi="仿宋" w:hint="eastAsia"/>
          <w:sz w:val="32"/>
          <w:szCs w:val="32"/>
        </w:rPr>
        <w:lastRenderedPageBreak/>
        <w:t>签订合同实有辅警人员312人。</w:t>
      </w:r>
    </w:p>
    <w:p w:rsidR="000F7FCC" w:rsidRPr="00C81C4F" w:rsidRDefault="000F7FCC" w:rsidP="00C81C4F">
      <w:pPr>
        <w:snapToGrid w:val="0"/>
        <w:spacing w:line="520" w:lineRule="exact"/>
        <w:ind w:firstLineChars="200" w:firstLine="640"/>
        <w:rPr>
          <w:rFonts w:ascii="仿宋_GB2312" w:eastAsia="仿宋_GB2312" w:hAnsi="仿宋"/>
          <w:sz w:val="32"/>
          <w:szCs w:val="32"/>
        </w:rPr>
      </w:pPr>
      <w:r w:rsidRPr="00C81C4F">
        <w:rPr>
          <w:rFonts w:ascii="仿宋_GB2312" w:eastAsia="仿宋_GB2312" w:hAnsi="仿宋" w:hint="eastAsia"/>
          <w:sz w:val="32"/>
          <w:szCs w:val="32"/>
        </w:rPr>
        <w:t>攀枝花市公安局东区分局2022年末人员717人。在职人员447人，退休人员276人。年度共招录新警27人，从外单位调入4人，退休17人，调出17人，死亡5人。</w:t>
      </w:r>
    </w:p>
    <w:p w:rsidR="000F7FCC" w:rsidRPr="00C81C4F" w:rsidRDefault="000F7FCC" w:rsidP="00C81C4F">
      <w:pPr>
        <w:snapToGrid w:val="0"/>
        <w:spacing w:line="520" w:lineRule="exact"/>
        <w:ind w:firstLineChars="200" w:firstLine="640"/>
        <w:rPr>
          <w:rFonts w:ascii="仿宋_GB2312" w:eastAsia="仿宋_GB2312" w:hAnsi="仿宋"/>
          <w:sz w:val="32"/>
          <w:szCs w:val="32"/>
        </w:rPr>
      </w:pPr>
      <w:r w:rsidRPr="00C81C4F">
        <w:rPr>
          <w:rFonts w:ascii="仿宋_GB2312" w:eastAsia="仿宋_GB2312" w:hAnsi="仿宋" w:hint="eastAsia"/>
          <w:sz w:val="32"/>
          <w:szCs w:val="32"/>
        </w:rPr>
        <w:t>攀枝花市公安局西区分局2022年末编制人数290人，实有在职人员277人，其中公务员276人、工勤1，退休人员148人。</w:t>
      </w:r>
    </w:p>
    <w:p w:rsidR="000F7FCC" w:rsidRPr="00C81C4F" w:rsidRDefault="000F7FCC" w:rsidP="00C81C4F">
      <w:pPr>
        <w:snapToGrid w:val="0"/>
        <w:spacing w:line="520" w:lineRule="exact"/>
        <w:ind w:firstLineChars="200" w:firstLine="640"/>
        <w:rPr>
          <w:rFonts w:ascii="仿宋_GB2312" w:eastAsia="仿宋_GB2312" w:hAnsi="仿宋"/>
          <w:sz w:val="32"/>
          <w:szCs w:val="32"/>
        </w:rPr>
      </w:pPr>
      <w:r w:rsidRPr="00C81C4F">
        <w:rPr>
          <w:rFonts w:ascii="仿宋_GB2312" w:eastAsia="仿宋_GB2312" w:hAnsi="仿宋" w:hint="eastAsia"/>
          <w:sz w:val="32"/>
          <w:szCs w:val="32"/>
        </w:rPr>
        <w:t>攀枝花市公安局仁和区分局2022年末编制人数326人，实有在职人员324人，其中公务员320人、工勤3人、按86号文聘用1人，退休人员83人。</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rPr>
      </w:pPr>
      <w:r w:rsidRPr="00C81C4F">
        <w:rPr>
          <w:rFonts w:ascii="仿宋_GB2312" w:eastAsia="仿宋_GB2312" w:hint="eastAsia"/>
          <w:color w:val="000000"/>
          <w:kern w:val="0"/>
          <w:sz w:val="32"/>
          <w:szCs w:val="32"/>
          <w:shd w:val="clear" w:color="auto" w:fill="FFFFFF"/>
        </w:rPr>
        <w:t>二、部门财政资金收支情况</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color w:val="000000"/>
          <w:kern w:val="0"/>
          <w:sz w:val="32"/>
          <w:szCs w:val="32"/>
          <w:shd w:val="clear" w:color="auto" w:fill="FFFFFF"/>
          <w:lang w:val="zh-CN"/>
        </w:rPr>
        <w:t>（一）部门财政资金收入情况。</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Ansi="仿宋" w:hint="eastAsia"/>
          <w:sz w:val="32"/>
          <w:szCs w:val="32"/>
        </w:rPr>
        <w:t>2022年攀枝花市公安局部门财政资金收入合计63602.91万元，其中：年初预算财政拨款收入45261.49万元，占71.16%；基本支出年中追加5189.44万元，占8.16%；部门预算项目追加资金12442.52万元，占19.55%；2021年结转资金709.46万元，占1.13%。</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color w:val="000000"/>
          <w:kern w:val="0"/>
          <w:sz w:val="32"/>
          <w:szCs w:val="32"/>
          <w:shd w:val="clear" w:color="auto" w:fill="FFFFFF"/>
          <w:lang w:val="zh-CN"/>
        </w:rPr>
        <w:t>（二）部门财政资金支出情况。</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Ansi="仿宋" w:hint="eastAsia"/>
          <w:sz w:val="32"/>
          <w:szCs w:val="32"/>
        </w:rPr>
        <w:t>2022年攀枝花市公安局部门财政资金支出合计59472.37万元，其中：年度基本支出50450.93万元，占比84.83%；部门预算项目支出8311.98万元，占比13.98%，上年结转资金支出709.46万元，占比1.19%。</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rPr>
      </w:pPr>
      <w:r w:rsidRPr="00C81C4F">
        <w:rPr>
          <w:rFonts w:ascii="仿宋_GB2312" w:eastAsia="仿宋_GB2312" w:hint="eastAsia"/>
          <w:color w:val="000000"/>
          <w:kern w:val="0"/>
          <w:sz w:val="32"/>
          <w:szCs w:val="32"/>
          <w:shd w:val="clear" w:color="auto" w:fill="FFFFFF"/>
        </w:rPr>
        <w:t>三、部门整体预算绩效管理情况。</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color w:val="000000"/>
          <w:kern w:val="0"/>
          <w:sz w:val="32"/>
          <w:szCs w:val="32"/>
          <w:shd w:val="clear" w:color="auto" w:fill="FFFFFF"/>
          <w:lang w:val="zh-CN"/>
        </w:rPr>
        <w:t>（一）部门预算项目绩效管理。</w:t>
      </w:r>
    </w:p>
    <w:p w:rsidR="000F7FCC" w:rsidRPr="00C81C4F" w:rsidRDefault="000F7FCC" w:rsidP="00C81C4F">
      <w:pPr>
        <w:widowControl/>
        <w:adjustRightInd w:val="0"/>
        <w:snapToGrid w:val="0"/>
        <w:spacing w:line="580" w:lineRule="exact"/>
        <w:ind w:firstLineChars="200" w:firstLine="643"/>
        <w:contextualSpacing/>
        <w:jc w:val="left"/>
        <w:rPr>
          <w:rFonts w:ascii="仿宋_GB2312" w:eastAsia="仿宋_GB2312" w:hAnsi="宋体" w:cs="宋体"/>
          <w:b/>
          <w:kern w:val="0"/>
          <w:sz w:val="32"/>
          <w:szCs w:val="32"/>
          <w:shd w:val="clear" w:color="auto" w:fill="FFFFFF"/>
          <w:lang w:val="zh-CN"/>
        </w:rPr>
      </w:pPr>
      <w:r w:rsidRPr="00C81C4F">
        <w:rPr>
          <w:rFonts w:ascii="仿宋_GB2312" w:eastAsia="仿宋_GB2312" w:hAnsi="宋体" w:cs="宋体" w:hint="eastAsia"/>
          <w:b/>
          <w:kern w:val="0"/>
          <w:sz w:val="32"/>
          <w:szCs w:val="32"/>
          <w:shd w:val="clear" w:color="auto" w:fill="FFFFFF"/>
          <w:lang w:val="zh-CN"/>
        </w:rPr>
        <w:t>1.绩效目标制定情况：</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sidRPr="00C81C4F">
        <w:rPr>
          <w:rFonts w:ascii="仿宋_GB2312" w:eastAsia="仿宋_GB2312" w:hAnsi="宋体" w:cs="宋体" w:hint="eastAsia"/>
          <w:kern w:val="0"/>
          <w:sz w:val="32"/>
          <w:szCs w:val="32"/>
          <w:shd w:val="clear" w:color="auto" w:fill="FFFFFF"/>
          <w:lang w:val="zh-CN"/>
        </w:rPr>
        <w:lastRenderedPageBreak/>
        <w:t>在编制2022年度部门预算时，市公安局本级及三区公安分局均根据单位整体支出实际情况制定了部门整体支出绩效目标，同时对申报及追加的项目按要求开展事前绩效评估，撰写《项目事前绩效评估报告》和《绩效目标申报表》。</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sidRPr="00C81C4F">
        <w:rPr>
          <w:rFonts w:ascii="仿宋_GB2312" w:eastAsia="仿宋_GB2312" w:hAnsiTheme="minorHAnsi" w:cstheme="minorBidi" w:hint="eastAsia"/>
          <w:sz w:val="32"/>
          <w:szCs w:val="32"/>
        </w:rPr>
        <w:t>2022年9月，市公安局部门按照市财政局的要求认真开展了事中绩效监控工作，为进一步强化财政资金事中绩效监控，加快项目和资金执行进度，提高资金使用效益打下坚实基础。</w:t>
      </w:r>
    </w:p>
    <w:p w:rsidR="000F7FCC" w:rsidRPr="00C81C4F" w:rsidRDefault="000F7FCC" w:rsidP="00C81C4F">
      <w:pPr>
        <w:widowControl/>
        <w:adjustRightInd w:val="0"/>
        <w:snapToGrid w:val="0"/>
        <w:spacing w:line="580" w:lineRule="exact"/>
        <w:ind w:firstLineChars="200" w:firstLine="643"/>
        <w:contextualSpacing/>
        <w:jc w:val="left"/>
        <w:rPr>
          <w:rFonts w:ascii="仿宋_GB2312" w:eastAsia="仿宋_GB2312" w:hAnsi="宋体" w:cs="宋体"/>
          <w:b/>
          <w:kern w:val="0"/>
          <w:sz w:val="32"/>
          <w:szCs w:val="32"/>
          <w:shd w:val="clear" w:color="auto" w:fill="FFFFFF"/>
          <w:lang w:val="zh-CN"/>
        </w:rPr>
      </w:pPr>
      <w:r w:rsidRPr="00C81C4F">
        <w:rPr>
          <w:rFonts w:ascii="仿宋_GB2312" w:eastAsia="仿宋_GB2312" w:hAnsi="宋体" w:cs="宋体" w:hint="eastAsia"/>
          <w:b/>
          <w:kern w:val="0"/>
          <w:sz w:val="32"/>
          <w:szCs w:val="32"/>
          <w:shd w:val="clear" w:color="auto" w:fill="FFFFFF"/>
          <w:lang w:val="zh-CN"/>
        </w:rPr>
        <w:t>2.目标实现情况：</w:t>
      </w:r>
    </w:p>
    <w:p w:rsidR="000F7FCC" w:rsidRPr="00C81C4F" w:rsidRDefault="000F7FCC" w:rsidP="00C81C4F">
      <w:pPr>
        <w:snapToGrid w:val="0"/>
        <w:spacing w:line="560" w:lineRule="exact"/>
        <w:ind w:firstLineChars="150" w:firstLine="480"/>
        <w:jc w:val="left"/>
        <w:rPr>
          <w:rFonts w:ascii="仿宋_GB2312" w:eastAsia="仿宋_GB2312" w:hAnsiTheme="minorHAnsi" w:cstheme="minorBidi"/>
          <w:sz w:val="32"/>
          <w:szCs w:val="32"/>
        </w:rPr>
      </w:pPr>
      <w:r w:rsidRPr="00C81C4F">
        <w:rPr>
          <w:rFonts w:ascii="仿宋_GB2312" w:eastAsia="仿宋_GB2312" w:hAnsiTheme="minorHAnsi" w:cs="Calibri" w:hint="eastAsia"/>
          <w:sz w:val="32"/>
          <w:szCs w:val="32"/>
        </w:rPr>
        <w:t>（1）人员经费</w:t>
      </w:r>
      <w:r w:rsidRPr="00C81C4F">
        <w:rPr>
          <w:rFonts w:ascii="仿宋_GB2312" w:eastAsia="仿宋_GB2312" w:hAnsi="宋体" w:cs="宋体" w:hint="eastAsia"/>
          <w:color w:val="000000"/>
          <w:kern w:val="0"/>
          <w:sz w:val="32"/>
          <w:szCs w:val="32"/>
          <w:shd w:val="clear" w:color="auto" w:fill="FFFFFF"/>
          <w:lang w:val="zh-CN"/>
        </w:rPr>
        <w:t>44619.13</w:t>
      </w:r>
      <w:r w:rsidRPr="00C81C4F">
        <w:rPr>
          <w:rFonts w:ascii="仿宋_GB2312" w:eastAsia="仿宋_GB2312" w:hAnsiTheme="minorHAnsi" w:cs="Calibri" w:hint="eastAsia"/>
          <w:sz w:val="32"/>
          <w:szCs w:val="32"/>
        </w:rPr>
        <w:t>万元，保障了</w:t>
      </w:r>
      <w:r w:rsidRPr="00C81C4F">
        <w:rPr>
          <w:rFonts w:ascii="仿宋_GB2312" w:eastAsia="仿宋_GB2312" w:hAnsiTheme="minorHAnsi" w:cstheme="minorBidi" w:hint="eastAsia"/>
          <w:sz w:val="32"/>
          <w:szCs w:val="32"/>
        </w:rPr>
        <w:t>在职人员的基本工资、津贴补贴、奖金、机关事业单位养老保险缴费、其他工资福利支出、在职人员基本医保、补充医疗保险、住房公积金，退休人员医疗费补助等人员经费支出。</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hAnsiTheme="minorHAnsi" w:cstheme="minorBidi"/>
          <w:sz w:val="32"/>
          <w:szCs w:val="32"/>
        </w:rPr>
      </w:pPr>
      <w:r w:rsidRPr="00C81C4F">
        <w:rPr>
          <w:rFonts w:ascii="仿宋_GB2312" w:eastAsia="仿宋_GB2312" w:hAnsiTheme="minorHAnsi" w:cs="Calibri" w:hint="eastAsia"/>
          <w:sz w:val="32"/>
          <w:szCs w:val="32"/>
        </w:rPr>
        <w:t>（2）日常公用经费</w:t>
      </w:r>
      <w:r w:rsidRPr="00C81C4F">
        <w:rPr>
          <w:rFonts w:ascii="仿宋_GB2312" w:eastAsia="仿宋_GB2312" w:hAnsi="宋体" w:cs="宋体" w:hint="eastAsia"/>
          <w:color w:val="000000"/>
          <w:kern w:val="0"/>
          <w:sz w:val="32"/>
          <w:szCs w:val="32"/>
          <w:shd w:val="clear" w:color="auto" w:fill="FFFFFF"/>
          <w:lang w:val="zh-CN"/>
        </w:rPr>
        <w:t>5831.8</w:t>
      </w:r>
      <w:r w:rsidRPr="00C81C4F">
        <w:rPr>
          <w:rFonts w:ascii="仿宋_GB2312" w:eastAsia="仿宋_GB2312" w:hAnsiTheme="minorHAnsi" w:cs="Calibri" w:hint="eastAsia"/>
          <w:sz w:val="32"/>
          <w:szCs w:val="32"/>
        </w:rPr>
        <w:t>万元，</w:t>
      </w:r>
      <w:r w:rsidRPr="00C81C4F">
        <w:rPr>
          <w:rFonts w:ascii="仿宋_GB2312" w:eastAsia="仿宋_GB2312" w:hAnsiTheme="minorHAnsi" w:cstheme="minorBidi" w:hint="eastAsia"/>
          <w:sz w:val="32"/>
          <w:szCs w:val="32"/>
        </w:rPr>
        <w:t>主要用于办公费、水电费、差旅费、接待费、工会经费、公务用车运行维护费、在职及退休人员党建经费等，保障了日常公安工作的有序开展。</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hAnsiTheme="minorHAnsi" w:cstheme="minorBidi"/>
          <w:sz w:val="32"/>
          <w:szCs w:val="32"/>
        </w:rPr>
      </w:pPr>
      <w:r w:rsidRPr="00C81C4F">
        <w:rPr>
          <w:rFonts w:ascii="仿宋_GB2312" w:eastAsia="仿宋_GB2312" w:hAnsiTheme="minorHAnsi" w:cstheme="minorBidi" w:hint="eastAsia"/>
          <w:sz w:val="32"/>
          <w:szCs w:val="32"/>
        </w:rPr>
        <w:t>（3）部门预算项目支出8311.98万元，主要用于看守所迁建项目场平及主体工程1220万元、拘押收教场所运转经费1105.69万元、市公安局（本级）辅警经费1544.72万元、仁和公安分局警务辅助人员经费1460.62万元、年度中央及省级转移支付资金支出1284.78万元</w:t>
      </w:r>
      <w:r w:rsidR="004565F0">
        <w:rPr>
          <w:rFonts w:ascii="仿宋_GB2312" w:eastAsia="仿宋_GB2312" w:hAnsiTheme="minorHAnsi" w:cstheme="minorBidi" w:hint="eastAsia"/>
          <w:sz w:val="32"/>
          <w:szCs w:val="32"/>
        </w:rPr>
        <w:t>（涉密资金）</w:t>
      </w:r>
      <w:r w:rsidRPr="00C81C4F">
        <w:rPr>
          <w:rFonts w:ascii="仿宋_GB2312" w:eastAsia="仿宋_GB2312" w:hAnsiTheme="minorHAnsi" w:cstheme="minorBidi" w:hint="eastAsia"/>
          <w:sz w:val="32"/>
          <w:szCs w:val="32"/>
        </w:rPr>
        <w:t>、攀枝花市智能安全系统（天网二期租赁费）595.95万元等项目资金的支出。</w:t>
      </w:r>
    </w:p>
    <w:p w:rsidR="008578EB" w:rsidRDefault="000F7FCC" w:rsidP="00C81C4F">
      <w:pPr>
        <w:widowControl/>
        <w:adjustRightInd w:val="0"/>
        <w:snapToGrid w:val="0"/>
        <w:spacing w:line="580" w:lineRule="exact"/>
        <w:ind w:firstLineChars="200" w:firstLine="640"/>
        <w:contextualSpacing/>
        <w:jc w:val="left"/>
        <w:rPr>
          <w:rFonts w:ascii="仿宋_GB2312" w:eastAsia="仿宋_GB2312"/>
          <w:sz w:val="32"/>
          <w:szCs w:val="32"/>
        </w:rPr>
      </w:pPr>
      <w:r w:rsidRPr="00C81C4F">
        <w:rPr>
          <w:rFonts w:ascii="仿宋_GB2312" w:eastAsia="仿宋_GB2312" w:hint="eastAsia"/>
          <w:sz w:val="32"/>
          <w:szCs w:val="32"/>
        </w:rPr>
        <w:lastRenderedPageBreak/>
        <w:t>（4）上年结转项目经费支出709.46万元，主要是2021年转移支付资金支出654.89万元</w:t>
      </w:r>
      <w:r w:rsidR="004565F0">
        <w:rPr>
          <w:rFonts w:ascii="仿宋_GB2312" w:eastAsia="仿宋_GB2312" w:hAnsiTheme="minorHAnsi" w:cstheme="minorBidi" w:hint="eastAsia"/>
          <w:sz w:val="32"/>
          <w:szCs w:val="32"/>
        </w:rPr>
        <w:t>（涉密资金）</w:t>
      </w:r>
      <w:r w:rsidRPr="00C81C4F">
        <w:rPr>
          <w:rFonts w:ascii="仿宋_GB2312" w:eastAsia="仿宋_GB2312" w:hint="eastAsia"/>
          <w:sz w:val="32"/>
          <w:szCs w:val="32"/>
        </w:rPr>
        <w:t>、2021年省级铁路</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sz w:val="32"/>
          <w:szCs w:val="32"/>
        </w:rPr>
      </w:pPr>
      <w:r w:rsidRPr="00C81C4F">
        <w:rPr>
          <w:rFonts w:ascii="仿宋_GB2312" w:eastAsia="仿宋_GB2312" w:hint="eastAsia"/>
          <w:sz w:val="32"/>
          <w:szCs w:val="32"/>
        </w:rPr>
        <w:t>护路联防专项资金支出54.57万元，保障了成昆铁路复线沿线的安全稳定及公安业务工作的顺利开展。</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sz w:val="32"/>
          <w:szCs w:val="32"/>
        </w:rPr>
      </w:pPr>
      <w:r w:rsidRPr="00C81C4F">
        <w:rPr>
          <w:rFonts w:ascii="仿宋_GB2312" w:eastAsia="仿宋_GB2312" w:hAnsiTheme="minorHAnsi" w:cstheme="minorBidi" w:hint="eastAsia"/>
          <w:sz w:val="32"/>
          <w:szCs w:val="32"/>
        </w:rPr>
        <w:t>市公安局部门</w:t>
      </w:r>
      <w:r w:rsidRPr="00C81C4F">
        <w:rPr>
          <w:rFonts w:ascii="仿宋_GB2312" w:eastAsia="仿宋_GB2312" w:hint="eastAsia"/>
          <w:sz w:val="32"/>
          <w:szCs w:val="32"/>
        </w:rPr>
        <w:t>在预算执行的过程中严格绩效目标管理，对预算执行进度和绩效目标实施动态监控，促进资金使用绩效逐步提高，同时使项目资金实现了经济效益、社会效益和生态效益，基本达成了全年预期目标。</w:t>
      </w:r>
    </w:p>
    <w:p w:rsidR="000F7FCC" w:rsidRPr="00C81C4F" w:rsidRDefault="000F7FCC" w:rsidP="00C81C4F">
      <w:pPr>
        <w:widowControl/>
        <w:adjustRightInd w:val="0"/>
        <w:snapToGrid w:val="0"/>
        <w:spacing w:line="580" w:lineRule="exact"/>
        <w:ind w:firstLineChars="200" w:firstLine="643"/>
        <w:contextualSpacing/>
        <w:jc w:val="left"/>
        <w:rPr>
          <w:rFonts w:ascii="仿宋_GB2312" w:eastAsia="仿宋_GB2312" w:hAnsi="宋体" w:cs="宋体"/>
          <w:b/>
          <w:kern w:val="0"/>
          <w:sz w:val="32"/>
          <w:szCs w:val="32"/>
          <w:shd w:val="clear" w:color="auto" w:fill="FFFFFF"/>
          <w:lang w:val="zh-CN"/>
        </w:rPr>
      </w:pPr>
      <w:r w:rsidRPr="00C81C4F">
        <w:rPr>
          <w:rFonts w:ascii="仿宋_GB2312" w:eastAsia="仿宋_GB2312" w:hAnsi="宋体" w:cs="宋体" w:hint="eastAsia"/>
          <w:b/>
          <w:kern w:val="0"/>
          <w:sz w:val="32"/>
          <w:szCs w:val="32"/>
          <w:shd w:val="clear" w:color="auto" w:fill="FFFFFF"/>
          <w:lang w:val="zh-CN"/>
        </w:rPr>
        <w:t>3.执行进度及资金结余率情况：</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sz w:val="32"/>
          <w:szCs w:val="32"/>
        </w:rPr>
      </w:pPr>
      <w:r w:rsidRPr="00C81C4F">
        <w:rPr>
          <w:rFonts w:ascii="仿宋_GB2312" w:eastAsia="仿宋_GB2312" w:hint="eastAsia"/>
          <w:color w:val="000000"/>
          <w:kern w:val="0"/>
          <w:sz w:val="32"/>
          <w:szCs w:val="32"/>
          <w:shd w:val="clear" w:color="auto" w:fill="FFFFFF"/>
        </w:rPr>
        <w:t>除2022年中央政法纪检监察转移支付资金、2022</w:t>
      </w:r>
      <w:r w:rsidRPr="00C81C4F">
        <w:rPr>
          <w:rFonts w:ascii="仿宋_GB2312" w:eastAsia="仿宋_GB2312" w:hint="eastAsia"/>
          <w:sz w:val="32"/>
          <w:szCs w:val="32"/>
        </w:rPr>
        <w:t>年省级铁路护路联防专项资金、市公安局（本级）钒钛高新区辅警经费</w:t>
      </w:r>
      <w:r w:rsidRPr="00C81C4F">
        <w:rPr>
          <w:rFonts w:ascii="仿宋_GB2312" w:eastAsia="仿宋_GB2312" w:hint="eastAsia"/>
          <w:color w:val="000000"/>
          <w:kern w:val="0"/>
          <w:sz w:val="32"/>
          <w:szCs w:val="32"/>
          <w:shd w:val="clear" w:color="auto" w:fill="FFFFFF"/>
        </w:rPr>
        <w:t>存在结余，其他经费的执行率均为100%。2022年转移支付资金结余3809.82万元，省级铁路护路专项资金结余87.6万元，以上省级资金</w:t>
      </w:r>
      <w:r w:rsidR="008578EB">
        <w:rPr>
          <w:rFonts w:ascii="仿宋_GB2312" w:eastAsia="仿宋_GB2312" w:hint="eastAsia"/>
          <w:color w:val="000000"/>
          <w:kern w:val="0"/>
          <w:sz w:val="32"/>
          <w:szCs w:val="32"/>
          <w:shd w:val="clear" w:color="auto" w:fill="FFFFFF"/>
        </w:rPr>
        <w:t>财政年末收回，</w:t>
      </w:r>
      <w:r w:rsidRPr="00C81C4F">
        <w:rPr>
          <w:rFonts w:ascii="仿宋_GB2312" w:eastAsia="仿宋_GB2312" w:hAnsi="仿宋_GB2312" w:hint="eastAsia"/>
          <w:sz w:val="32"/>
          <w:szCs w:val="32"/>
        </w:rPr>
        <w:t>于</w:t>
      </w:r>
      <w:r w:rsidRPr="00C81C4F">
        <w:rPr>
          <w:rFonts w:ascii="仿宋_GB2312" w:eastAsia="仿宋_GB2312" w:hint="eastAsia"/>
          <w:sz w:val="32"/>
          <w:szCs w:val="32"/>
        </w:rPr>
        <w:t>2023</w:t>
      </w:r>
      <w:r w:rsidR="008578EB">
        <w:rPr>
          <w:rFonts w:ascii="仿宋_GB2312" w:eastAsia="仿宋_GB2312" w:hAnsi="仿宋_GB2312" w:hint="eastAsia"/>
          <w:sz w:val="32"/>
          <w:szCs w:val="32"/>
        </w:rPr>
        <w:t>年一季度结转后</w:t>
      </w:r>
      <w:r w:rsidRPr="00C81C4F">
        <w:rPr>
          <w:rFonts w:ascii="仿宋_GB2312" w:eastAsia="仿宋_GB2312" w:hAnsi="仿宋_GB2312" w:hint="eastAsia"/>
          <w:sz w:val="32"/>
          <w:szCs w:val="32"/>
        </w:rPr>
        <w:t>使用；</w:t>
      </w:r>
      <w:r w:rsidRPr="00C81C4F">
        <w:rPr>
          <w:rFonts w:ascii="仿宋_GB2312" w:eastAsia="仿宋_GB2312" w:hint="eastAsia"/>
          <w:sz w:val="32"/>
          <w:szCs w:val="32"/>
        </w:rPr>
        <w:t>市公安局（本级）钒钛高新区辅警经费结转233.12万元，计划于2023年上半年使用完毕。</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rPr>
      </w:pPr>
      <w:r w:rsidRPr="00C81C4F">
        <w:rPr>
          <w:rFonts w:ascii="仿宋_GB2312" w:eastAsia="仿宋_GB2312" w:hint="eastAsia"/>
          <w:color w:val="000000"/>
          <w:kern w:val="0"/>
          <w:sz w:val="32"/>
          <w:szCs w:val="32"/>
          <w:shd w:val="clear" w:color="auto" w:fill="FFFFFF"/>
        </w:rPr>
        <w:t>市公安局部门在年度经费的使用中严格控制预算，同时在项目执行中采取询价对比、总价控制等措施严控支出，无超预算支出等违规情况发生。</w:t>
      </w:r>
    </w:p>
    <w:p w:rsidR="000F7FCC" w:rsidRPr="00C81C4F" w:rsidRDefault="00C81C4F" w:rsidP="00C81C4F">
      <w:pPr>
        <w:widowControl/>
        <w:adjustRightInd w:val="0"/>
        <w:snapToGrid w:val="0"/>
        <w:spacing w:line="580" w:lineRule="exact"/>
        <w:ind w:firstLineChars="200" w:firstLine="643"/>
        <w:contextualSpacing/>
        <w:jc w:val="left"/>
        <w:rPr>
          <w:rFonts w:ascii="仿宋_GB2312" w:eastAsia="仿宋_GB2312"/>
          <w:b/>
          <w:color w:val="000000"/>
          <w:kern w:val="0"/>
          <w:sz w:val="32"/>
          <w:szCs w:val="32"/>
          <w:shd w:val="clear" w:color="auto" w:fill="FFFFFF"/>
          <w:lang w:val="zh-CN"/>
        </w:rPr>
      </w:pPr>
      <w:r>
        <w:rPr>
          <w:rFonts w:ascii="仿宋_GB2312" w:eastAsia="仿宋_GB2312" w:hint="eastAsia"/>
          <w:b/>
          <w:color w:val="000000"/>
          <w:kern w:val="0"/>
          <w:sz w:val="32"/>
          <w:szCs w:val="32"/>
          <w:shd w:val="clear" w:color="auto" w:fill="FFFFFF"/>
          <w:lang w:val="zh-CN"/>
        </w:rPr>
        <w:t>（二）结果应用情况</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sz w:val="32"/>
          <w:szCs w:val="32"/>
        </w:rPr>
        <w:t>攀枝花市公安局部门拟</w:t>
      </w:r>
      <w:r w:rsidRPr="00C81C4F">
        <w:rPr>
          <w:rFonts w:ascii="仿宋_GB2312" w:eastAsia="仿宋_GB2312" w:hAnsi="宋体" w:cs="仿宋_GB2312" w:hint="eastAsia"/>
          <w:color w:val="000000"/>
          <w:sz w:val="32"/>
          <w:szCs w:val="32"/>
          <w:shd w:val="clear" w:color="auto" w:fill="FFFFFF"/>
        </w:rPr>
        <w:t>将2022年度部门预算整体绩效自评结果作为下年度改进和提高资金使用效益的依据，提高预算编制质量，加快政府采购进度，提高资金使用效率。同</w:t>
      </w:r>
      <w:r w:rsidRPr="00C81C4F">
        <w:rPr>
          <w:rFonts w:ascii="仿宋_GB2312" w:eastAsia="仿宋_GB2312" w:hAnsi="宋体" w:cs="仿宋_GB2312" w:hint="eastAsia"/>
          <w:color w:val="000000"/>
          <w:sz w:val="32"/>
          <w:szCs w:val="32"/>
          <w:shd w:val="clear" w:color="auto" w:fill="FFFFFF"/>
        </w:rPr>
        <w:lastRenderedPageBreak/>
        <w:t>时</w:t>
      </w:r>
      <w:r w:rsidRPr="00C81C4F">
        <w:rPr>
          <w:rFonts w:ascii="仿宋_GB2312" w:eastAsia="仿宋_GB2312" w:hint="eastAsia"/>
          <w:sz w:val="32"/>
          <w:szCs w:val="32"/>
        </w:rPr>
        <w:t>将</w:t>
      </w:r>
      <w:r w:rsidRPr="00C81C4F">
        <w:rPr>
          <w:rFonts w:ascii="仿宋_GB2312" w:eastAsia="仿宋_GB2312" w:hAnsi="宋体" w:cs="仿宋_GB2312" w:hint="eastAsia"/>
          <w:color w:val="000000"/>
          <w:sz w:val="32"/>
          <w:szCs w:val="32"/>
          <w:shd w:val="clear" w:color="auto" w:fill="FFFFFF"/>
        </w:rPr>
        <w:t>2022年度部门预算整体绩效</w:t>
      </w:r>
      <w:r w:rsidRPr="00C81C4F">
        <w:rPr>
          <w:rFonts w:ascii="仿宋_GB2312" w:eastAsia="仿宋_GB2312" w:hint="eastAsia"/>
          <w:sz w:val="32"/>
          <w:szCs w:val="32"/>
        </w:rPr>
        <w:t>自评结果在公安内网予以全局公示，接受全局监督，并针对资金使用量大的部门，特别是各级专项资金，按照资金性质，重点督促使用部门结合专项资金绩效管理指标，完善绩效结果应用</w:t>
      </w:r>
      <w:r w:rsidRPr="00C81C4F">
        <w:rPr>
          <w:rFonts w:ascii="仿宋_GB2312" w:eastAsia="仿宋_GB2312" w:hint="eastAsia"/>
          <w:color w:val="000000"/>
          <w:kern w:val="0"/>
          <w:sz w:val="32"/>
          <w:szCs w:val="32"/>
          <w:shd w:val="clear" w:color="auto" w:fill="FFFFFF"/>
          <w:lang w:val="zh-CN"/>
        </w:rPr>
        <w:t>。</w:t>
      </w:r>
    </w:p>
    <w:p w:rsidR="000F7FCC" w:rsidRPr="00C81C4F" w:rsidRDefault="000F7FCC" w:rsidP="00C81C4F">
      <w:pPr>
        <w:widowControl/>
        <w:numPr>
          <w:ilvl w:val="0"/>
          <w:numId w:val="8"/>
        </w:numPr>
        <w:adjustRightInd w:val="0"/>
        <w:snapToGrid w:val="0"/>
        <w:spacing w:line="580" w:lineRule="exact"/>
        <w:ind w:firstLineChars="200" w:firstLine="643"/>
        <w:contextualSpacing/>
        <w:jc w:val="left"/>
        <w:rPr>
          <w:rFonts w:ascii="仿宋_GB2312" w:eastAsia="仿宋_GB2312"/>
          <w:b/>
          <w:color w:val="000000"/>
          <w:kern w:val="0"/>
          <w:sz w:val="32"/>
          <w:szCs w:val="32"/>
          <w:shd w:val="clear" w:color="auto" w:fill="FFFFFF"/>
          <w:lang w:val="zh-CN"/>
        </w:rPr>
      </w:pPr>
      <w:r w:rsidRPr="00C81C4F">
        <w:rPr>
          <w:rFonts w:ascii="仿宋_GB2312" w:eastAsia="仿宋_GB2312" w:hint="eastAsia"/>
          <w:b/>
          <w:color w:val="000000"/>
          <w:kern w:val="0"/>
          <w:sz w:val="32"/>
          <w:szCs w:val="32"/>
          <w:shd w:val="clear" w:color="auto" w:fill="FFFFFF"/>
          <w:lang w:val="zh-CN"/>
        </w:rPr>
        <w:t>自评质量</w:t>
      </w:r>
    </w:p>
    <w:p w:rsidR="000F7FCC" w:rsidRPr="00C81C4F" w:rsidRDefault="000F7FCC" w:rsidP="000F7FCC">
      <w:pPr>
        <w:widowControl/>
        <w:adjustRightInd w:val="0"/>
        <w:snapToGrid w:val="0"/>
        <w:spacing w:line="580" w:lineRule="exact"/>
        <w:contextualSpacing/>
        <w:jc w:val="left"/>
        <w:rPr>
          <w:rFonts w:ascii="仿宋_GB2312" w:eastAsia="仿宋_GB2312"/>
          <w:color w:val="000000"/>
          <w:kern w:val="0"/>
          <w:sz w:val="32"/>
          <w:szCs w:val="32"/>
          <w:shd w:val="clear" w:color="auto" w:fill="FFFFFF"/>
        </w:rPr>
      </w:pPr>
      <w:r w:rsidRPr="00C81C4F">
        <w:rPr>
          <w:rFonts w:ascii="仿宋_GB2312" w:eastAsia="仿宋_GB2312" w:hint="eastAsia"/>
          <w:color w:val="000000"/>
          <w:kern w:val="0"/>
          <w:sz w:val="32"/>
          <w:szCs w:val="32"/>
          <w:shd w:val="clear" w:color="auto" w:fill="FFFFFF"/>
        </w:rPr>
        <w:t xml:space="preserve">    攀枝花市公安局部门严格按照绩效评价指标体系进行自评打分，自评结果等次为“优”。</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rPr>
      </w:pPr>
      <w:r w:rsidRPr="00C81C4F">
        <w:rPr>
          <w:rFonts w:ascii="仿宋_GB2312" w:eastAsia="仿宋_GB2312" w:hint="eastAsia"/>
          <w:color w:val="000000"/>
          <w:kern w:val="0"/>
          <w:sz w:val="32"/>
          <w:szCs w:val="32"/>
          <w:shd w:val="clear" w:color="auto" w:fill="FFFFFF"/>
        </w:rPr>
        <w:t>四、评价结论及建议</w:t>
      </w:r>
    </w:p>
    <w:p w:rsidR="000F7FCC" w:rsidRPr="00C81C4F" w:rsidRDefault="00C81C4F" w:rsidP="00C81C4F">
      <w:pPr>
        <w:widowControl/>
        <w:adjustRightInd w:val="0"/>
        <w:snapToGrid w:val="0"/>
        <w:spacing w:line="580" w:lineRule="exact"/>
        <w:ind w:firstLineChars="200" w:firstLine="643"/>
        <w:contextualSpacing/>
        <w:jc w:val="left"/>
        <w:rPr>
          <w:rFonts w:ascii="仿宋_GB2312" w:eastAsia="仿宋_GB2312"/>
          <w:b/>
          <w:color w:val="000000"/>
          <w:kern w:val="0"/>
          <w:sz w:val="32"/>
          <w:szCs w:val="32"/>
          <w:shd w:val="clear" w:color="auto" w:fill="FFFFFF"/>
          <w:lang w:val="zh-CN"/>
        </w:rPr>
      </w:pPr>
      <w:r>
        <w:rPr>
          <w:rFonts w:ascii="仿宋_GB2312" w:eastAsia="仿宋_GB2312" w:hint="eastAsia"/>
          <w:b/>
          <w:color w:val="000000"/>
          <w:kern w:val="0"/>
          <w:sz w:val="32"/>
          <w:szCs w:val="32"/>
          <w:shd w:val="clear" w:color="auto" w:fill="FFFFFF"/>
          <w:lang w:val="zh-CN"/>
        </w:rPr>
        <w:t>（一）评价结论</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sz w:val="32"/>
          <w:szCs w:val="32"/>
        </w:rPr>
        <w:t>2022年度，攀枝花市公安局部门在使用财政预算资金保障人员经费和日常公用经费的同时，合理高效使用各级财政下达的项目资金完成年度公安专项工作。总体绩效目标按照年初设定稳步推进实施，各项工作按下“快进键”、跑出“加速度”，实现了综合绩效从全省垫底向全省前列的飞跃，群众安全感满意度指数连续5年上升，平安四川“南大门”作用发挥更加明显，我市成为全省唯一入选“中国最具幸福感城市”的地级市。</w:t>
      </w:r>
    </w:p>
    <w:p w:rsidR="000F7FCC" w:rsidRPr="00C81C4F" w:rsidRDefault="00C81C4F" w:rsidP="00C81C4F">
      <w:pPr>
        <w:widowControl/>
        <w:adjustRightInd w:val="0"/>
        <w:snapToGrid w:val="0"/>
        <w:spacing w:line="580" w:lineRule="exact"/>
        <w:ind w:firstLineChars="200" w:firstLine="643"/>
        <w:contextualSpacing/>
        <w:jc w:val="left"/>
        <w:rPr>
          <w:rFonts w:ascii="仿宋_GB2312" w:eastAsia="仿宋_GB2312"/>
          <w:b/>
          <w:color w:val="000000"/>
          <w:kern w:val="0"/>
          <w:sz w:val="32"/>
          <w:szCs w:val="32"/>
          <w:shd w:val="clear" w:color="auto" w:fill="FFFFFF"/>
          <w:lang w:val="zh-CN"/>
        </w:rPr>
      </w:pPr>
      <w:r>
        <w:rPr>
          <w:rFonts w:ascii="仿宋_GB2312" w:eastAsia="仿宋_GB2312" w:hint="eastAsia"/>
          <w:b/>
          <w:color w:val="000000"/>
          <w:kern w:val="0"/>
          <w:sz w:val="32"/>
          <w:szCs w:val="32"/>
          <w:shd w:val="clear" w:color="auto" w:fill="FFFFFF"/>
          <w:lang w:val="zh-CN"/>
        </w:rPr>
        <w:t>（二）存在问题</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themeColor="text1"/>
          <w:sz w:val="32"/>
          <w:szCs w:val="32"/>
        </w:rPr>
      </w:pPr>
      <w:r w:rsidRPr="00C81C4F">
        <w:rPr>
          <w:rFonts w:ascii="仿宋_GB2312" w:eastAsia="仿宋_GB2312" w:hint="eastAsia"/>
          <w:color w:val="000000" w:themeColor="text1"/>
          <w:sz w:val="32"/>
          <w:szCs w:val="32"/>
        </w:rPr>
        <w:t>1.项目预算批复落实不到位：</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hAnsi="宋体"/>
          <w:sz w:val="32"/>
          <w:szCs w:val="32"/>
          <w:lang w:val="zh-CN"/>
        </w:rPr>
      </w:pPr>
      <w:r w:rsidRPr="00C81C4F">
        <w:rPr>
          <w:rFonts w:ascii="仿宋_GB2312" w:eastAsia="仿宋_GB2312" w:hAnsi="仿宋_GB2312" w:cs="仿宋_GB2312" w:hint="eastAsia"/>
          <w:sz w:val="32"/>
          <w:szCs w:val="32"/>
        </w:rPr>
        <w:t>年初预算的编制与实际需求差距较大，2022年度项目资金预算未纳入年初预算批复。项目经费只能通过年中追加，</w:t>
      </w:r>
      <w:r w:rsidRPr="00C81C4F">
        <w:rPr>
          <w:rFonts w:ascii="仿宋_GB2312" w:eastAsia="仿宋_GB2312" w:hAnsi="华文仿宋" w:cs="宋体-18030" w:hint="eastAsia"/>
          <w:bCs/>
          <w:color w:val="000000" w:themeColor="text1"/>
          <w:sz w:val="32"/>
          <w:szCs w:val="32"/>
        </w:rPr>
        <w:t>造成公安拘押收教场所运转经费保障存在不足，给</w:t>
      </w:r>
      <w:r w:rsidRPr="00C81C4F">
        <w:rPr>
          <w:rFonts w:ascii="仿宋_GB2312" w:eastAsia="仿宋_GB2312" w:hAnsi="宋体" w:hint="eastAsia"/>
          <w:sz w:val="32"/>
          <w:szCs w:val="32"/>
          <w:lang w:val="zh-CN"/>
        </w:rPr>
        <w:t>稳定被监管人员群体专项工作带来压力。</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hAnsi="华文仿宋" w:cs="宋体-18030"/>
          <w:bCs/>
          <w:color w:val="000000" w:themeColor="text1"/>
          <w:sz w:val="32"/>
          <w:szCs w:val="32"/>
        </w:rPr>
      </w:pPr>
      <w:r w:rsidRPr="00C81C4F">
        <w:rPr>
          <w:rFonts w:ascii="仿宋_GB2312" w:eastAsia="仿宋_GB2312" w:hAnsi="华文仿宋" w:cs="宋体-18030" w:hint="eastAsia"/>
          <w:bCs/>
          <w:color w:val="000000" w:themeColor="text1"/>
          <w:sz w:val="32"/>
          <w:szCs w:val="32"/>
        </w:rPr>
        <w:t>2.已下达项目资金实施困难：</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color w:val="000000"/>
          <w:kern w:val="0"/>
          <w:sz w:val="32"/>
          <w:szCs w:val="32"/>
          <w:shd w:val="clear" w:color="auto" w:fill="FFFFFF"/>
          <w:lang w:val="zh-CN"/>
        </w:rPr>
      </w:pPr>
      <w:r w:rsidRPr="00C81C4F">
        <w:rPr>
          <w:rFonts w:ascii="仿宋_GB2312" w:eastAsia="仿宋_GB2312" w:hint="eastAsia"/>
          <w:color w:val="000000"/>
          <w:kern w:val="0"/>
          <w:sz w:val="32"/>
          <w:szCs w:val="32"/>
          <w:shd w:val="clear" w:color="auto" w:fill="FFFFFF"/>
          <w:lang w:val="zh-CN"/>
        </w:rPr>
        <w:lastRenderedPageBreak/>
        <w:t>由于经济持续下行、财政库款紧张，2022年市级财政对项目经费的支出严加控制，年度</w:t>
      </w:r>
      <w:r w:rsidRPr="00C81C4F">
        <w:rPr>
          <w:rFonts w:ascii="仿宋_GB2312" w:eastAsia="仿宋_GB2312" w:hint="eastAsia"/>
          <w:color w:val="000000" w:themeColor="text1"/>
          <w:sz w:val="32"/>
          <w:szCs w:val="32"/>
        </w:rPr>
        <w:t>项目应付未付的款项较多，如拘押收教场所运转相关经费只支付到2022年8月。政法转移支付资金的执行进度也较低，致“公安三四级网”租赁费、DNA法医检验耗材等专项业务处于欠费状态。</w:t>
      </w:r>
    </w:p>
    <w:p w:rsidR="000F7FCC" w:rsidRPr="00C81C4F" w:rsidRDefault="00C81C4F" w:rsidP="00C81C4F">
      <w:pPr>
        <w:widowControl/>
        <w:adjustRightInd w:val="0"/>
        <w:snapToGrid w:val="0"/>
        <w:spacing w:line="580" w:lineRule="exact"/>
        <w:ind w:firstLineChars="200" w:firstLine="643"/>
        <w:contextualSpacing/>
        <w:jc w:val="left"/>
        <w:rPr>
          <w:rFonts w:ascii="仿宋_GB2312" w:eastAsia="仿宋_GB2312"/>
          <w:b/>
          <w:color w:val="000000"/>
          <w:kern w:val="0"/>
          <w:sz w:val="32"/>
          <w:szCs w:val="32"/>
          <w:shd w:val="clear" w:color="auto" w:fill="FFFFFF"/>
          <w:lang w:val="zh-CN"/>
        </w:rPr>
      </w:pPr>
      <w:r>
        <w:rPr>
          <w:rFonts w:ascii="仿宋_GB2312" w:eastAsia="仿宋_GB2312" w:hint="eastAsia"/>
          <w:b/>
          <w:color w:val="000000"/>
          <w:kern w:val="0"/>
          <w:sz w:val="32"/>
          <w:szCs w:val="32"/>
          <w:shd w:val="clear" w:color="auto" w:fill="FFFFFF"/>
          <w:lang w:val="zh-CN"/>
        </w:rPr>
        <w:t>（三）改进建议</w:t>
      </w:r>
    </w:p>
    <w:p w:rsidR="000F7FCC" w:rsidRPr="00C81C4F" w:rsidRDefault="000F7FCC" w:rsidP="00C81C4F">
      <w:pPr>
        <w:widowControl/>
        <w:adjustRightInd w:val="0"/>
        <w:snapToGrid w:val="0"/>
        <w:spacing w:line="580" w:lineRule="exact"/>
        <w:ind w:firstLineChars="200" w:firstLine="640"/>
        <w:contextualSpacing/>
        <w:jc w:val="left"/>
        <w:rPr>
          <w:rFonts w:ascii="仿宋_GB2312" w:eastAsia="仿宋_GB2312"/>
          <w:sz w:val="32"/>
          <w:szCs w:val="32"/>
        </w:rPr>
      </w:pPr>
      <w:r w:rsidRPr="00C81C4F">
        <w:rPr>
          <w:rFonts w:ascii="仿宋_GB2312" w:eastAsia="仿宋_GB2312" w:hAnsi="仿宋_GB2312" w:hint="eastAsia"/>
          <w:sz w:val="32"/>
          <w:szCs w:val="32"/>
          <w:shd w:val="clear" w:color="auto" w:fill="FFFFFF"/>
          <w:lang w:val="zh-CN"/>
        </w:rPr>
        <w:t>针对公安转移支付资金在使用中存在执行率较低的问题，</w:t>
      </w:r>
      <w:r w:rsidRPr="00C81C4F">
        <w:rPr>
          <w:rFonts w:ascii="仿宋_GB2312" w:eastAsia="仿宋_GB2312" w:hAnsi="华文仿宋" w:cs="宋体-18030" w:hint="eastAsia"/>
          <w:sz w:val="32"/>
          <w:szCs w:val="32"/>
        </w:rPr>
        <w:t>希望财政能够加大对政法转移支付资金的支付保障力度，</w:t>
      </w:r>
      <w:r w:rsidRPr="00C81C4F">
        <w:rPr>
          <w:rFonts w:ascii="仿宋_GB2312" w:eastAsia="仿宋_GB2312" w:hint="eastAsia"/>
          <w:sz w:val="32"/>
          <w:szCs w:val="32"/>
        </w:rPr>
        <w:t>切实把有限的资金用在刀刃上、紧要处，为</w:t>
      </w:r>
      <w:r w:rsidRPr="00C81C4F">
        <w:rPr>
          <w:rFonts w:ascii="仿宋_GB2312" w:eastAsia="仿宋_GB2312" w:hAnsi="Calibri" w:hint="eastAsia"/>
          <w:sz w:val="32"/>
          <w:szCs w:val="32"/>
        </w:rPr>
        <w:t>攀枝花建设共同富裕实验区</w:t>
      </w:r>
      <w:r w:rsidRPr="00C81C4F">
        <w:rPr>
          <w:rFonts w:ascii="仿宋_GB2312" w:eastAsia="仿宋_GB2312" w:hint="eastAsia"/>
          <w:sz w:val="32"/>
          <w:szCs w:val="32"/>
        </w:rPr>
        <w:t>创造更加优质的社会治安环境。</w:t>
      </w:r>
    </w:p>
    <w:p w:rsidR="000F7FCC" w:rsidRDefault="000F7FCC" w:rsidP="000F7FCC">
      <w:pPr>
        <w:widowControl/>
        <w:adjustRightInd w:val="0"/>
        <w:snapToGrid w:val="0"/>
        <w:spacing w:line="580" w:lineRule="exact"/>
        <w:ind w:firstLineChars="200" w:firstLine="420"/>
        <w:contextualSpacing/>
        <w:jc w:val="left"/>
        <w:rPr>
          <w:szCs w:val="32"/>
        </w:rPr>
      </w:pPr>
    </w:p>
    <w:p w:rsidR="004565F0" w:rsidRPr="004565F0" w:rsidRDefault="004565F0" w:rsidP="004565F0">
      <w:pPr>
        <w:pStyle w:val="a0"/>
        <w:spacing w:before="93"/>
      </w:pPr>
    </w:p>
    <w:p w:rsidR="009E4DB6" w:rsidRDefault="00EF39C0">
      <w:pPr>
        <w:pStyle w:val="21"/>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lang w:val="zh-CN"/>
        </w:rPr>
        <w:t>附表：</w:t>
      </w:r>
      <w:r>
        <w:rPr>
          <w:rFonts w:eastAsia="仿宋_GB2312" w:hAnsi="仿宋_GB2312" w:cs="仿宋_GB2312" w:hint="eastAsia"/>
          <w:sz w:val="32"/>
        </w:rPr>
        <w:t>部门预算项目支出绩效自评表（2022年度）</w:t>
      </w:r>
      <w:r w:rsidR="00C52575">
        <w:rPr>
          <w:rFonts w:eastAsia="仿宋_GB2312" w:hAnsi="仿宋_GB2312" w:cs="仿宋_GB2312" w:hint="eastAsia"/>
          <w:sz w:val="32"/>
        </w:rPr>
        <w:t>见附件</w:t>
      </w:r>
      <w:r w:rsidR="00C81C4F">
        <w:rPr>
          <w:rFonts w:eastAsia="仿宋_GB2312" w:hAnsi="仿宋_GB2312" w:cs="仿宋_GB2312" w:hint="eastAsia"/>
          <w:sz w:val="32"/>
        </w:rPr>
        <w:t>《</w:t>
      </w:r>
      <w:r w:rsidR="003C70F4">
        <w:rPr>
          <w:rFonts w:eastAsia="仿宋_GB2312" w:hAnsi="仿宋_GB2312" w:cs="仿宋_GB2312" w:hint="eastAsia"/>
          <w:sz w:val="32"/>
        </w:rPr>
        <w:t>2022年度</w:t>
      </w:r>
      <w:r w:rsidR="00C81C4F">
        <w:rPr>
          <w:rFonts w:eastAsia="仿宋_GB2312" w:hAnsi="仿宋_GB2312" w:cs="仿宋_GB2312" w:hint="eastAsia"/>
          <w:sz w:val="32"/>
        </w:rPr>
        <w:t>攀枝花市公安局部门公开预算项目支出绩效自评表》</w:t>
      </w:r>
    </w:p>
    <w:p w:rsidR="009E4DB6" w:rsidRDefault="009E4DB6">
      <w:pPr>
        <w:pStyle w:val="21"/>
        <w:spacing w:line="560" w:lineRule="exact"/>
        <w:ind w:leftChars="0" w:left="0" w:firstLine="640"/>
        <w:rPr>
          <w:rFonts w:eastAsia="仿宋_GB2312" w:hAnsi="Calibri" w:cs="仿宋"/>
          <w:kern w:val="0"/>
          <w:sz w:val="32"/>
        </w:rPr>
      </w:pPr>
    </w:p>
    <w:p w:rsidR="00C81C4F" w:rsidRDefault="00C81C4F">
      <w:pPr>
        <w:pStyle w:val="21"/>
        <w:spacing w:line="560" w:lineRule="exact"/>
        <w:ind w:leftChars="0" w:left="0" w:firstLine="640"/>
        <w:rPr>
          <w:rFonts w:eastAsia="仿宋_GB2312" w:hAnsi="Calibri" w:cs="仿宋"/>
          <w:kern w:val="0"/>
          <w:sz w:val="32"/>
        </w:rPr>
      </w:pPr>
    </w:p>
    <w:p w:rsidR="00C81C4F" w:rsidRDefault="00C81C4F">
      <w:pPr>
        <w:pStyle w:val="21"/>
        <w:spacing w:line="560" w:lineRule="exact"/>
        <w:ind w:leftChars="0" w:left="0" w:firstLine="640"/>
        <w:rPr>
          <w:rFonts w:eastAsia="仿宋_GB2312" w:hAnsi="Calibri" w:cs="仿宋"/>
          <w:kern w:val="0"/>
          <w:sz w:val="32"/>
        </w:rPr>
      </w:pPr>
    </w:p>
    <w:p w:rsidR="00C81C4F" w:rsidRDefault="00C81C4F">
      <w:pPr>
        <w:pStyle w:val="21"/>
        <w:spacing w:line="560" w:lineRule="exact"/>
        <w:ind w:leftChars="0" w:left="0" w:firstLine="640"/>
        <w:rPr>
          <w:rFonts w:eastAsia="仿宋_GB2312" w:hAnsi="Calibri" w:cs="仿宋"/>
          <w:kern w:val="0"/>
          <w:sz w:val="32"/>
        </w:rPr>
      </w:pPr>
    </w:p>
    <w:p w:rsidR="00C81C4F" w:rsidRDefault="00C81C4F">
      <w:pPr>
        <w:pStyle w:val="21"/>
        <w:spacing w:line="560" w:lineRule="exact"/>
        <w:ind w:leftChars="0" w:left="0" w:firstLine="640"/>
        <w:rPr>
          <w:rFonts w:eastAsia="仿宋_GB2312" w:hAnsi="Calibri" w:cs="仿宋"/>
          <w:kern w:val="0"/>
          <w:sz w:val="32"/>
        </w:rPr>
      </w:pPr>
    </w:p>
    <w:p w:rsidR="00C81C4F" w:rsidRDefault="00C81C4F">
      <w:pPr>
        <w:pStyle w:val="21"/>
        <w:spacing w:line="560" w:lineRule="exact"/>
        <w:ind w:leftChars="0" w:left="0" w:firstLine="640"/>
        <w:rPr>
          <w:rFonts w:eastAsia="仿宋_GB2312" w:hAnsi="Calibri" w:cs="仿宋"/>
          <w:kern w:val="0"/>
          <w:sz w:val="32"/>
        </w:rPr>
      </w:pPr>
    </w:p>
    <w:p w:rsidR="00BB664D" w:rsidRDefault="00BB664D">
      <w:pPr>
        <w:pStyle w:val="21"/>
        <w:spacing w:line="560" w:lineRule="exact"/>
        <w:ind w:leftChars="0" w:left="0" w:firstLine="640"/>
        <w:rPr>
          <w:rFonts w:eastAsia="仿宋_GB2312" w:hAnsi="Calibri" w:cs="仿宋"/>
          <w:kern w:val="0"/>
          <w:sz w:val="32"/>
        </w:rPr>
      </w:pPr>
    </w:p>
    <w:p w:rsidR="009E4DB6" w:rsidRDefault="00EF39C0">
      <w:pPr>
        <w:pStyle w:val="a0"/>
        <w:spacing w:before="93"/>
        <w:rPr>
          <w:sz w:val="32"/>
          <w:szCs w:val="32"/>
        </w:rPr>
      </w:pPr>
      <w:r>
        <w:rPr>
          <w:rFonts w:hAnsi="宋体" w:cs="宋体" w:hint="eastAsia"/>
          <w:sz w:val="32"/>
          <w:szCs w:val="32"/>
          <w:shd w:val="clear" w:color="auto" w:fill="FFFFFF"/>
          <w:lang w:val="zh-CN"/>
        </w:rPr>
        <w:lastRenderedPageBreak/>
        <w:t>附件</w:t>
      </w:r>
      <w:r>
        <w:rPr>
          <w:rFonts w:hAnsi="宋体" w:cs="宋体" w:hint="eastAsia"/>
          <w:sz w:val="32"/>
          <w:szCs w:val="32"/>
          <w:shd w:val="clear" w:color="auto" w:fill="FFFFFF"/>
        </w:rPr>
        <w:t>2</w:t>
      </w:r>
    </w:p>
    <w:p w:rsidR="00C81C4F" w:rsidRPr="004565F0" w:rsidRDefault="00C81C4F" w:rsidP="00C81C4F">
      <w:pPr>
        <w:pStyle w:val="ab"/>
        <w:spacing w:before="93" w:line="560" w:lineRule="exact"/>
        <w:jc w:val="center"/>
        <w:rPr>
          <w:rFonts w:ascii="方正小标宋_GBK" w:eastAsia="方正小标宋_GBK" w:hAnsi="宋体"/>
          <w:sz w:val="36"/>
          <w:szCs w:val="36"/>
        </w:rPr>
      </w:pPr>
      <w:r w:rsidRPr="004565F0">
        <w:rPr>
          <w:rFonts w:ascii="方正小标宋_GBK" w:eastAsia="方正小标宋_GBK" w:hAnsi="宋体" w:hint="eastAsia"/>
          <w:sz w:val="36"/>
          <w:szCs w:val="36"/>
        </w:rPr>
        <w:t>攀枝花市公安局不文明养犬专项整治</w:t>
      </w:r>
    </w:p>
    <w:p w:rsidR="00C81C4F" w:rsidRPr="00C81C4F" w:rsidRDefault="00C81C4F" w:rsidP="00C81C4F">
      <w:pPr>
        <w:pStyle w:val="ab"/>
        <w:spacing w:before="93" w:line="560" w:lineRule="exact"/>
        <w:jc w:val="center"/>
        <w:rPr>
          <w:rFonts w:ascii="方正小标宋简体" w:eastAsia="方正小标宋简体" w:hAnsi="宋体"/>
          <w:sz w:val="36"/>
          <w:szCs w:val="36"/>
        </w:rPr>
      </w:pPr>
      <w:r w:rsidRPr="004565F0">
        <w:rPr>
          <w:rFonts w:ascii="方正小标宋_GBK" w:eastAsia="方正小标宋_GBK" w:hAnsi="宋体" w:hint="eastAsia"/>
          <w:sz w:val="36"/>
          <w:szCs w:val="36"/>
        </w:rPr>
        <w:t>（创文专项资金）</w:t>
      </w:r>
      <w:r w:rsidR="004565F0" w:rsidRPr="004565F0">
        <w:rPr>
          <w:rFonts w:ascii="方正小标宋_GBK" w:eastAsia="方正小标宋_GBK" w:hAnsi="宋体" w:hint="eastAsia"/>
          <w:sz w:val="36"/>
          <w:szCs w:val="36"/>
        </w:rPr>
        <w:t>项目</w:t>
      </w:r>
      <w:r w:rsidRPr="004565F0">
        <w:rPr>
          <w:rFonts w:ascii="方正小标宋_GBK" w:eastAsia="方正小标宋_GBK" w:hAnsi="宋体" w:hint="eastAsia"/>
          <w:sz w:val="36"/>
          <w:szCs w:val="36"/>
        </w:rPr>
        <w:t>绩效自评报告</w:t>
      </w:r>
    </w:p>
    <w:p w:rsidR="00C81C4F" w:rsidRDefault="00C81C4F" w:rsidP="00C81C4F">
      <w:pPr>
        <w:pStyle w:val="ab"/>
        <w:spacing w:before="93" w:line="560" w:lineRule="exact"/>
        <w:ind w:firstLine="640"/>
        <w:jc w:val="center"/>
        <w:rPr>
          <w:rFonts w:ascii="宋体" w:hAnsi="宋体"/>
          <w:color w:val="auto"/>
          <w:kern w:val="2"/>
          <w:sz w:val="32"/>
          <w:szCs w:val="32"/>
        </w:rPr>
      </w:pPr>
    </w:p>
    <w:p w:rsidR="00C81C4F" w:rsidRPr="00C81C4F" w:rsidRDefault="00C81C4F" w:rsidP="00C81C4F">
      <w:pPr>
        <w:adjustRightInd w:val="0"/>
        <w:snapToGrid w:val="0"/>
        <w:spacing w:line="560" w:lineRule="exact"/>
        <w:ind w:firstLine="720"/>
        <w:rPr>
          <w:rFonts w:ascii="黑体" w:eastAsia="黑体" w:hAnsi="黑体"/>
          <w:sz w:val="32"/>
          <w:szCs w:val="32"/>
          <w:lang w:val="zh-CN"/>
        </w:rPr>
      </w:pPr>
      <w:r w:rsidRPr="00C81C4F">
        <w:rPr>
          <w:rFonts w:ascii="黑体" w:eastAsia="黑体" w:hAnsi="黑体" w:hint="eastAsia"/>
          <w:sz w:val="32"/>
          <w:szCs w:val="32"/>
        </w:rPr>
        <w:t>一、</w:t>
      </w:r>
      <w:r w:rsidRPr="00C81C4F">
        <w:rPr>
          <w:rFonts w:ascii="黑体" w:eastAsia="黑体" w:hAnsi="黑体" w:hint="eastAsia"/>
          <w:sz w:val="32"/>
          <w:szCs w:val="32"/>
          <w:lang w:val="zh-CN"/>
        </w:rPr>
        <w:t>项目概况</w:t>
      </w:r>
    </w:p>
    <w:p w:rsidR="00C81C4F" w:rsidRPr="00C81C4F" w:rsidRDefault="00C81C4F" w:rsidP="00C81C4F">
      <w:pPr>
        <w:autoSpaceDE w:val="0"/>
        <w:autoSpaceDN w:val="0"/>
        <w:adjustRightInd w:val="0"/>
        <w:spacing w:line="600" w:lineRule="exact"/>
        <w:ind w:firstLineChars="200" w:firstLine="640"/>
        <w:jc w:val="left"/>
        <w:rPr>
          <w:rFonts w:ascii="仿宋_GB2312" w:eastAsia="仿宋_GB2312"/>
          <w:sz w:val="32"/>
          <w:szCs w:val="32"/>
          <w:shd w:val="clear" w:color="auto" w:fill="FFFFFF"/>
        </w:rPr>
      </w:pPr>
      <w:r w:rsidRPr="00C81C4F">
        <w:rPr>
          <w:rFonts w:ascii="仿宋_GB2312" w:eastAsia="仿宋_GB2312" w:hint="eastAsia"/>
          <w:sz w:val="32"/>
          <w:szCs w:val="32"/>
        </w:rPr>
        <w:t>根据国务院办公厅转发公安部等部门《关于进一步加强和改进城市养犬工作意见的通知》（国办发〔2019〕19号）、《攀枝花市创建第七届全国文明城市行动计划(2021—2023)》、《攀枝花市创建全国文明城市指挥部办公室关于修改完善“六大专项治理”和文明劝导工作方案的通知》、《“两大专项治理”领导小组关于印发〈打造创建全国文明城市实地考察示范点位推进交通秩序和限养区不文明养犬专项治理工作方案〉的通知》，</w:t>
      </w:r>
      <w:r w:rsidRPr="00C81C4F">
        <w:rPr>
          <w:rFonts w:ascii="仿宋_GB2312" w:eastAsia="仿宋_GB2312" w:hint="eastAsia"/>
          <w:sz w:val="32"/>
          <w:szCs w:val="32"/>
          <w:shd w:val="clear" w:color="auto" w:fill="FFFFFF"/>
        </w:rPr>
        <w:t>对犬只日常管理、不文明养犬专项整治所需宣传资料、捕犬工具</w:t>
      </w:r>
      <w:r w:rsidRPr="00C81C4F">
        <w:rPr>
          <w:rFonts w:ascii="仿宋_GB2312" w:eastAsia="仿宋_GB2312" w:hint="eastAsia"/>
          <w:sz w:val="32"/>
          <w:szCs w:val="32"/>
        </w:rPr>
        <w:t>等经费进行核算、审核并统筹使用。</w:t>
      </w:r>
    </w:p>
    <w:p w:rsidR="00C81C4F" w:rsidRPr="00C81C4F" w:rsidRDefault="00C81C4F" w:rsidP="00C81C4F">
      <w:pPr>
        <w:adjustRightInd w:val="0"/>
        <w:snapToGrid w:val="0"/>
        <w:spacing w:line="560" w:lineRule="exact"/>
        <w:ind w:firstLine="720"/>
        <w:rPr>
          <w:rFonts w:ascii="仿宋_GB2312" w:eastAsia="仿宋_GB2312" w:hAnsi="宋体"/>
          <w:sz w:val="32"/>
          <w:szCs w:val="32"/>
          <w:lang w:val="zh-CN"/>
        </w:rPr>
      </w:pPr>
      <w:r w:rsidRPr="00C81C4F">
        <w:rPr>
          <w:rFonts w:ascii="仿宋_GB2312" w:eastAsia="仿宋_GB2312" w:hAnsi="宋体" w:hint="eastAsia"/>
          <w:b/>
          <w:sz w:val="32"/>
          <w:szCs w:val="32"/>
          <w:lang w:val="zh-CN"/>
        </w:rPr>
        <w:t>（一）项目资金申报及批复情况。</w:t>
      </w:r>
      <w:r w:rsidRPr="00C81C4F">
        <w:rPr>
          <w:rFonts w:ascii="仿宋_GB2312" w:eastAsia="仿宋_GB2312" w:hAnsi="宋体" w:hint="eastAsia"/>
          <w:sz w:val="32"/>
          <w:szCs w:val="32"/>
          <w:lang w:val="zh-CN"/>
        </w:rPr>
        <w:t>2021申报5万元（未批复），2022年申报5万元，共计</w:t>
      </w:r>
      <w:r w:rsidRPr="00C81C4F">
        <w:rPr>
          <w:rFonts w:ascii="仿宋_GB2312" w:eastAsia="仿宋_GB2312" w:hint="eastAsia"/>
          <w:sz w:val="32"/>
          <w:szCs w:val="32"/>
          <w:shd w:val="clear" w:color="auto" w:fill="FFFFFF"/>
        </w:rPr>
        <w:t>10万元。年初未批复，年中予以了追加，同时追加了2021年申报的5万元资金，</w:t>
      </w:r>
      <w:r w:rsidRPr="00C81C4F">
        <w:rPr>
          <w:rFonts w:ascii="仿宋_GB2312" w:eastAsia="仿宋_GB2312" w:hAnsi="宋体" w:hint="eastAsia"/>
          <w:sz w:val="32"/>
          <w:szCs w:val="32"/>
          <w:lang w:val="zh-CN"/>
        </w:rPr>
        <w:t>符合资金管理办法等相关规定。</w:t>
      </w:r>
    </w:p>
    <w:p w:rsidR="00C81C4F" w:rsidRPr="00C81C4F" w:rsidRDefault="00C81C4F" w:rsidP="00C81C4F">
      <w:pPr>
        <w:ind w:firstLineChars="200" w:firstLine="643"/>
        <w:rPr>
          <w:rFonts w:ascii="仿宋_GB2312" w:eastAsia="仿宋_GB2312"/>
          <w:sz w:val="32"/>
          <w:szCs w:val="32"/>
        </w:rPr>
      </w:pPr>
      <w:r w:rsidRPr="00C81C4F">
        <w:rPr>
          <w:rFonts w:ascii="仿宋_GB2312" w:eastAsia="仿宋_GB2312" w:hAnsi="宋体" w:hint="eastAsia"/>
          <w:b/>
          <w:sz w:val="32"/>
          <w:szCs w:val="32"/>
          <w:lang w:val="zh-CN"/>
        </w:rPr>
        <w:t>（二）项目绩效目标。</w:t>
      </w:r>
      <w:r w:rsidRPr="00C81C4F">
        <w:rPr>
          <w:rFonts w:ascii="仿宋_GB2312" w:eastAsia="仿宋_GB2312" w:hint="eastAsia"/>
          <w:sz w:val="32"/>
          <w:szCs w:val="32"/>
        </w:rPr>
        <w:t>结合我市实际情况，按照宣扬教育、引导劝导与依法处罚相结合的原则，着力解决限养区内养犬不登记、不免疫、遛狗不牵绳、犬绳长度不合规、犬只伤人、犬吠扰民、乱拉排泄物、流浪犬无人管理、违规饲养</w:t>
      </w:r>
      <w:r w:rsidRPr="00C81C4F">
        <w:rPr>
          <w:rFonts w:ascii="仿宋_GB2312" w:eastAsia="仿宋_GB2312" w:hint="eastAsia"/>
          <w:sz w:val="32"/>
          <w:szCs w:val="32"/>
        </w:rPr>
        <w:lastRenderedPageBreak/>
        <w:t>烈性犬和大型犬、病(狂)犬传播疾病、携犬乘坐公共交通工具等人民群众反映突出的不文明养犬问题，建立完善养犬管理工作机制，为群众创造文明和谐的生活环境。</w:t>
      </w:r>
    </w:p>
    <w:p w:rsidR="00C81C4F" w:rsidRPr="00C81C4F" w:rsidRDefault="00C81C4F" w:rsidP="00C81C4F">
      <w:pPr>
        <w:autoSpaceDE w:val="0"/>
        <w:autoSpaceDN w:val="0"/>
        <w:adjustRightInd w:val="0"/>
        <w:spacing w:line="600" w:lineRule="exact"/>
        <w:ind w:firstLineChars="200" w:firstLine="643"/>
        <w:jc w:val="left"/>
        <w:rPr>
          <w:rFonts w:ascii="仿宋_GB2312" w:eastAsia="仿宋_GB2312" w:hAnsi="宋体"/>
          <w:sz w:val="32"/>
          <w:szCs w:val="32"/>
          <w:lang w:val="zh-CN"/>
        </w:rPr>
      </w:pPr>
      <w:r w:rsidRPr="00C81C4F">
        <w:rPr>
          <w:rFonts w:ascii="仿宋_GB2312" w:eastAsia="仿宋_GB2312" w:hAnsi="宋体" w:hint="eastAsia"/>
          <w:b/>
          <w:sz w:val="32"/>
          <w:szCs w:val="32"/>
          <w:lang w:val="zh-CN"/>
        </w:rPr>
        <w:t>（三）项目资金申报相符性。</w:t>
      </w:r>
      <w:r w:rsidRPr="00C81C4F">
        <w:rPr>
          <w:rFonts w:ascii="仿宋_GB2312" w:eastAsia="仿宋_GB2312" w:hAnsi="宋体" w:hint="eastAsia"/>
          <w:sz w:val="32"/>
          <w:szCs w:val="32"/>
          <w:lang w:val="zh-CN"/>
        </w:rPr>
        <w:t>不文明养犬专项整治经费</w:t>
      </w:r>
      <w:r w:rsidRPr="00C81C4F">
        <w:rPr>
          <w:rFonts w:ascii="仿宋_GB2312" w:eastAsia="仿宋_GB2312" w:hint="eastAsia"/>
          <w:kern w:val="0"/>
          <w:sz w:val="32"/>
          <w:szCs w:val="32"/>
        </w:rPr>
        <w:t>全部用于</w:t>
      </w:r>
      <w:r w:rsidRPr="00C81C4F">
        <w:rPr>
          <w:rFonts w:ascii="仿宋_GB2312" w:eastAsia="仿宋_GB2312" w:hint="eastAsia"/>
          <w:sz w:val="32"/>
          <w:szCs w:val="32"/>
          <w:shd w:val="clear" w:color="auto" w:fill="FFFFFF"/>
        </w:rPr>
        <w:t>对限养区不文明养犬专项整治工作的</w:t>
      </w:r>
      <w:r w:rsidRPr="00C81C4F">
        <w:rPr>
          <w:rFonts w:ascii="仿宋_GB2312" w:eastAsia="仿宋_GB2312" w:hint="eastAsia"/>
          <w:sz w:val="32"/>
          <w:szCs w:val="32"/>
        </w:rPr>
        <w:t>保障，使用情况与项目资金申报相符。</w:t>
      </w:r>
    </w:p>
    <w:p w:rsidR="00C81C4F" w:rsidRPr="00C81C4F" w:rsidRDefault="00C81C4F" w:rsidP="00C81C4F">
      <w:pPr>
        <w:adjustRightInd w:val="0"/>
        <w:snapToGrid w:val="0"/>
        <w:spacing w:line="560" w:lineRule="exact"/>
        <w:ind w:firstLine="720"/>
        <w:rPr>
          <w:rFonts w:ascii="黑体" w:eastAsia="黑体" w:hAnsi="黑体"/>
          <w:sz w:val="32"/>
          <w:szCs w:val="32"/>
        </w:rPr>
      </w:pPr>
      <w:r w:rsidRPr="00C81C4F">
        <w:rPr>
          <w:rFonts w:ascii="黑体" w:eastAsia="黑体" w:hAnsi="黑体" w:hint="eastAsia"/>
          <w:sz w:val="32"/>
          <w:szCs w:val="32"/>
        </w:rPr>
        <w:t>二、项目实施及管理情况</w:t>
      </w:r>
    </w:p>
    <w:p w:rsidR="00C81C4F" w:rsidRPr="00C81C4F" w:rsidRDefault="00C81C4F" w:rsidP="00C81C4F">
      <w:pPr>
        <w:adjustRightInd w:val="0"/>
        <w:snapToGrid w:val="0"/>
        <w:spacing w:line="560" w:lineRule="exact"/>
        <w:ind w:firstLine="720"/>
        <w:rPr>
          <w:rFonts w:ascii="仿宋_GB2312" w:eastAsia="仿宋_GB2312" w:hAnsi="宋体"/>
          <w:b/>
          <w:sz w:val="32"/>
          <w:szCs w:val="32"/>
          <w:lang w:val="zh-CN"/>
        </w:rPr>
      </w:pPr>
      <w:r w:rsidRPr="00C81C4F">
        <w:rPr>
          <w:rFonts w:ascii="仿宋_GB2312" w:eastAsia="仿宋_GB2312" w:hAnsi="宋体" w:hint="eastAsia"/>
          <w:sz w:val="32"/>
          <w:szCs w:val="32"/>
          <w:lang w:val="zh-CN"/>
        </w:rPr>
        <w:tab/>
      </w:r>
      <w:r w:rsidRPr="00C81C4F">
        <w:rPr>
          <w:rFonts w:ascii="仿宋_GB2312" w:eastAsia="仿宋_GB2312" w:hAnsi="宋体" w:hint="eastAsia"/>
          <w:b/>
          <w:sz w:val="32"/>
          <w:szCs w:val="32"/>
          <w:lang w:val="zh-CN"/>
        </w:rPr>
        <w:t>（一）资金计划、到位及使用情况。</w:t>
      </w:r>
    </w:p>
    <w:p w:rsidR="00C81C4F" w:rsidRPr="00C81C4F" w:rsidRDefault="00C81C4F" w:rsidP="00C81C4F">
      <w:pPr>
        <w:adjustRightInd w:val="0"/>
        <w:snapToGrid w:val="0"/>
        <w:spacing w:line="560" w:lineRule="exact"/>
        <w:ind w:firstLine="720"/>
        <w:rPr>
          <w:rFonts w:ascii="仿宋_GB2312" w:eastAsia="仿宋_GB2312" w:hAnsi="宋体"/>
          <w:sz w:val="32"/>
          <w:szCs w:val="32"/>
          <w:lang w:val="zh-CN"/>
        </w:rPr>
      </w:pPr>
      <w:r w:rsidRPr="00C81C4F">
        <w:rPr>
          <w:rFonts w:ascii="仿宋_GB2312" w:eastAsia="仿宋_GB2312" w:hAnsi="宋体" w:hint="eastAsia"/>
          <w:sz w:val="32"/>
          <w:szCs w:val="32"/>
          <w:lang w:val="zh-CN"/>
        </w:rPr>
        <w:t>1．资金计划及到位。</w:t>
      </w:r>
      <w:r w:rsidRPr="00C81C4F">
        <w:rPr>
          <w:rFonts w:ascii="仿宋_GB2312" w:eastAsia="仿宋_GB2312" w:hint="eastAsia"/>
          <w:kern w:val="0"/>
          <w:sz w:val="32"/>
          <w:szCs w:val="32"/>
        </w:rPr>
        <w:t>不文明养犬专项整治经费申报10万元、全年使用金额10万元均由市本级财政保障拨付，</w:t>
      </w:r>
      <w:r w:rsidRPr="00C81C4F">
        <w:rPr>
          <w:rFonts w:ascii="仿宋_GB2312" w:eastAsia="仿宋_GB2312" w:hAnsi="宋体" w:hint="eastAsia"/>
          <w:sz w:val="32"/>
          <w:szCs w:val="32"/>
          <w:lang w:val="zh-CN"/>
        </w:rPr>
        <w:t>资金到位率100%，经费一次性及时到位。</w:t>
      </w:r>
    </w:p>
    <w:p w:rsidR="00C81C4F" w:rsidRPr="00C81C4F" w:rsidRDefault="00C81C4F" w:rsidP="00C81C4F">
      <w:pPr>
        <w:autoSpaceDE w:val="0"/>
        <w:autoSpaceDN w:val="0"/>
        <w:adjustRightInd w:val="0"/>
        <w:spacing w:line="600" w:lineRule="exact"/>
        <w:ind w:firstLineChars="200" w:firstLine="640"/>
        <w:jc w:val="left"/>
        <w:rPr>
          <w:rFonts w:ascii="仿宋_GB2312" w:eastAsia="仿宋_GB2312"/>
          <w:kern w:val="0"/>
          <w:sz w:val="32"/>
          <w:szCs w:val="32"/>
        </w:rPr>
      </w:pPr>
      <w:r w:rsidRPr="00C81C4F">
        <w:rPr>
          <w:rFonts w:ascii="仿宋_GB2312" w:eastAsia="仿宋_GB2312" w:hAnsi="宋体" w:hint="eastAsia"/>
          <w:sz w:val="32"/>
          <w:szCs w:val="32"/>
          <w:lang w:val="zh-CN"/>
        </w:rPr>
        <w:t>2.资金使用。</w:t>
      </w:r>
      <w:r w:rsidRPr="00C81C4F">
        <w:rPr>
          <w:rFonts w:ascii="仿宋_GB2312" w:eastAsia="仿宋_GB2312" w:hint="eastAsia"/>
          <w:kern w:val="0"/>
          <w:sz w:val="32"/>
          <w:szCs w:val="32"/>
        </w:rPr>
        <w:t>用于印制犬只宣传资料【制作标准：A4页宣传册6000张（0.57元／张），A3张贴通报6000张（0.46／张），A3宣传海报6000张（0.48／张），A4页宣传单202000张（0.14元／张））；购买捕犬工具（制作标准：捕狗网兜67个（260元/个），防咬手套34双（160元/双），捕狗钳14个（110元/个），保定器18个（120元/个），不锈钢犬笼18个（1100元/个）】，</w:t>
      </w:r>
      <w:r w:rsidRPr="00C81C4F">
        <w:rPr>
          <w:rFonts w:ascii="仿宋_GB2312" w:eastAsia="仿宋_GB2312" w:hint="eastAsia"/>
          <w:sz w:val="32"/>
          <w:szCs w:val="32"/>
        </w:rPr>
        <w:t>2022年全年共计使用10万</w:t>
      </w:r>
      <w:r w:rsidRPr="00C81C4F">
        <w:rPr>
          <w:rFonts w:ascii="仿宋_GB2312" w:eastAsia="仿宋_GB2312" w:hint="eastAsia"/>
          <w:kern w:val="0"/>
          <w:sz w:val="32"/>
          <w:szCs w:val="32"/>
        </w:rPr>
        <w:t>元。</w:t>
      </w:r>
    </w:p>
    <w:p w:rsidR="00C81C4F" w:rsidRPr="00C81C4F" w:rsidRDefault="00C81C4F" w:rsidP="00C81C4F">
      <w:pPr>
        <w:adjustRightInd w:val="0"/>
        <w:snapToGrid w:val="0"/>
        <w:spacing w:line="560" w:lineRule="exact"/>
        <w:ind w:firstLine="720"/>
        <w:rPr>
          <w:rFonts w:ascii="仿宋_GB2312" w:eastAsia="仿宋_GB2312" w:hAnsi="宋体"/>
          <w:b/>
          <w:sz w:val="32"/>
          <w:szCs w:val="32"/>
          <w:lang w:val="zh-CN"/>
        </w:rPr>
      </w:pPr>
      <w:r w:rsidRPr="00C81C4F">
        <w:rPr>
          <w:rFonts w:ascii="仿宋_GB2312" w:eastAsia="仿宋_GB2312" w:hAnsi="宋体" w:hint="eastAsia"/>
          <w:b/>
          <w:sz w:val="32"/>
          <w:szCs w:val="32"/>
          <w:lang w:val="zh-CN"/>
        </w:rPr>
        <w:t>（二）项目财务管理情况。</w:t>
      </w:r>
    </w:p>
    <w:p w:rsidR="00C81C4F" w:rsidRPr="00C81C4F" w:rsidRDefault="00C81C4F" w:rsidP="00C81C4F">
      <w:pPr>
        <w:adjustRightInd w:val="0"/>
        <w:snapToGrid w:val="0"/>
        <w:spacing w:line="560" w:lineRule="exact"/>
        <w:ind w:firstLine="720"/>
        <w:rPr>
          <w:rFonts w:ascii="仿宋_GB2312" w:eastAsia="仿宋_GB2312" w:hAnsi="宋体"/>
          <w:sz w:val="32"/>
          <w:szCs w:val="32"/>
          <w:lang w:val="zh-CN"/>
        </w:rPr>
      </w:pPr>
      <w:r w:rsidRPr="00C81C4F">
        <w:rPr>
          <w:rFonts w:ascii="仿宋_GB2312" w:eastAsia="仿宋_GB2312" w:hAnsi="宋体" w:hint="eastAsia"/>
          <w:sz w:val="32"/>
          <w:szCs w:val="32"/>
          <w:lang w:val="zh-CN"/>
        </w:rPr>
        <w:t>开展不文明养犬专项整治经费由市局治安管理支队进行支出核算并按程序审批后，由市局警保科按规定进行支付。</w:t>
      </w:r>
    </w:p>
    <w:p w:rsidR="00C81C4F" w:rsidRPr="00C81C4F" w:rsidRDefault="00C81C4F" w:rsidP="00C81C4F">
      <w:pPr>
        <w:adjustRightInd w:val="0"/>
        <w:snapToGrid w:val="0"/>
        <w:spacing w:line="560" w:lineRule="exact"/>
        <w:ind w:firstLine="720"/>
        <w:rPr>
          <w:rFonts w:ascii="仿宋_GB2312" w:eastAsia="仿宋_GB2312" w:hAnsi="宋体"/>
          <w:b/>
          <w:sz w:val="32"/>
          <w:szCs w:val="32"/>
          <w:lang w:val="zh-CN"/>
        </w:rPr>
      </w:pPr>
      <w:r w:rsidRPr="00C81C4F">
        <w:rPr>
          <w:rFonts w:ascii="仿宋_GB2312" w:eastAsia="仿宋_GB2312" w:hAnsi="宋体" w:hint="eastAsia"/>
          <w:b/>
          <w:sz w:val="32"/>
          <w:szCs w:val="32"/>
          <w:lang w:val="zh-CN"/>
        </w:rPr>
        <w:t>（三）项目组织实施情况。</w:t>
      </w:r>
    </w:p>
    <w:p w:rsidR="00C81C4F" w:rsidRPr="00C81C4F" w:rsidRDefault="00C81C4F" w:rsidP="00C81C4F">
      <w:pPr>
        <w:adjustRightInd w:val="0"/>
        <w:snapToGrid w:val="0"/>
        <w:spacing w:line="560" w:lineRule="exact"/>
        <w:ind w:firstLine="720"/>
        <w:rPr>
          <w:rFonts w:ascii="仿宋_GB2312" w:eastAsia="仿宋_GB2312" w:hAnsi="宋体"/>
          <w:sz w:val="32"/>
          <w:szCs w:val="32"/>
          <w:lang w:val="zh-CN"/>
        </w:rPr>
      </w:pPr>
      <w:r w:rsidRPr="00C81C4F">
        <w:rPr>
          <w:rFonts w:ascii="仿宋_GB2312" w:eastAsia="仿宋_GB2312" w:hAnsi="宋体" w:hint="eastAsia"/>
          <w:sz w:val="32"/>
          <w:szCs w:val="32"/>
          <w:lang w:val="zh-CN"/>
        </w:rPr>
        <w:t>开展不文明养犬专项整治经费项目实施中，根据实际情</w:t>
      </w:r>
      <w:r w:rsidRPr="00C81C4F">
        <w:rPr>
          <w:rFonts w:ascii="仿宋_GB2312" w:eastAsia="仿宋_GB2312" w:hAnsi="宋体" w:hint="eastAsia"/>
          <w:sz w:val="32"/>
          <w:szCs w:val="32"/>
          <w:lang w:val="zh-CN"/>
        </w:rPr>
        <w:lastRenderedPageBreak/>
        <w:t>况需支付费用时均逐级申报并由局领导完成审签，符合单位内控制度要求。</w:t>
      </w:r>
    </w:p>
    <w:p w:rsidR="00C81C4F" w:rsidRPr="00C81C4F" w:rsidRDefault="00C81C4F" w:rsidP="00C81C4F">
      <w:pPr>
        <w:adjustRightInd w:val="0"/>
        <w:snapToGrid w:val="0"/>
        <w:spacing w:line="560" w:lineRule="exact"/>
        <w:ind w:firstLine="720"/>
        <w:rPr>
          <w:rFonts w:ascii="黑体" w:eastAsia="黑体" w:hAnsi="黑体"/>
          <w:sz w:val="32"/>
          <w:szCs w:val="32"/>
          <w:lang w:val="zh-CN"/>
        </w:rPr>
      </w:pPr>
      <w:r w:rsidRPr="00C81C4F">
        <w:rPr>
          <w:rFonts w:ascii="黑体" w:eastAsia="黑体" w:hAnsi="黑体" w:hint="eastAsia"/>
          <w:sz w:val="32"/>
          <w:szCs w:val="32"/>
        </w:rPr>
        <w:t>三、项目绩效情况</w:t>
      </w:r>
      <w:r w:rsidRPr="00C81C4F">
        <w:rPr>
          <w:rFonts w:ascii="黑体" w:eastAsia="黑体" w:hAnsi="黑体" w:hint="eastAsia"/>
          <w:sz w:val="32"/>
          <w:szCs w:val="32"/>
          <w:lang w:val="zh-CN"/>
        </w:rPr>
        <w:tab/>
      </w:r>
    </w:p>
    <w:p w:rsidR="00C81C4F" w:rsidRPr="00C81C4F" w:rsidRDefault="00C81C4F" w:rsidP="00C81C4F">
      <w:pPr>
        <w:adjustRightInd w:val="0"/>
        <w:snapToGrid w:val="0"/>
        <w:spacing w:line="560" w:lineRule="exact"/>
        <w:ind w:firstLine="720"/>
        <w:rPr>
          <w:rFonts w:ascii="仿宋_GB2312" w:eastAsia="仿宋_GB2312" w:hAnsi="宋体"/>
          <w:b/>
          <w:sz w:val="32"/>
          <w:szCs w:val="32"/>
          <w:lang w:val="zh-CN"/>
        </w:rPr>
      </w:pPr>
      <w:r w:rsidRPr="00C81C4F">
        <w:rPr>
          <w:rFonts w:ascii="仿宋_GB2312" w:eastAsia="仿宋_GB2312" w:hAnsi="宋体" w:hint="eastAsia"/>
          <w:b/>
          <w:sz w:val="32"/>
          <w:szCs w:val="32"/>
          <w:lang w:val="zh-CN"/>
        </w:rPr>
        <w:t>（一）项目完成情况。</w:t>
      </w:r>
    </w:p>
    <w:p w:rsidR="00C81C4F" w:rsidRPr="00C81C4F" w:rsidRDefault="00C81C4F" w:rsidP="00C81C4F">
      <w:pPr>
        <w:spacing w:line="600" w:lineRule="exact"/>
        <w:ind w:firstLineChars="200" w:firstLine="640"/>
        <w:jc w:val="left"/>
        <w:rPr>
          <w:rFonts w:ascii="仿宋_GB2312" w:eastAsia="仿宋_GB2312"/>
          <w:sz w:val="32"/>
          <w:szCs w:val="32"/>
          <w:shd w:val="clear" w:color="auto" w:fill="FFFFFF"/>
        </w:rPr>
      </w:pPr>
      <w:r w:rsidRPr="00C81C4F">
        <w:rPr>
          <w:rFonts w:ascii="仿宋_GB2312" w:eastAsia="仿宋_GB2312" w:hint="eastAsia"/>
          <w:kern w:val="0"/>
          <w:sz w:val="32"/>
          <w:szCs w:val="32"/>
        </w:rPr>
        <w:t>2022年开展不文明养犬专项整治工作中所需经费全部用印制犬只宣传资料及购买捕犬工具，切实保障了我市创文工作的扎实推进。</w:t>
      </w:r>
    </w:p>
    <w:p w:rsidR="00C81C4F" w:rsidRPr="00C81C4F" w:rsidRDefault="00C81C4F" w:rsidP="00C81C4F">
      <w:pPr>
        <w:autoSpaceDE w:val="0"/>
        <w:autoSpaceDN w:val="0"/>
        <w:adjustRightInd w:val="0"/>
        <w:spacing w:line="600" w:lineRule="exact"/>
        <w:ind w:firstLineChars="200" w:firstLine="643"/>
        <w:jc w:val="left"/>
        <w:rPr>
          <w:rFonts w:ascii="仿宋_GB2312" w:eastAsia="仿宋_GB2312"/>
          <w:kern w:val="0"/>
          <w:sz w:val="32"/>
          <w:szCs w:val="32"/>
        </w:rPr>
      </w:pPr>
      <w:r w:rsidRPr="00C81C4F">
        <w:rPr>
          <w:rFonts w:ascii="仿宋_GB2312" w:eastAsia="仿宋_GB2312" w:hAnsi="宋体" w:hint="eastAsia"/>
          <w:b/>
          <w:sz w:val="32"/>
          <w:szCs w:val="32"/>
          <w:lang w:val="zh-CN"/>
        </w:rPr>
        <w:t>（二）项目效益情况。</w:t>
      </w:r>
      <w:r w:rsidRPr="00C81C4F">
        <w:rPr>
          <w:rFonts w:ascii="仿宋_GB2312" w:eastAsia="仿宋_GB2312" w:hint="eastAsia"/>
          <w:kern w:val="0"/>
          <w:sz w:val="32"/>
          <w:szCs w:val="32"/>
        </w:rPr>
        <w:t>通过开展</w:t>
      </w:r>
      <w:r w:rsidRPr="00C81C4F">
        <w:rPr>
          <w:rFonts w:ascii="仿宋_GB2312" w:eastAsia="仿宋_GB2312" w:hint="eastAsia"/>
          <w:bCs/>
          <w:kern w:val="0"/>
          <w:sz w:val="32"/>
          <w:szCs w:val="32"/>
        </w:rPr>
        <w:t>限养区不文明养犬专项治理工作</w:t>
      </w:r>
      <w:r w:rsidRPr="00C81C4F">
        <w:rPr>
          <w:rFonts w:ascii="仿宋_GB2312" w:eastAsia="仿宋_GB2312" w:hint="eastAsia"/>
          <w:kern w:val="0"/>
          <w:sz w:val="32"/>
          <w:szCs w:val="32"/>
        </w:rPr>
        <w:t>，严格犬只管理，纠正劝导不文明养犬行为，清理处置无主犬、流浪犬，实现街面流浪犬明显减少，居民文明养犬意识增强，群众安全感满意度提升的目标，为公众创造良好文明的生活环境，助推我市创建全国文明城市工作。</w:t>
      </w:r>
    </w:p>
    <w:p w:rsidR="00C81C4F" w:rsidRPr="00C81C4F" w:rsidRDefault="00C81C4F" w:rsidP="00C81C4F">
      <w:pPr>
        <w:autoSpaceDE w:val="0"/>
        <w:autoSpaceDN w:val="0"/>
        <w:adjustRightInd w:val="0"/>
        <w:spacing w:line="600" w:lineRule="exact"/>
        <w:ind w:firstLineChars="200" w:firstLine="640"/>
        <w:jc w:val="left"/>
        <w:rPr>
          <w:rFonts w:ascii="黑体" w:eastAsia="黑体" w:hAnsi="黑体"/>
          <w:sz w:val="32"/>
          <w:szCs w:val="32"/>
        </w:rPr>
      </w:pPr>
      <w:r w:rsidRPr="00C81C4F">
        <w:rPr>
          <w:rFonts w:ascii="黑体" w:eastAsia="黑体" w:hAnsi="黑体" w:hint="eastAsia"/>
          <w:sz w:val="32"/>
          <w:szCs w:val="32"/>
        </w:rPr>
        <w:t>四、问题及建议</w:t>
      </w:r>
    </w:p>
    <w:p w:rsidR="00C81C4F" w:rsidRPr="00C81C4F" w:rsidRDefault="00C81C4F" w:rsidP="00C81C4F">
      <w:pPr>
        <w:autoSpaceDE w:val="0"/>
        <w:autoSpaceDN w:val="0"/>
        <w:adjustRightInd w:val="0"/>
        <w:spacing w:line="600" w:lineRule="exact"/>
        <w:ind w:firstLineChars="200" w:firstLine="643"/>
        <w:jc w:val="left"/>
        <w:rPr>
          <w:rFonts w:ascii="仿宋_GB2312" w:eastAsia="仿宋_GB2312"/>
          <w:kern w:val="0"/>
          <w:sz w:val="32"/>
          <w:szCs w:val="32"/>
        </w:rPr>
      </w:pPr>
      <w:r w:rsidRPr="00C81C4F">
        <w:rPr>
          <w:rFonts w:ascii="仿宋_GB2312" w:eastAsia="仿宋_GB2312" w:hAnsi="宋体" w:hint="eastAsia"/>
          <w:b/>
          <w:sz w:val="32"/>
          <w:szCs w:val="32"/>
          <w:lang w:val="zh-CN"/>
        </w:rPr>
        <w:t>（一）存在的问题。</w:t>
      </w:r>
      <w:r w:rsidRPr="00C81C4F">
        <w:rPr>
          <w:rFonts w:ascii="仿宋_GB2312" w:eastAsia="仿宋_GB2312" w:hAnsi="宋体" w:hint="eastAsia"/>
          <w:sz w:val="32"/>
          <w:szCs w:val="32"/>
          <w:lang w:val="zh-CN"/>
        </w:rPr>
        <w:t>目前</w:t>
      </w:r>
      <w:r w:rsidRPr="00C81C4F">
        <w:rPr>
          <w:rFonts w:ascii="仿宋_GB2312" w:eastAsia="仿宋_GB2312" w:hint="eastAsia"/>
          <w:kern w:val="0"/>
          <w:sz w:val="32"/>
          <w:szCs w:val="32"/>
        </w:rPr>
        <w:t>犬只的管理工作是由公安机关作为牵头单位，而遛狗不牵绳、流浪犬的问题是犬只管理中的“老大难”，这就需要不断加大对文明养犬的宣传及对流浪犬只的捕捉，但在这方面则无专项经费保障，导致工作整治效果不明显、整治力度不大，群众意识不强。</w:t>
      </w:r>
    </w:p>
    <w:p w:rsidR="00C81C4F" w:rsidRPr="00C81C4F" w:rsidRDefault="00C81C4F" w:rsidP="00C81C4F">
      <w:pPr>
        <w:autoSpaceDE w:val="0"/>
        <w:autoSpaceDN w:val="0"/>
        <w:adjustRightInd w:val="0"/>
        <w:spacing w:line="600" w:lineRule="exact"/>
        <w:ind w:firstLineChars="200" w:firstLine="643"/>
        <w:jc w:val="left"/>
        <w:rPr>
          <w:rFonts w:ascii="仿宋_GB2312" w:eastAsia="仿宋_GB2312"/>
          <w:color w:val="000000"/>
          <w:kern w:val="0"/>
          <w:sz w:val="32"/>
          <w:szCs w:val="32"/>
          <w:shd w:val="clear" w:color="auto" w:fill="FFFFFF"/>
          <w:lang w:val="zh-CN"/>
        </w:rPr>
      </w:pPr>
      <w:r w:rsidRPr="00C81C4F">
        <w:rPr>
          <w:rFonts w:ascii="仿宋_GB2312" w:eastAsia="仿宋_GB2312" w:hAnsi="宋体" w:hint="eastAsia"/>
          <w:b/>
          <w:sz w:val="32"/>
          <w:szCs w:val="32"/>
          <w:lang w:val="zh-CN"/>
        </w:rPr>
        <w:t>（二）相关建议。</w:t>
      </w:r>
      <w:r w:rsidRPr="00C81C4F">
        <w:rPr>
          <w:rFonts w:ascii="仿宋_GB2312" w:eastAsia="仿宋_GB2312" w:hint="eastAsia"/>
          <w:kern w:val="0"/>
          <w:sz w:val="32"/>
          <w:szCs w:val="32"/>
        </w:rPr>
        <w:t>按照《四川省犬类限养区犬只管理规定（试行）》、《四川省预防控制狂犬病条例》、《中华人民共和国动物防疫法》的相关规定，为切实加强对限养区的犬只管理，保障人民群众的安全感，为公众创造良好的生活环境，建议每年拨付一定资金保障犬只管理工作的顺利开展。</w:t>
      </w:r>
    </w:p>
    <w:p w:rsidR="003C70F4" w:rsidRPr="004565F0" w:rsidRDefault="00EF39C0" w:rsidP="003C70F4">
      <w:pPr>
        <w:pStyle w:val="ab"/>
        <w:spacing w:line="560" w:lineRule="exact"/>
        <w:ind w:left="420"/>
        <w:jc w:val="center"/>
        <w:rPr>
          <w:rFonts w:ascii="方正小标宋_GBK" w:eastAsia="方正小标宋_GBK" w:hAnsi="仿宋"/>
          <w:bCs/>
          <w:kern w:val="44"/>
          <w:sz w:val="36"/>
          <w:szCs w:val="36"/>
        </w:rPr>
      </w:pPr>
      <w:r w:rsidRPr="00C81C4F">
        <w:rPr>
          <w:rStyle w:val="1Char"/>
          <w:rFonts w:ascii="仿宋_GB2312" w:eastAsia="仿宋_GB2312" w:hAnsi="黑体" w:hint="eastAsia"/>
          <w:b w:val="0"/>
          <w:sz w:val="32"/>
          <w:szCs w:val="32"/>
        </w:rPr>
        <w:br w:type="page"/>
      </w:r>
      <w:r w:rsidR="003C70F4" w:rsidRPr="004565F0">
        <w:rPr>
          <w:rFonts w:ascii="方正小标宋_GBK" w:eastAsia="方正小标宋_GBK" w:hAnsi="仿宋" w:hint="eastAsia"/>
          <w:sz w:val="36"/>
          <w:szCs w:val="36"/>
          <w:lang w:val="en-US"/>
        </w:rPr>
        <w:lastRenderedPageBreak/>
        <w:t>攀枝花市公安局仁和区分局</w:t>
      </w:r>
    </w:p>
    <w:p w:rsidR="003C70F4" w:rsidRPr="004565F0" w:rsidRDefault="003C70F4" w:rsidP="004565F0">
      <w:pPr>
        <w:pStyle w:val="ab"/>
        <w:spacing w:line="560" w:lineRule="exact"/>
        <w:ind w:firstLineChars="448" w:firstLine="1613"/>
        <w:rPr>
          <w:rFonts w:ascii="仿宋_GB2312" w:eastAsia="仿宋_GB2312" w:hAnsi="宋体"/>
          <w:color w:val="auto"/>
          <w:kern w:val="2"/>
          <w:sz w:val="36"/>
          <w:szCs w:val="36"/>
        </w:rPr>
      </w:pPr>
      <w:r w:rsidRPr="004565F0">
        <w:rPr>
          <w:rFonts w:ascii="方正小标宋_GBK" w:eastAsia="方正小标宋_GBK" w:hAnsi="仿宋" w:hint="eastAsia"/>
          <w:sz w:val="36"/>
          <w:szCs w:val="36"/>
          <w:lang w:val="en-US"/>
        </w:rPr>
        <w:t>2022年</w:t>
      </w:r>
      <w:r w:rsidRPr="004565F0">
        <w:rPr>
          <w:rFonts w:ascii="方正小标宋_GBK" w:eastAsia="方正小标宋_GBK" w:hAnsi="仿宋" w:hint="eastAsia"/>
          <w:sz w:val="36"/>
          <w:szCs w:val="36"/>
        </w:rPr>
        <w:t>辅警经费</w:t>
      </w:r>
      <w:r w:rsidR="004565F0" w:rsidRPr="004565F0">
        <w:rPr>
          <w:rFonts w:ascii="方正小标宋_GBK" w:eastAsia="方正小标宋_GBK" w:hAnsi="仿宋" w:hint="eastAsia"/>
          <w:sz w:val="36"/>
          <w:szCs w:val="36"/>
        </w:rPr>
        <w:t>项目</w:t>
      </w:r>
      <w:r w:rsidRPr="004565F0">
        <w:rPr>
          <w:rFonts w:ascii="方正小标宋_GBK" w:eastAsia="方正小标宋_GBK" w:hAnsi="仿宋" w:hint="eastAsia"/>
          <w:sz w:val="36"/>
          <w:szCs w:val="36"/>
        </w:rPr>
        <w:t>绩效自评报告</w:t>
      </w:r>
    </w:p>
    <w:p w:rsidR="003C70F4" w:rsidRDefault="003C70F4" w:rsidP="003C70F4">
      <w:pPr>
        <w:pStyle w:val="ab"/>
        <w:spacing w:line="560" w:lineRule="exact"/>
        <w:ind w:left="420" w:firstLine="640"/>
        <w:jc w:val="center"/>
        <w:rPr>
          <w:rFonts w:ascii="宋体" w:hAnsi="宋体"/>
          <w:color w:val="auto"/>
          <w:kern w:val="2"/>
          <w:sz w:val="32"/>
          <w:szCs w:val="32"/>
        </w:rPr>
      </w:pPr>
    </w:p>
    <w:p w:rsidR="003C70F4" w:rsidRPr="003C70F4" w:rsidRDefault="003C70F4" w:rsidP="003C70F4">
      <w:pPr>
        <w:adjustRightInd w:val="0"/>
        <w:snapToGrid w:val="0"/>
        <w:spacing w:line="560" w:lineRule="exact"/>
        <w:ind w:firstLine="720"/>
        <w:rPr>
          <w:rFonts w:ascii="黑体" w:eastAsia="黑体" w:hAnsi="黑体"/>
          <w:sz w:val="32"/>
          <w:szCs w:val="32"/>
          <w:lang w:val="zh-CN"/>
        </w:rPr>
      </w:pPr>
      <w:r w:rsidRPr="003C70F4">
        <w:rPr>
          <w:rFonts w:ascii="黑体" w:eastAsia="黑体" w:hAnsi="黑体" w:hint="eastAsia"/>
          <w:sz w:val="32"/>
          <w:szCs w:val="32"/>
        </w:rPr>
        <w:t>一、</w:t>
      </w:r>
      <w:r w:rsidRPr="003C70F4">
        <w:rPr>
          <w:rFonts w:ascii="黑体" w:eastAsia="黑体" w:hAnsi="黑体" w:hint="eastAsia"/>
          <w:sz w:val="32"/>
          <w:szCs w:val="32"/>
          <w:lang w:val="zh-CN"/>
        </w:rPr>
        <w:t>项目概况</w:t>
      </w:r>
    </w:p>
    <w:p w:rsidR="003C70F4" w:rsidRPr="003C70F4" w:rsidRDefault="003C70F4" w:rsidP="003C70F4">
      <w:pPr>
        <w:numPr>
          <w:ilvl w:val="0"/>
          <w:numId w:val="9"/>
        </w:num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b/>
          <w:sz w:val="32"/>
          <w:szCs w:val="32"/>
          <w:lang w:val="zh-CN"/>
        </w:rPr>
        <w:t>项目资金申报及批复情况。</w:t>
      </w:r>
    </w:p>
    <w:p w:rsidR="003C70F4" w:rsidRPr="003C70F4" w:rsidRDefault="003C70F4" w:rsidP="003C70F4">
      <w:pPr>
        <w:adjustRightInd w:val="0"/>
        <w:snapToGrid w:val="0"/>
        <w:spacing w:line="520" w:lineRule="exact"/>
        <w:ind w:firstLineChars="200" w:firstLine="640"/>
        <w:rPr>
          <w:rFonts w:ascii="仿宋_GB2312" w:eastAsia="仿宋_GB2312" w:hAnsi="宋体"/>
          <w:sz w:val="32"/>
          <w:szCs w:val="32"/>
          <w:lang w:val="zh-CN"/>
        </w:rPr>
      </w:pPr>
      <w:r w:rsidRPr="003C70F4">
        <w:rPr>
          <w:rFonts w:ascii="仿宋_GB2312" w:eastAsia="仿宋_GB2312" w:hAnsi="宋体" w:hint="eastAsia"/>
          <w:sz w:val="32"/>
          <w:szCs w:val="32"/>
        </w:rPr>
        <w:t>按攀枝花市人民政府办公室《关于规范公安机关警务辅助人员管理工作的实施意见》精神，结合平安仁和建设、推进依法治区和仁和公安改革工作实际，积极开展辅警改革工作，建立健全警务辅助人员管理体制，明确辅警岗位职责、提升公安公共安全服务的能力水平。</w:t>
      </w:r>
      <w:r w:rsidRPr="003C70F4">
        <w:rPr>
          <w:rFonts w:ascii="仿宋_GB2312" w:eastAsia="仿宋_GB2312" w:hint="eastAsia"/>
          <w:sz w:val="32"/>
          <w:szCs w:val="32"/>
        </w:rPr>
        <w:t>我局收到项目资金申报内容后向仁和区财政局及时申报了该项资金，后由区财政按文件要求下达批复我局，</w:t>
      </w:r>
      <w:r w:rsidRPr="003C70F4">
        <w:rPr>
          <w:rFonts w:ascii="仿宋_GB2312" w:eastAsia="仿宋_GB2312" w:hAnsi="宋体" w:hint="eastAsia"/>
          <w:sz w:val="32"/>
          <w:szCs w:val="32"/>
          <w:lang w:val="zh-CN"/>
        </w:rPr>
        <w:t>项目资金申报、批复等符合资金管理办法等相关规定。</w:t>
      </w:r>
    </w:p>
    <w:p w:rsidR="003C70F4" w:rsidRPr="003C70F4" w:rsidRDefault="003C70F4" w:rsidP="003C70F4">
      <w:pPr>
        <w:numPr>
          <w:ilvl w:val="0"/>
          <w:numId w:val="9"/>
        </w:num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b/>
          <w:sz w:val="32"/>
          <w:szCs w:val="32"/>
          <w:lang w:val="zh-CN"/>
        </w:rPr>
        <w:t>项目绩效目标。</w:t>
      </w:r>
    </w:p>
    <w:p w:rsidR="003C70F4" w:rsidRPr="003C70F4" w:rsidRDefault="003C70F4" w:rsidP="003C70F4">
      <w:pPr>
        <w:adjustRightInd w:val="0"/>
        <w:snapToGrid w:val="0"/>
        <w:spacing w:line="520" w:lineRule="exact"/>
        <w:ind w:firstLineChars="200" w:firstLine="640"/>
        <w:rPr>
          <w:rFonts w:ascii="仿宋_GB2312" w:eastAsia="仿宋_GB2312" w:hAnsi="宋体"/>
          <w:sz w:val="32"/>
          <w:szCs w:val="32"/>
        </w:rPr>
      </w:pPr>
      <w:r w:rsidRPr="003C70F4">
        <w:rPr>
          <w:rFonts w:ascii="仿宋_GB2312" w:eastAsia="仿宋_GB2312" w:hAnsi="宋体" w:hint="eastAsia"/>
          <w:sz w:val="32"/>
          <w:szCs w:val="32"/>
        </w:rPr>
        <w:t>经仁和区2018年第12届第27次政府常务会同意，结合未来仁和公安工作发展和现有辅警情况，预计在2022年底前应按辅警编制304人全部配备到位。按照辅警人均6.2万元/人.年的标准，2022全年需要经费1884.80万元。</w:t>
      </w:r>
    </w:p>
    <w:p w:rsidR="003C70F4" w:rsidRPr="003C70F4" w:rsidRDefault="003C70F4" w:rsidP="003C70F4">
      <w:pPr>
        <w:numPr>
          <w:ilvl w:val="0"/>
          <w:numId w:val="9"/>
        </w:num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b/>
          <w:sz w:val="32"/>
          <w:szCs w:val="32"/>
          <w:lang w:val="zh-CN"/>
        </w:rPr>
        <w:t>项目资金申报相符性。</w:t>
      </w:r>
    </w:p>
    <w:p w:rsidR="003C70F4" w:rsidRPr="003C70F4" w:rsidRDefault="003C70F4" w:rsidP="003C70F4">
      <w:pPr>
        <w:adjustRightInd w:val="0"/>
        <w:snapToGrid w:val="0"/>
        <w:spacing w:line="560" w:lineRule="exact"/>
        <w:ind w:firstLineChars="200" w:firstLine="640"/>
        <w:rPr>
          <w:rFonts w:ascii="仿宋_GB2312" w:eastAsia="仿宋_GB2312" w:hAnsi="宋体"/>
          <w:sz w:val="32"/>
          <w:szCs w:val="32"/>
          <w:lang w:val="zh-CN"/>
        </w:rPr>
      </w:pPr>
      <w:r w:rsidRPr="003C70F4">
        <w:rPr>
          <w:rFonts w:ascii="仿宋_GB2312" w:eastAsia="仿宋_GB2312" w:hAnsi="宋体" w:hint="eastAsia"/>
          <w:sz w:val="32"/>
          <w:szCs w:val="32"/>
          <w:lang w:val="zh-CN"/>
        </w:rPr>
        <w:t>该项项目申报内容与具体实施内容相符、申报目标合理可行。</w:t>
      </w:r>
    </w:p>
    <w:p w:rsidR="003C70F4" w:rsidRPr="003C70F4" w:rsidRDefault="003C70F4" w:rsidP="003C70F4">
      <w:pPr>
        <w:adjustRightInd w:val="0"/>
        <w:snapToGrid w:val="0"/>
        <w:spacing w:line="560" w:lineRule="exact"/>
        <w:ind w:firstLine="720"/>
        <w:rPr>
          <w:rFonts w:ascii="黑体" w:eastAsia="黑体" w:hAnsi="黑体"/>
          <w:sz w:val="32"/>
          <w:szCs w:val="32"/>
        </w:rPr>
      </w:pPr>
      <w:r w:rsidRPr="003C70F4">
        <w:rPr>
          <w:rFonts w:ascii="黑体" w:eastAsia="黑体" w:hAnsi="黑体" w:hint="eastAsia"/>
          <w:sz w:val="32"/>
          <w:szCs w:val="32"/>
        </w:rPr>
        <w:t>二、项目实施及管理情况</w:t>
      </w:r>
    </w:p>
    <w:p w:rsidR="003C70F4" w:rsidRPr="003C70F4" w:rsidRDefault="003C70F4" w:rsidP="003C70F4">
      <w:p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sz w:val="32"/>
          <w:szCs w:val="32"/>
          <w:lang w:val="zh-CN"/>
        </w:rPr>
        <w:tab/>
      </w:r>
      <w:r w:rsidRPr="003C70F4">
        <w:rPr>
          <w:rFonts w:ascii="仿宋_GB2312" w:eastAsia="仿宋_GB2312" w:hAnsi="宋体" w:hint="eastAsia"/>
          <w:b/>
          <w:sz w:val="32"/>
          <w:szCs w:val="32"/>
          <w:lang w:val="zh-CN"/>
        </w:rPr>
        <w:t>（一）资金计划、到位及使用情况。</w:t>
      </w:r>
    </w:p>
    <w:p w:rsidR="003C70F4" w:rsidRPr="003C70F4" w:rsidRDefault="003C70F4" w:rsidP="003C70F4">
      <w:pPr>
        <w:adjustRightInd w:val="0"/>
        <w:snapToGrid w:val="0"/>
        <w:spacing w:line="560" w:lineRule="exact"/>
        <w:ind w:firstLine="720"/>
        <w:rPr>
          <w:rFonts w:ascii="仿宋_GB2312" w:eastAsia="仿宋_GB2312" w:hAnsi="宋体"/>
          <w:sz w:val="32"/>
          <w:szCs w:val="32"/>
          <w:lang w:val="zh-CN"/>
        </w:rPr>
      </w:pPr>
      <w:r w:rsidRPr="003C70F4">
        <w:rPr>
          <w:rFonts w:ascii="仿宋_GB2312" w:eastAsia="仿宋_GB2312" w:hAnsi="宋体" w:hint="eastAsia"/>
          <w:sz w:val="32"/>
          <w:szCs w:val="32"/>
          <w:lang w:val="zh-CN"/>
        </w:rPr>
        <w:t>1．资金计划及到位。</w:t>
      </w:r>
    </w:p>
    <w:p w:rsidR="003C70F4" w:rsidRPr="003C70F4" w:rsidRDefault="003C70F4" w:rsidP="003C70F4">
      <w:pPr>
        <w:adjustRightInd w:val="0"/>
        <w:snapToGrid w:val="0"/>
        <w:spacing w:line="560" w:lineRule="exact"/>
        <w:ind w:firstLine="720"/>
        <w:rPr>
          <w:rFonts w:ascii="仿宋_GB2312" w:eastAsia="仿宋_GB2312" w:hAnsi="仿宋_GB2312" w:cs="仿宋_GB2312"/>
          <w:kern w:val="0"/>
          <w:sz w:val="32"/>
          <w:szCs w:val="32"/>
          <w:shd w:val="clear" w:color="auto" w:fill="FFFFFF"/>
        </w:rPr>
      </w:pPr>
      <w:r w:rsidRPr="003C70F4">
        <w:rPr>
          <w:rFonts w:ascii="仿宋_GB2312" w:eastAsia="仿宋_GB2312" w:hAnsi="宋体" w:hint="eastAsia"/>
          <w:sz w:val="32"/>
          <w:szCs w:val="32"/>
        </w:rPr>
        <w:t>2022年</w:t>
      </w:r>
      <w:r w:rsidRPr="003C70F4">
        <w:rPr>
          <w:rFonts w:ascii="仿宋_GB2312" w:eastAsia="仿宋_GB2312" w:hint="eastAsia"/>
          <w:sz w:val="32"/>
          <w:szCs w:val="32"/>
        </w:rPr>
        <w:t>警务辅助人员经费项目资金</w:t>
      </w:r>
      <w:r w:rsidRPr="003C70F4">
        <w:rPr>
          <w:rFonts w:ascii="仿宋_GB2312" w:eastAsia="仿宋_GB2312" w:hAnsi="宋体" w:hint="eastAsia"/>
          <w:sz w:val="32"/>
          <w:szCs w:val="32"/>
        </w:rPr>
        <w:t>1884.80</w:t>
      </w:r>
      <w:r w:rsidRPr="003C70F4">
        <w:rPr>
          <w:rFonts w:ascii="仿宋_GB2312" w:eastAsia="仿宋_GB2312" w:hint="eastAsia"/>
          <w:sz w:val="32"/>
          <w:szCs w:val="32"/>
        </w:rPr>
        <w:t>万元</w:t>
      </w:r>
      <w:r w:rsidRPr="003C70F4">
        <w:rPr>
          <w:rFonts w:ascii="仿宋_GB2312" w:eastAsia="仿宋_GB2312" w:hAnsi="仿宋_GB2312" w:cs="仿宋_GB2312" w:hint="eastAsia"/>
          <w:kern w:val="0"/>
          <w:sz w:val="32"/>
          <w:szCs w:val="32"/>
          <w:shd w:val="clear" w:color="auto" w:fill="FFFFFF"/>
        </w:rPr>
        <w:t>，到</w:t>
      </w:r>
      <w:r w:rsidRPr="003C70F4">
        <w:rPr>
          <w:rFonts w:ascii="仿宋_GB2312" w:eastAsia="仿宋_GB2312" w:hAnsi="仿宋_GB2312" w:cs="仿宋_GB2312" w:hint="eastAsia"/>
          <w:kern w:val="0"/>
          <w:sz w:val="32"/>
          <w:szCs w:val="32"/>
          <w:shd w:val="clear" w:color="auto" w:fill="FFFFFF"/>
        </w:rPr>
        <w:lastRenderedPageBreak/>
        <w:t>位</w:t>
      </w:r>
      <w:r w:rsidRPr="003C70F4">
        <w:rPr>
          <w:rFonts w:ascii="仿宋_GB2312" w:eastAsia="仿宋_GB2312" w:hAnsi="宋体" w:hint="eastAsia"/>
          <w:sz w:val="32"/>
          <w:szCs w:val="32"/>
        </w:rPr>
        <w:t>1884.80</w:t>
      </w:r>
      <w:r w:rsidRPr="003C70F4">
        <w:rPr>
          <w:rFonts w:ascii="仿宋_GB2312" w:eastAsia="仿宋_GB2312" w:hAnsi="仿宋_GB2312" w:cs="仿宋_GB2312" w:hint="eastAsia"/>
          <w:kern w:val="0"/>
          <w:sz w:val="32"/>
          <w:szCs w:val="32"/>
          <w:shd w:val="clear" w:color="auto" w:fill="FFFFFF"/>
        </w:rPr>
        <w:t>万元，到位及时，到位率100%。年末清算实际支付1460.62万元，全部用于该项目。</w:t>
      </w:r>
    </w:p>
    <w:p w:rsidR="003C70F4" w:rsidRPr="003C70F4" w:rsidRDefault="003C70F4" w:rsidP="003C70F4">
      <w:pPr>
        <w:numPr>
          <w:ilvl w:val="0"/>
          <w:numId w:val="10"/>
        </w:numPr>
        <w:adjustRightInd w:val="0"/>
        <w:snapToGrid w:val="0"/>
        <w:spacing w:line="560" w:lineRule="exact"/>
        <w:ind w:firstLine="720"/>
        <w:rPr>
          <w:rFonts w:ascii="仿宋_GB2312" w:eastAsia="仿宋_GB2312" w:hAnsi="宋体"/>
          <w:sz w:val="32"/>
          <w:szCs w:val="32"/>
          <w:lang w:val="zh-CN"/>
        </w:rPr>
      </w:pPr>
      <w:r w:rsidRPr="003C70F4">
        <w:rPr>
          <w:rFonts w:ascii="仿宋_GB2312" w:eastAsia="仿宋_GB2312" w:hAnsi="宋体" w:hint="eastAsia"/>
          <w:sz w:val="32"/>
          <w:szCs w:val="32"/>
          <w:lang w:val="zh-CN"/>
        </w:rPr>
        <w:t>资金使用。</w:t>
      </w:r>
    </w:p>
    <w:p w:rsidR="003C70F4" w:rsidRPr="003C70F4" w:rsidRDefault="003C70F4" w:rsidP="003C70F4">
      <w:pPr>
        <w:adjustRightInd w:val="0"/>
        <w:snapToGrid w:val="0"/>
        <w:spacing w:line="520" w:lineRule="exact"/>
        <w:ind w:firstLineChars="200" w:firstLine="640"/>
        <w:rPr>
          <w:rFonts w:ascii="仿宋_GB2312" w:eastAsia="仿宋_GB2312"/>
          <w:sz w:val="32"/>
          <w:szCs w:val="32"/>
          <w:lang w:val="zh-CN"/>
        </w:rPr>
      </w:pPr>
      <w:r w:rsidRPr="003C70F4">
        <w:rPr>
          <w:rFonts w:ascii="仿宋_GB2312" w:eastAsia="仿宋_GB2312" w:hAnsi="仿宋_GB2312" w:cs="仿宋_GB2312" w:hint="eastAsia"/>
          <w:sz w:val="32"/>
          <w:szCs w:val="32"/>
        </w:rPr>
        <w:t>2022年我局申请支付了该项资金，用于</w:t>
      </w:r>
      <w:r w:rsidRPr="003C70F4">
        <w:rPr>
          <w:rFonts w:ascii="仿宋_GB2312" w:eastAsia="仿宋_GB2312" w:hAnsi="宋体" w:hint="eastAsia"/>
          <w:sz w:val="32"/>
          <w:szCs w:val="32"/>
        </w:rPr>
        <w:t>勤务辅警协助公安机关执法岗位人民警察开展执法执勤和其他勤务活动；文职辅警负责协助公安机关非执法岗位人民警察从事行政管理、技术支持、警务保障等实际工作</w:t>
      </w:r>
      <w:r w:rsidRPr="003C70F4">
        <w:rPr>
          <w:rFonts w:ascii="仿宋_GB2312" w:eastAsia="仿宋_GB2312" w:hint="eastAsia"/>
          <w:sz w:val="32"/>
          <w:szCs w:val="32"/>
        </w:rPr>
        <w:t>经费1460.62</w:t>
      </w:r>
      <w:r w:rsidRPr="003C70F4">
        <w:rPr>
          <w:rFonts w:ascii="仿宋_GB2312" w:eastAsia="仿宋_GB2312" w:hAnsi="仿宋_GB2312" w:cs="仿宋_GB2312" w:hint="eastAsia"/>
          <w:sz w:val="32"/>
          <w:szCs w:val="32"/>
        </w:rPr>
        <w:t>万元。</w:t>
      </w:r>
      <w:r w:rsidRPr="003C70F4">
        <w:rPr>
          <w:rFonts w:ascii="仿宋_GB2312" w:eastAsia="仿宋_GB2312" w:hAnsi="仿宋_GB2312" w:cs="仿宋_GB2312" w:hint="eastAsia"/>
          <w:sz w:val="32"/>
          <w:szCs w:val="32"/>
          <w:lang w:val="zh-CN"/>
        </w:rPr>
        <w:t>支付依据合规合法，资金支付与预算相符。</w:t>
      </w:r>
    </w:p>
    <w:p w:rsidR="003C70F4" w:rsidRPr="003C70F4" w:rsidRDefault="003C70F4" w:rsidP="003C70F4">
      <w:p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b/>
          <w:sz w:val="32"/>
          <w:szCs w:val="32"/>
          <w:lang w:val="zh-CN"/>
        </w:rPr>
        <w:t>（二）项目财务管理情况。</w:t>
      </w:r>
    </w:p>
    <w:p w:rsidR="003C70F4" w:rsidRPr="003C70F4" w:rsidRDefault="003C70F4" w:rsidP="003C70F4">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3C70F4">
        <w:rPr>
          <w:rFonts w:ascii="仿宋_GB2312" w:eastAsia="仿宋_GB2312" w:hAnsi="仿宋_GB2312" w:cs="仿宋_GB2312" w:hint="eastAsia"/>
          <w:kern w:val="0"/>
          <w:sz w:val="32"/>
          <w:szCs w:val="32"/>
          <w:shd w:val="clear" w:color="auto" w:fill="FFFFFF"/>
          <w:lang w:val="zh-CN"/>
        </w:rPr>
        <w:t>该项目资金采取授权支付形式，严格按照资金管理办法对资金进行计划申请、划拨、使用，及时、规范对收支进行账务处理和会计核算。</w:t>
      </w:r>
      <w:r w:rsidRPr="003C70F4">
        <w:rPr>
          <w:rFonts w:ascii="仿宋_GB2312" w:eastAsia="仿宋_GB2312" w:hint="eastAsia"/>
          <w:kern w:val="0"/>
          <w:sz w:val="32"/>
          <w:szCs w:val="32"/>
        </w:rPr>
        <w:t>项目严格执行财务管理制度，核算规范，账务清晰，达到了预期目标，发挥公安职能作用，促进文明社会发展。促使市民遵纪守法意识自觉提高，城市文明打造及整合管理水平提升。</w:t>
      </w:r>
    </w:p>
    <w:p w:rsidR="003C70F4" w:rsidRPr="003C70F4" w:rsidRDefault="003C70F4" w:rsidP="003C70F4">
      <w:p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b/>
          <w:sz w:val="32"/>
          <w:szCs w:val="32"/>
          <w:lang w:val="zh-CN"/>
        </w:rPr>
        <w:t>（三）项目组织实施情况。</w:t>
      </w:r>
    </w:p>
    <w:p w:rsidR="003C70F4" w:rsidRPr="003C70F4" w:rsidRDefault="003C70F4" w:rsidP="003C70F4">
      <w:pPr>
        <w:spacing w:line="500" w:lineRule="exact"/>
        <w:ind w:firstLineChars="200" w:firstLine="640"/>
        <w:rPr>
          <w:rFonts w:ascii="仿宋_GB2312" w:eastAsia="仿宋_GB2312" w:hAnsi="宋体"/>
          <w:sz w:val="32"/>
          <w:szCs w:val="32"/>
          <w:lang w:val="zh-CN"/>
        </w:rPr>
      </w:pPr>
      <w:r w:rsidRPr="003C70F4">
        <w:rPr>
          <w:rFonts w:ascii="仿宋_GB2312" w:eastAsia="仿宋_GB2312" w:hAnsi="仿宋_GB2312" w:cs="仿宋_GB2312" w:hint="eastAsia"/>
          <w:sz w:val="32"/>
          <w:szCs w:val="32"/>
        </w:rPr>
        <w:t>该项资金，用于支付攀枝花市公安局仁和区分局2022年度警务辅助人员经费1460.62万元。</w:t>
      </w:r>
      <w:r w:rsidRPr="003C70F4">
        <w:rPr>
          <w:rFonts w:ascii="仿宋_GB2312" w:eastAsia="仿宋_GB2312" w:hAnsi="宋体" w:hint="eastAsia"/>
          <w:sz w:val="32"/>
          <w:szCs w:val="32"/>
          <w:lang w:val="zh-CN"/>
        </w:rPr>
        <w:t>项目资金申报、批复等符合资金管理办法等相关规定。</w:t>
      </w:r>
    </w:p>
    <w:p w:rsidR="003C70F4" w:rsidRPr="003C70F4" w:rsidRDefault="003C70F4" w:rsidP="003C70F4">
      <w:pPr>
        <w:adjustRightInd w:val="0"/>
        <w:snapToGrid w:val="0"/>
        <w:spacing w:line="560" w:lineRule="exact"/>
        <w:ind w:firstLine="720"/>
        <w:rPr>
          <w:rFonts w:ascii="黑体" w:eastAsia="黑体" w:hAnsi="黑体"/>
          <w:sz w:val="32"/>
          <w:szCs w:val="32"/>
          <w:lang w:val="zh-CN"/>
        </w:rPr>
      </w:pPr>
      <w:r w:rsidRPr="003C70F4">
        <w:rPr>
          <w:rFonts w:ascii="黑体" w:eastAsia="黑体" w:hAnsi="黑体" w:hint="eastAsia"/>
          <w:sz w:val="32"/>
          <w:szCs w:val="32"/>
        </w:rPr>
        <w:t>三、项目绩效情况</w:t>
      </w:r>
      <w:r w:rsidRPr="003C70F4">
        <w:rPr>
          <w:rFonts w:ascii="黑体" w:eastAsia="黑体" w:hAnsi="黑体" w:hint="eastAsia"/>
          <w:sz w:val="32"/>
          <w:szCs w:val="32"/>
          <w:lang w:val="zh-CN"/>
        </w:rPr>
        <w:tab/>
      </w:r>
    </w:p>
    <w:p w:rsidR="003C70F4" w:rsidRPr="003C70F4" w:rsidRDefault="003C70F4" w:rsidP="003C70F4">
      <w:p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b/>
          <w:sz w:val="32"/>
          <w:szCs w:val="32"/>
          <w:lang w:val="zh-CN"/>
        </w:rPr>
        <w:t>（一）项目完成情况。</w:t>
      </w:r>
    </w:p>
    <w:p w:rsidR="003C70F4" w:rsidRPr="003C70F4" w:rsidRDefault="003C70F4" w:rsidP="003C70F4">
      <w:pPr>
        <w:autoSpaceDE w:val="0"/>
        <w:autoSpaceDN w:val="0"/>
        <w:adjustRightInd w:val="0"/>
        <w:spacing w:line="600" w:lineRule="exact"/>
        <w:ind w:firstLineChars="200" w:firstLine="640"/>
        <w:jc w:val="left"/>
        <w:rPr>
          <w:rFonts w:ascii="仿宋_GB2312" w:eastAsia="仿宋_GB2312"/>
          <w:kern w:val="0"/>
          <w:sz w:val="32"/>
          <w:szCs w:val="32"/>
        </w:rPr>
      </w:pPr>
      <w:r w:rsidRPr="003C70F4">
        <w:rPr>
          <w:rFonts w:ascii="仿宋_GB2312" w:eastAsia="仿宋_GB2312" w:hint="eastAsia"/>
          <w:kern w:val="0"/>
          <w:sz w:val="32"/>
          <w:szCs w:val="32"/>
        </w:rPr>
        <w:t>数量指标：完成1个</w:t>
      </w:r>
      <w:r w:rsidRPr="003C70F4">
        <w:rPr>
          <w:rFonts w:ascii="仿宋_GB2312" w:eastAsia="仿宋_GB2312" w:hint="eastAsia"/>
          <w:sz w:val="32"/>
          <w:szCs w:val="32"/>
        </w:rPr>
        <w:t>专项工作</w:t>
      </w:r>
      <w:r w:rsidRPr="003C70F4">
        <w:rPr>
          <w:rFonts w:ascii="仿宋_GB2312" w:eastAsia="仿宋_GB2312" w:hint="eastAsia"/>
          <w:kern w:val="0"/>
          <w:sz w:val="32"/>
          <w:szCs w:val="32"/>
        </w:rPr>
        <w:t>。</w:t>
      </w:r>
    </w:p>
    <w:p w:rsidR="003C70F4" w:rsidRPr="003C70F4" w:rsidRDefault="003C70F4" w:rsidP="003C70F4">
      <w:pPr>
        <w:autoSpaceDE w:val="0"/>
        <w:autoSpaceDN w:val="0"/>
        <w:adjustRightInd w:val="0"/>
        <w:spacing w:line="600" w:lineRule="exact"/>
        <w:ind w:firstLineChars="200" w:firstLine="640"/>
        <w:jc w:val="left"/>
        <w:rPr>
          <w:rFonts w:ascii="仿宋_GB2312" w:eastAsia="仿宋_GB2312"/>
          <w:kern w:val="0"/>
          <w:sz w:val="32"/>
          <w:szCs w:val="32"/>
        </w:rPr>
      </w:pPr>
      <w:r w:rsidRPr="003C70F4">
        <w:rPr>
          <w:rFonts w:ascii="仿宋_GB2312" w:eastAsia="仿宋_GB2312" w:hint="eastAsia"/>
          <w:kern w:val="0"/>
          <w:sz w:val="32"/>
          <w:szCs w:val="32"/>
        </w:rPr>
        <w:t>质量指标：确保2022年度辅警经费正常执行。</w:t>
      </w:r>
    </w:p>
    <w:p w:rsidR="003C70F4" w:rsidRPr="003C70F4" w:rsidRDefault="003C70F4" w:rsidP="003C70F4">
      <w:pPr>
        <w:autoSpaceDE w:val="0"/>
        <w:autoSpaceDN w:val="0"/>
        <w:adjustRightInd w:val="0"/>
        <w:spacing w:line="600" w:lineRule="exact"/>
        <w:ind w:firstLineChars="200" w:firstLine="640"/>
        <w:jc w:val="left"/>
        <w:rPr>
          <w:rFonts w:ascii="仿宋_GB2312" w:eastAsia="仿宋_GB2312"/>
          <w:sz w:val="32"/>
          <w:szCs w:val="32"/>
          <w:shd w:val="clear" w:color="auto" w:fill="FFFFFF"/>
        </w:rPr>
      </w:pPr>
      <w:r w:rsidRPr="003C70F4">
        <w:rPr>
          <w:rFonts w:ascii="仿宋_GB2312" w:eastAsia="仿宋_GB2312" w:hint="eastAsia"/>
          <w:kern w:val="0"/>
          <w:sz w:val="32"/>
          <w:szCs w:val="32"/>
        </w:rPr>
        <w:t>时效指标：</w:t>
      </w:r>
      <w:r w:rsidRPr="003C70F4">
        <w:rPr>
          <w:rFonts w:ascii="仿宋_GB2312" w:eastAsia="仿宋_GB2312" w:hint="eastAsia"/>
          <w:sz w:val="32"/>
          <w:szCs w:val="32"/>
          <w:shd w:val="clear" w:color="auto" w:fill="FFFFFF"/>
        </w:rPr>
        <w:t>2022年1-12月执行完毕。</w:t>
      </w:r>
    </w:p>
    <w:p w:rsidR="003C70F4" w:rsidRPr="003C70F4" w:rsidRDefault="003C70F4" w:rsidP="003C70F4">
      <w:pPr>
        <w:autoSpaceDE w:val="0"/>
        <w:autoSpaceDN w:val="0"/>
        <w:adjustRightInd w:val="0"/>
        <w:spacing w:line="600" w:lineRule="exact"/>
        <w:ind w:firstLineChars="200" w:firstLine="640"/>
        <w:jc w:val="left"/>
        <w:rPr>
          <w:rFonts w:ascii="仿宋_GB2312" w:eastAsia="仿宋_GB2312" w:hAnsi="宋体"/>
          <w:sz w:val="32"/>
          <w:szCs w:val="32"/>
          <w:lang w:val="zh-CN"/>
        </w:rPr>
      </w:pPr>
      <w:r w:rsidRPr="003C70F4">
        <w:rPr>
          <w:rFonts w:ascii="仿宋_GB2312" w:eastAsia="仿宋_GB2312" w:hint="eastAsia"/>
          <w:kern w:val="0"/>
          <w:sz w:val="32"/>
          <w:szCs w:val="32"/>
        </w:rPr>
        <w:t>成本指标：2022年度辅警经费</w:t>
      </w:r>
      <w:r w:rsidRPr="003C70F4">
        <w:rPr>
          <w:rFonts w:ascii="仿宋_GB2312" w:eastAsia="仿宋_GB2312" w:hint="eastAsia"/>
          <w:sz w:val="32"/>
          <w:szCs w:val="32"/>
        </w:rPr>
        <w:t>1</w:t>
      </w:r>
      <w:r w:rsidR="004565F0">
        <w:rPr>
          <w:rFonts w:ascii="仿宋_GB2312" w:eastAsia="仿宋_GB2312" w:hint="eastAsia"/>
          <w:sz w:val="32"/>
          <w:szCs w:val="32"/>
        </w:rPr>
        <w:t>460.62</w:t>
      </w:r>
      <w:r w:rsidRPr="003C70F4">
        <w:rPr>
          <w:rFonts w:ascii="仿宋_GB2312" w:eastAsia="仿宋_GB2312" w:hint="eastAsia"/>
          <w:sz w:val="32"/>
          <w:szCs w:val="32"/>
        </w:rPr>
        <w:t>万元</w:t>
      </w:r>
      <w:r w:rsidRPr="003C70F4">
        <w:rPr>
          <w:rFonts w:ascii="仿宋_GB2312" w:eastAsia="仿宋_GB2312" w:hint="eastAsia"/>
          <w:kern w:val="0"/>
          <w:sz w:val="32"/>
          <w:szCs w:val="32"/>
        </w:rPr>
        <w:t>。</w:t>
      </w:r>
    </w:p>
    <w:p w:rsidR="003C70F4" w:rsidRPr="003C70F4" w:rsidRDefault="003C70F4" w:rsidP="003C70F4">
      <w:pPr>
        <w:numPr>
          <w:ilvl w:val="0"/>
          <w:numId w:val="11"/>
        </w:num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b/>
          <w:sz w:val="32"/>
          <w:szCs w:val="32"/>
          <w:lang w:val="zh-CN"/>
        </w:rPr>
        <w:lastRenderedPageBreak/>
        <w:t>项目效益情况。</w:t>
      </w:r>
    </w:p>
    <w:p w:rsidR="003C70F4" w:rsidRPr="003C70F4" w:rsidRDefault="003C70F4" w:rsidP="003C70F4">
      <w:pPr>
        <w:autoSpaceDE w:val="0"/>
        <w:autoSpaceDN w:val="0"/>
        <w:adjustRightInd w:val="0"/>
        <w:spacing w:line="600" w:lineRule="exact"/>
        <w:ind w:firstLineChars="200" w:firstLine="640"/>
        <w:jc w:val="left"/>
        <w:rPr>
          <w:rFonts w:ascii="仿宋_GB2312" w:eastAsia="仿宋_GB2312"/>
          <w:kern w:val="0"/>
          <w:sz w:val="32"/>
          <w:szCs w:val="32"/>
        </w:rPr>
      </w:pPr>
      <w:r w:rsidRPr="003C70F4">
        <w:rPr>
          <w:rFonts w:ascii="仿宋_GB2312" w:eastAsia="仿宋_GB2312" w:hint="eastAsia"/>
          <w:kern w:val="0"/>
          <w:sz w:val="32"/>
          <w:szCs w:val="32"/>
        </w:rPr>
        <w:t>社会效益指标：保障1个专项工作正常推进。</w:t>
      </w:r>
    </w:p>
    <w:p w:rsidR="003C70F4" w:rsidRPr="003C70F4" w:rsidRDefault="003C70F4" w:rsidP="003C70F4">
      <w:pPr>
        <w:autoSpaceDE w:val="0"/>
        <w:autoSpaceDN w:val="0"/>
        <w:adjustRightInd w:val="0"/>
        <w:spacing w:line="600" w:lineRule="exact"/>
        <w:ind w:firstLineChars="200" w:firstLine="640"/>
        <w:jc w:val="left"/>
        <w:rPr>
          <w:rFonts w:ascii="仿宋_GB2312" w:eastAsia="仿宋_GB2312"/>
          <w:kern w:val="0"/>
          <w:sz w:val="32"/>
          <w:szCs w:val="32"/>
        </w:rPr>
      </w:pPr>
      <w:r w:rsidRPr="003C70F4">
        <w:rPr>
          <w:rFonts w:ascii="仿宋_GB2312" w:eastAsia="仿宋_GB2312" w:hint="eastAsia"/>
          <w:kern w:val="0"/>
          <w:sz w:val="32"/>
          <w:szCs w:val="32"/>
        </w:rPr>
        <w:t>满意度指标：辖区居民安全感≥95%。</w:t>
      </w:r>
    </w:p>
    <w:p w:rsidR="003C70F4" w:rsidRPr="003C70F4" w:rsidRDefault="003C70F4" w:rsidP="003C70F4">
      <w:pPr>
        <w:adjustRightInd w:val="0"/>
        <w:snapToGrid w:val="0"/>
        <w:spacing w:line="560" w:lineRule="exact"/>
        <w:ind w:firstLine="720"/>
        <w:rPr>
          <w:rFonts w:ascii="黑体" w:eastAsia="黑体" w:hAnsi="黑体"/>
          <w:sz w:val="32"/>
          <w:szCs w:val="32"/>
        </w:rPr>
      </w:pPr>
      <w:r w:rsidRPr="003C70F4">
        <w:rPr>
          <w:rFonts w:ascii="黑体" w:eastAsia="黑体" w:hAnsi="黑体" w:hint="eastAsia"/>
          <w:sz w:val="32"/>
          <w:szCs w:val="32"/>
        </w:rPr>
        <w:t>四、问题及建议</w:t>
      </w:r>
    </w:p>
    <w:p w:rsidR="003C70F4" w:rsidRPr="003C70F4" w:rsidRDefault="003C70F4" w:rsidP="003C70F4">
      <w:p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b/>
          <w:sz w:val="32"/>
          <w:szCs w:val="32"/>
          <w:lang w:val="zh-CN"/>
        </w:rPr>
        <w:t>（一）存在的问题。</w:t>
      </w:r>
    </w:p>
    <w:p w:rsidR="003C70F4" w:rsidRPr="003C70F4" w:rsidRDefault="003C70F4" w:rsidP="00824692">
      <w:pPr>
        <w:pStyle w:val="a6"/>
        <w:spacing w:before="93" w:line="579" w:lineRule="exact"/>
        <w:ind w:firstLineChars="200" w:firstLine="640"/>
        <w:rPr>
          <w:rFonts w:ascii="仿宋_GB2312" w:eastAsia="仿宋_GB2312" w:hAnsi="仿宋_GB2312" w:cs="仿宋_GB2312"/>
          <w:bCs/>
          <w:sz w:val="32"/>
          <w:szCs w:val="32"/>
        </w:rPr>
      </w:pPr>
      <w:r w:rsidRPr="003C70F4">
        <w:rPr>
          <w:rFonts w:ascii="仿宋_GB2312" w:eastAsia="仿宋_GB2312" w:hAnsi="仿宋_GB2312" w:cs="仿宋_GB2312" w:hint="eastAsia"/>
          <w:bCs/>
          <w:sz w:val="32"/>
          <w:szCs w:val="32"/>
        </w:rPr>
        <w:t>项目过程管理监督的力度有所欠缺，项目从立项、实施、项目到竣工验收等监管工作我局无相关考核依据。</w:t>
      </w:r>
    </w:p>
    <w:p w:rsidR="003C70F4" w:rsidRPr="003C70F4" w:rsidRDefault="003C70F4" w:rsidP="003C70F4">
      <w:pPr>
        <w:adjustRightInd w:val="0"/>
        <w:snapToGrid w:val="0"/>
        <w:spacing w:line="560" w:lineRule="exact"/>
        <w:ind w:firstLine="720"/>
        <w:rPr>
          <w:rFonts w:ascii="仿宋_GB2312" w:eastAsia="仿宋_GB2312" w:hAnsi="宋体"/>
          <w:b/>
          <w:sz w:val="32"/>
          <w:szCs w:val="32"/>
          <w:lang w:val="zh-CN"/>
        </w:rPr>
      </w:pPr>
      <w:r w:rsidRPr="003C70F4">
        <w:rPr>
          <w:rFonts w:ascii="仿宋_GB2312" w:eastAsia="仿宋_GB2312" w:hAnsi="宋体" w:hint="eastAsia"/>
          <w:b/>
          <w:sz w:val="32"/>
          <w:szCs w:val="32"/>
          <w:lang w:val="zh-CN"/>
        </w:rPr>
        <w:t>（二）相关建议。</w:t>
      </w:r>
    </w:p>
    <w:p w:rsidR="003C70F4" w:rsidRPr="003C70F4" w:rsidRDefault="003C70F4" w:rsidP="00824692">
      <w:pPr>
        <w:pStyle w:val="a6"/>
        <w:spacing w:before="93" w:line="579" w:lineRule="exact"/>
        <w:ind w:firstLineChars="200" w:firstLine="640"/>
        <w:rPr>
          <w:rFonts w:ascii="仿宋_GB2312" w:eastAsia="仿宋_GB2312" w:hAnsi="仿宋_GB2312" w:cs="仿宋_GB2312"/>
          <w:bCs/>
          <w:sz w:val="32"/>
          <w:szCs w:val="32"/>
        </w:rPr>
      </w:pPr>
      <w:r w:rsidRPr="003C70F4">
        <w:rPr>
          <w:rFonts w:ascii="仿宋_GB2312" w:eastAsia="仿宋_GB2312" w:hAnsi="仿宋_GB2312" w:cs="仿宋_GB2312" w:hint="eastAsia"/>
          <w:bCs/>
          <w:sz w:val="32"/>
          <w:szCs w:val="32"/>
        </w:rPr>
        <w:t>1、应加大项目主管部门管理监督的力度，加强项目从立项、实施、项目到竣工验收等全过程监管工作。</w:t>
      </w:r>
    </w:p>
    <w:p w:rsidR="003C70F4" w:rsidRPr="003C70F4" w:rsidRDefault="003C70F4" w:rsidP="003C70F4">
      <w:pPr>
        <w:pStyle w:val="a6"/>
        <w:spacing w:before="93" w:line="579" w:lineRule="exact"/>
        <w:ind w:firstLineChars="200" w:firstLine="640"/>
        <w:rPr>
          <w:rFonts w:ascii="仿宋_GB2312" w:eastAsia="仿宋_GB2312" w:hAnsi="仿宋_GB2312" w:cs="仿宋_GB2312"/>
          <w:bCs/>
          <w:sz w:val="32"/>
          <w:szCs w:val="32"/>
        </w:rPr>
      </w:pPr>
      <w:r w:rsidRPr="003C70F4">
        <w:rPr>
          <w:rFonts w:ascii="仿宋_GB2312" w:eastAsia="仿宋_GB2312" w:hAnsi="仿宋_GB2312" w:cs="仿宋_GB2312" w:hint="eastAsia"/>
          <w:bCs/>
          <w:sz w:val="32"/>
          <w:szCs w:val="32"/>
        </w:rPr>
        <w:t>2、加强项目统筹管理。明确项目实施进度计划，加强执行中的过程管理和监督机制，提高项目管理水平，按照相关约定和规定及时拨付资金，对于无法按进度实施工作或无法按时完成工作的相关责任人，应落实项目绩效考核制度，坚持将绩效考核结果与奖励挂钩。</w:t>
      </w:r>
    </w:p>
    <w:p w:rsidR="003C70F4" w:rsidRPr="003C70F4" w:rsidRDefault="003C70F4" w:rsidP="003C70F4">
      <w:pPr>
        <w:autoSpaceDE w:val="0"/>
        <w:autoSpaceDN w:val="0"/>
        <w:adjustRightInd w:val="0"/>
        <w:spacing w:line="600" w:lineRule="exact"/>
        <w:ind w:firstLineChars="200" w:firstLine="640"/>
        <w:jc w:val="left"/>
        <w:rPr>
          <w:rFonts w:ascii="仿宋_GB2312" w:eastAsia="仿宋_GB2312"/>
          <w:kern w:val="0"/>
          <w:sz w:val="32"/>
          <w:szCs w:val="32"/>
        </w:rPr>
      </w:pPr>
    </w:p>
    <w:p w:rsidR="003C70F4" w:rsidRPr="003C70F4" w:rsidRDefault="003C70F4" w:rsidP="003C70F4">
      <w:pPr>
        <w:pStyle w:val="a0"/>
        <w:spacing w:before="93"/>
        <w:rPr>
          <w:sz w:val="32"/>
          <w:szCs w:val="32"/>
        </w:rPr>
      </w:pPr>
    </w:p>
    <w:p w:rsidR="003C70F4" w:rsidRPr="003C70F4" w:rsidRDefault="003C70F4" w:rsidP="003C70F4">
      <w:pPr>
        <w:pStyle w:val="a0"/>
        <w:spacing w:before="93"/>
        <w:rPr>
          <w:sz w:val="32"/>
          <w:szCs w:val="32"/>
        </w:rPr>
      </w:pPr>
    </w:p>
    <w:p w:rsidR="003C70F4" w:rsidRDefault="003C70F4" w:rsidP="003C70F4">
      <w:pPr>
        <w:pStyle w:val="a0"/>
        <w:spacing w:before="93"/>
      </w:pPr>
    </w:p>
    <w:p w:rsidR="003C70F4" w:rsidRDefault="003C70F4" w:rsidP="003C70F4">
      <w:pPr>
        <w:pStyle w:val="a0"/>
        <w:spacing w:before="93"/>
      </w:pPr>
    </w:p>
    <w:p w:rsidR="003C70F4" w:rsidRPr="003C70F4" w:rsidRDefault="003C70F4" w:rsidP="003C70F4">
      <w:pPr>
        <w:pStyle w:val="a0"/>
        <w:spacing w:before="93"/>
      </w:pPr>
    </w:p>
    <w:p w:rsidR="009E4DB6" w:rsidRPr="003C70F4" w:rsidRDefault="009E4DB6">
      <w:pPr>
        <w:widowControl/>
        <w:jc w:val="left"/>
        <w:rPr>
          <w:rStyle w:val="1Char"/>
          <w:rFonts w:ascii="仿宋_GB2312" w:eastAsia="仿宋_GB2312" w:hAnsi="黑体"/>
          <w:b w:val="0"/>
          <w:sz w:val="32"/>
          <w:szCs w:val="32"/>
        </w:rPr>
      </w:pPr>
    </w:p>
    <w:p w:rsidR="009E4DB6" w:rsidRDefault="00EF39C0">
      <w:pPr>
        <w:spacing w:line="600" w:lineRule="exact"/>
        <w:jc w:val="center"/>
        <w:outlineLvl w:val="0"/>
        <w:rPr>
          <w:rFonts w:ascii="仿宋" w:eastAsia="仿宋" w:hAnsi="仿宋"/>
        </w:rPr>
      </w:pPr>
      <w:bookmarkStart w:id="58"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9" w:name="_Toc15396619"/>
      <w:bookmarkEnd w:id="56"/>
      <w:bookmarkEnd w:id="58"/>
    </w:p>
    <w:p w:rsidR="009E4DB6" w:rsidRDefault="00EF39C0">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9"/>
    </w:p>
    <w:p w:rsidR="009E4DB6" w:rsidRDefault="00EF39C0">
      <w:pPr>
        <w:pStyle w:val="2"/>
        <w:rPr>
          <w:rFonts w:ascii="仿宋" w:eastAsia="仿宋" w:hAnsi="仿宋"/>
        </w:rPr>
      </w:pPr>
      <w:bookmarkStart w:id="60" w:name="_Toc15396620"/>
      <w:r>
        <w:rPr>
          <w:rFonts w:ascii="仿宋" w:eastAsia="仿宋" w:hAnsi="仿宋" w:hint="eastAsia"/>
          <w:b w:val="0"/>
        </w:rPr>
        <w:t>二、收</w:t>
      </w:r>
      <w:r>
        <w:rPr>
          <w:rStyle w:val="2Char"/>
          <w:rFonts w:ascii="仿宋" w:eastAsia="仿宋" w:hAnsi="仿宋" w:hint="eastAsia"/>
        </w:rPr>
        <w:t>入决算表</w:t>
      </w:r>
      <w:bookmarkEnd w:id="60"/>
    </w:p>
    <w:p w:rsidR="009E4DB6" w:rsidRDefault="00EF39C0">
      <w:pPr>
        <w:pStyle w:val="2"/>
        <w:rPr>
          <w:rFonts w:ascii="仿宋" w:eastAsia="仿宋" w:hAnsi="仿宋"/>
        </w:rPr>
      </w:pPr>
      <w:bookmarkStart w:id="61"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1"/>
    </w:p>
    <w:p w:rsidR="009E4DB6" w:rsidRDefault="00EF39C0">
      <w:pPr>
        <w:pStyle w:val="2"/>
        <w:rPr>
          <w:rFonts w:ascii="仿宋" w:eastAsia="仿宋" w:hAnsi="仿宋"/>
          <w:b w:val="0"/>
        </w:rPr>
      </w:pPr>
      <w:bookmarkStart w:id="6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2"/>
    </w:p>
    <w:p w:rsidR="009E4DB6" w:rsidRDefault="00EF39C0">
      <w:pPr>
        <w:pStyle w:val="2"/>
        <w:rPr>
          <w:rStyle w:val="2Char"/>
          <w:rFonts w:ascii="仿宋" w:eastAsia="仿宋" w:hAnsi="仿宋"/>
        </w:rPr>
      </w:pPr>
      <w:bookmarkStart w:id="63"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4" w:name="_Toc15396624"/>
      <w:bookmarkEnd w:id="63"/>
    </w:p>
    <w:p w:rsidR="009E4DB6" w:rsidRDefault="00EF39C0">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4"/>
    </w:p>
    <w:p w:rsidR="009E4DB6" w:rsidRDefault="00EF39C0">
      <w:pPr>
        <w:pStyle w:val="2"/>
        <w:rPr>
          <w:rFonts w:ascii="仿宋" w:eastAsia="仿宋" w:hAnsi="仿宋"/>
        </w:rPr>
      </w:pPr>
      <w:bookmarkStart w:id="65"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5"/>
    </w:p>
    <w:p w:rsidR="009E4DB6" w:rsidRDefault="00EF39C0">
      <w:pPr>
        <w:pStyle w:val="2"/>
        <w:rPr>
          <w:rFonts w:ascii="仿宋" w:eastAsia="仿宋" w:hAnsi="仿宋"/>
        </w:rPr>
      </w:pPr>
      <w:bookmarkStart w:id="66"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6"/>
    </w:p>
    <w:p w:rsidR="009E4DB6" w:rsidRDefault="00EF39C0">
      <w:pPr>
        <w:pStyle w:val="2"/>
        <w:rPr>
          <w:rFonts w:ascii="仿宋" w:eastAsia="仿宋" w:hAnsi="仿宋"/>
        </w:rPr>
      </w:pPr>
      <w:bookmarkStart w:id="67"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7"/>
    </w:p>
    <w:p w:rsidR="009E4DB6" w:rsidRDefault="00EF39C0">
      <w:pPr>
        <w:pStyle w:val="2"/>
        <w:rPr>
          <w:rFonts w:ascii="仿宋" w:eastAsia="仿宋" w:hAnsi="仿宋"/>
        </w:rPr>
      </w:pPr>
      <w:bookmarkStart w:id="68" w:name="_Toc15396628"/>
      <w:r>
        <w:rPr>
          <w:rStyle w:val="2Char"/>
          <w:rFonts w:ascii="仿宋" w:eastAsia="仿宋" w:hAnsi="仿宋" w:hint="eastAsia"/>
        </w:rPr>
        <w:t>十、</w:t>
      </w:r>
      <w:bookmarkEnd w:id="68"/>
      <w:r>
        <w:rPr>
          <w:rFonts w:ascii="仿宋" w:eastAsia="仿宋" w:hAnsi="仿宋" w:hint="eastAsia"/>
          <w:b w:val="0"/>
        </w:rPr>
        <w:t>政</w:t>
      </w:r>
      <w:r>
        <w:rPr>
          <w:rStyle w:val="2Char"/>
          <w:rFonts w:ascii="仿宋" w:eastAsia="仿宋" w:hAnsi="仿宋" w:hint="eastAsia"/>
        </w:rPr>
        <w:t>府性基金预算财政拨款收入支出决算表</w:t>
      </w:r>
    </w:p>
    <w:p w:rsidR="009E4DB6" w:rsidRDefault="00EF39C0">
      <w:pPr>
        <w:pStyle w:val="2"/>
        <w:rPr>
          <w:rFonts w:ascii="仿宋" w:eastAsia="仿宋" w:hAnsi="仿宋"/>
        </w:rPr>
      </w:pPr>
      <w:bookmarkStart w:id="69" w:name="_Toc15396629"/>
      <w:r>
        <w:rPr>
          <w:rStyle w:val="2Char"/>
          <w:rFonts w:ascii="仿宋" w:eastAsia="仿宋" w:hAnsi="仿宋" w:hint="eastAsia"/>
        </w:rPr>
        <w:t>十一、</w:t>
      </w:r>
      <w:bookmarkEnd w:id="69"/>
      <w:r>
        <w:rPr>
          <w:rFonts w:ascii="仿宋" w:eastAsia="仿宋" w:hAnsi="仿宋" w:hint="eastAsia"/>
          <w:b w:val="0"/>
        </w:rPr>
        <w:t>国</w:t>
      </w:r>
      <w:r>
        <w:rPr>
          <w:rStyle w:val="2Char"/>
          <w:rFonts w:ascii="仿宋" w:eastAsia="仿宋" w:hAnsi="仿宋" w:hint="eastAsia"/>
        </w:rPr>
        <w:t>有资本经营预算财政拨款收入支出决算表</w:t>
      </w:r>
      <w:r w:rsidR="003C70F4" w:rsidRPr="003C70F4">
        <w:rPr>
          <w:rStyle w:val="2Char"/>
          <w:rFonts w:ascii="仿宋" w:eastAsia="仿宋" w:hAnsi="仿宋" w:hint="eastAsia"/>
          <w:bCs/>
        </w:rPr>
        <w:t>（此表无数据）</w:t>
      </w:r>
    </w:p>
    <w:p w:rsidR="009E4DB6" w:rsidRDefault="00EF39C0">
      <w:pPr>
        <w:pStyle w:val="2"/>
        <w:rPr>
          <w:rFonts w:ascii="仿宋" w:eastAsia="仿宋" w:hAnsi="仿宋"/>
        </w:rPr>
      </w:pPr>
      <w:bookmarkStart w:id="70" w:name="_Toc15396630"/>
      <w:r>
        <w:rPr>
          <w:rStyle w:val="2Char"/>
          <w:rFonts w:ascii="仿宋" w:eastAsia="仿宋" w:hAnsi="仿宋" w:hint="eastAsia"/>
        </w:rPr>
        <w:t>十二、</w:t>
      </w:r>
      <w:bookmarkEnd w:id="70"/>
      <w:r>
        <w:rPr>
          <w:rStyle w:val="2Char"/>
          <w:rFonts w:ascii="仿宋" w:eastAsia="仿宋" w:hAnsi="仿宋" w:hint="eastAsia"/>
        </w:rPr>
        <w:t>国有资本经营预算财政拨款支出决算表</w:t>
      </w:r>
      <w:r w:rsidR="003C70F4" w:rsidRPr="003C70F4">
        <w:rPr>
          <w:rStyle w:val="2Char"/>
          <w:rFonts w:ascii="仿宋" w:eastAsia="仿宋" w:hAnsi="仿宋" w:hint="eastAsia"/>
          <w:bCs/>
        </w:rPr>
        <w:t>（此表无数据）</w:t>
      </w:r>
    </w:p>
    <w:p w:rsidR="009E4DB6" w:rsidRDefault="00EF39C0">
      <w:pPr>
        <w:pStyle w:val="2"/>
        <w:rPr>
          <w:rFonts w:eastAsia="仿宋"/>
        </w:rPr>
      </w:pPr>
      <w:bookmarkStart w:id="71" w:name="_Toc15396631"/>
      <w:r>
        <w:rPr>
          <w:rStyle w:val="2Char"/>
          <w:rFonts w:ascii="仿宋" w:eastAsia="仿宋" w:hAnsi="仿宋" w:hint="eastAsia"/>
        </w:rPr>
        <w:t>十三、</w:t>
      </w:r>
      <w:bookmarkEnd w:id="71"/>
      <w:r>
        <w:rPr>
          <w:rStyle w:val="2Char"/>
          <w:rFonts w:ascii="仿宋" w:eastAsia="仿宋" w:hAnsi="仿宋" w:hint="eastAsia"/>
        </w:rPr>
        <w:t>财政拨款“三公”经费支出决算表</w:t>
      </w:r>
    </w:p>
    <w:sectPr w:rsidR="009E4DB6" w:rsidSect="006555AC">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632" w:rsidRDefault="00895632">
      <w:r>
        <w:separator/>
      </w:r>
    </w:p>
  </w:endnote>
  <w:endnote w:type="continuationSeparator" w:id="1">
    <w:p w:rsidR="00895632" w:rsidRDefault="00895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等线">
    <w:altName w:val="DengXian"/>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18030">
    <w:altName w:val="宋体"/>
    <w:panose1 w:val="00000000000000000000"/>
    <w:charset w:val="86"/>
    <w:family w:val="modern"/>
    <w:notTrueType/>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3C70F4" w:rsidRDefault="00DC082D">
        <w:pPr>
          <w:pStyle w:val="a6"/>
          <w:jc w:val="center"/>
        </w:pPr>
        <w:r>
          <w:fldChar w:fldCharType="begin"/>
        </w:r>
        <w:r w:rsidR="003C70F4">
          <w:instrText>PAGE   \* MERGEFORMAT</w:instrText>
        </w:r>
        <w:r>
          <w:fldChar w:fldCharType="separate"/>
        </w:r>
        <w:r w:rsidR="00DE4C36" w:rsidRPr="00DE4C36">
          <w:rPr>
            <w:noProof/>
            <w:lang w:val="zh-CN"/>
          </w:rPr>
          <w:t>2</w:t>
        </w:r>
        <w:r>
          <w:fldChar w:fldCharType="end"/>
        </w:r>
      </w:p>
    </w:sdtContent>
  </w:sdt>
  <w:p w:rsidR="003C70F4" w:rsidRDefault="003C70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632" w:rsidRDefault="00895632">
      <w:r>
        <w:separator/>
      </w:r>
    </w:p>
  </w:footnote>
  <w:footnote w:type="continuationSeparator" w:id="1">
    <w:p w:rsidR="00895632" w:rsidRDefault="00895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F4" w:rsidRDefault="003C70F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D3F476"/>
    <w:multiLevelType w:val="singleLevel"/>
    <w:tmpl w:val="98D3F476"/>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5ECB3D4"/>
    <w:multiLevelType w:val="singleLevel"/>
    <w:tmpl w:val="D5ECB3D4"/>
    <w:lvl w:ilvl="0">
      <w:start w:val="2"/>
      <w:numFmt w:val="decimal"/>
      <w:suff w:val="nothing"/>
      <w:lvlText w:val="%1．"/>
      <w:lvlJc w:val="left"/>
    </w:lvl>
  </w:abstractNum>
  <w:abstractNum w:abstractNumId="3">
    <w:nsid w:val="DEBEF323"/>
    <w:multiLevelType w:val="singleLevel"/>
    <w:tmpl w:val="DEBEF323"/>
    <w:lvl w:ilvl="0">
      <w:start w:val="4"/>
      <w:numFmt w:val="chineseCounting"/>
      <w:suff w:val="nothing"/>
      <w:lvlText w:val="（%1）"/>
      <w:lvlJc w:val="left"/>
      <w:rPr>
        <w:rFonts w:hint="eastAsia"/>
      </w:rPr>
    </w:lvl>
  </w:abstractNum>
  <w:abstractNum w:abstractNumId="4">
    <w:nsid w:val="E2FA047D"/>
    <w:multiLevelType w:val="singleLevel"/>
    <w:tmpl w:val="E2FA047D"/>
    <w:lvl w:ilvl="0">
      <w:start w:val="3"/>
      <w:numFmt w:val="chineseCounting"/>
      <w:suff w:val="space"/>
      <w:lvlText w:val="第%1部分"/>
      <w:lvlJc w:val="left"/>
      <w:rPr>
        <w:rFonts w:hint="eastAsia"/>
      </w:rPr>
    </w:lvl>
  </w:abstractNum>
  <w:abstractNum w:abstractNumId="5">
    <w:nsid w:val="FFF674BC"/>
    <w:multiLevelType w:val="singleLevel"/>
    <w:tmpl w:val="FFF674BC"/>
    <w:lvl w:ilvl="0">
      <w:start w:val="1"/>
      <w:numFmt w:val="chineseCounting"/>
      <w:suff w:val="nothing"/>
      <w:lvlText w:val="%1、"/>
      <w:lvlJc w:val="left"/>
      <w:rPr>
        <w:rFonts w:hint="eastAsia"/>
      </w:rPr>
    </w:lvl>
  </w:abstractNum>
  <w:abstractNum w:abstractNumId="6">
    <w:nsid w:val="0FD16D87"/>
    <w:multiLevelType w:val="hybridMultilevel"/>
    <w:tmpl w:val="ED1CD36C"/>
    <w:lvl w:ilvl="0" w:tplc="D432172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3E794925"/>
    <w:multiLevelType w:val="singleLevel"/>
    <w:tmpl w:val="3E794925"/>
    <w:lvl w:ilvl="0">
      <w:start w:val="3"/>
      <w:numFmt w:val="chineseCounting"/>
      <w:suff w:val="nothing"/>
      <w:lvlText w:val="（%1）"/>
      <w:lvlJc w:val="left"/>
      <w:rPr>
        <w:rFonts w:hint="eastAsia"/>
      </w:rPr>
    </w:lvl>
  </w:abstractNum>
  <w:abstractNum w:abstractNumId="9">
    <w:nsid w:val="51861FCB"/>
    <w:multiLevelType w:val="singleLevel"/>
    <w:tmpl w:val="51861FCB"/>
    <w:lvl w:ilvl="0">
      <w:start w:val="1"/>
      <w:numFmt w:val="chineseCounting"/>
      <w:suff w:val="nothing"/>
      <w:lvlText w:val="（%1）"/>
      <w:lvlJc w:val="left"/>
      <w:rPr>
        <w:rFonts w:hint="eastAsia"/>
      </w:rPr>
    </w:lvl>
  </w:abstractNum>
  <w:abstractNum w:abstractNumId="1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0"/>
  </w:num>
  <w:num w:numId="2">
    <w:abstractNumId w:val="7"/>
  </w:num>
  <w:num w:numId="3">
    <w:abstractNumId w:val="1"/>
  </w:num>
  <w:num w:numId="4">
    <w:abstractNumId w:val="4"/>
  </w:num>
  <w:num w:numId="5">
    <w:abstractNumId w:val="5"/>
  </w:num>
  <w:num w:numId="6">
    <w:abstractNumId w:val="3"/>
  </w:num>
  <w:num w:numId="7">
    <w:abstractNumId w:val="6"/>
  </w:num>
  <w:num w:numId="8">
    <w:abstractNumId w:val="8"/>
  </w:num>
  <w:num w:numId="9">
    <w:abstractNumId w:val="9"/>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D8D6DB89"/>
    <w:rsid w:val="DB6F4CAB"/>
    <w:rsid w:val="DF6F9789"/>
    <w:rsid w:val="00010B39"/>
    <w:rsid w:val="000126CF"/>
    <w:rsid w:val="000222C6"/>
    <w:rsid w:val="0002549F"/>
    <w:rsid w:val="000468DB"/>
    <w:rsid w:val="0006487A"/>
    <w:rsid w:val="00065F8F"/>
    <w:rsid w:val="00070A43"/>
    <w:rsid w:val="000768F2"/>
    <w:rsid w:val="0009184B"/>
    <w:rsid w:val="00094236"/>
    <w:rsid w:val="0009593C"/>
    <w:rsid w:val="00097322"/>
    <w:rsid w:val="000A46FE"/>
    <w:rsid w:val="000A6A92"/>
    <w:rsid w:val="000B047F"/>
    <w:rsid w:val="000B16A5"/>
    <w:rsid w:val="000B5923"/>
    <w:rsid w:val="000B5A48"/>
    <w:rsid w:val="000B6FF3"/>
    <w:rsid w:val="000C3467"/>
    <w:rsid w:val="000C3CA6"/>
    <w:rsid w:val="000C4879"/>
    <w:rsid w:val="000D1267"/>
    <w:rsid w:val="000D1D50"/>
    <w:rsid w:val="000D5782"/>
    <w:rsid w:val="000E6613"/>
    <w:rsid w:val="000E7119"/>
    <w:rsid w:val="000F7FCC"/>
    <w:rsid w:val="00114E9B"/>
    <w:rsid w:val="00132995"/>
    <w:rsid w:val="00136D0C"/>
    <w:rsid w:val="00142216"/>
    <w:rsid w:val="00144D6A"/>
    <w:rsid w:val="0014729F"/>
    <w:rsid w:val="00157BAB"/>
    <w:rsid w:val="001654D1"/>
    <w:rsid w:val="00174518"/>
    <w:rsid w:val="0018005E"/>
    <w:rsid w:val="0018106D"/>
    <w:rsid w:val="001877A7"/>
    <w:rsid w:val="00191536"/>
    <w:rsid w:val="00196687"/>
    <w:rsid w:val="001A3F32"/>
    <w:rsid w:val="001C0962"/>
    <w:rsid w:val="001C288E"/>
    <w:rsid w:val="001D7531"/>
    <w:rsid w:val="001E2FF1"/>
    <w:rsid w:val="001E5624"/>
    <w:rsid w:val="001E737D"/>
    <w:rsid w:val="001F0592"/>
    <w:rsid w:val="001F20BE"/>
    <w:rsid w:val="001F7506"/>
    <w:rsid w:val="002006CD"/>
    <w:rsid w:val="00202B36"/>
    <w:rsid w:val="00204B7A"/>
    <w:rsid w:val="00204CDE"/>
    <w:rsid w:val="0021101A"/>
    <w:rsid w:val="00217081"/>
    <w:rsid w:val="00217D05"/>
    <w:rsid w:val="00220536"/>
    <w:rsid w:val="00235629"/>
    <w:rsid w:val="00247B82"/>
    <w:rsid w:val="0025193E"/>
    <w:rsid w:val="00260C38"/>
    <w:rsid w:val="002616C0"/>
    <w:rsid w:val="00265372"/>
    <w:rsid w:val="002662AA"/>
    <w:rsid w:val="00270F81"/>
    <w:rsid w:val="00280496"/>
    <w:rsid w:val="002846BC"/>
    <w:rsid w:val="00294DC9"/>
    <w:rsid w:val="00295495"/>
    <w:rsid w:val="002A31DE"/>
    <w:rsid w:val="002B2613"/>
    <w:rsid w:val="002B4E13"/>
    <w:rsid w:val="002D16A1"/>
    <w:rsid w:val="002D6D05"/>
    <w:rsid w:val="002E63BC"/>
    <w:rsid w:val="002F1818"/>
    <w:rsid w:val="002F567B"/>
    <w:rsid w:val="003216A9"/>
    <w:rsid w:val="003228F3"/>
    <w:rsid w:val="00335A74"/>
    <w:rsid w:val="00353642"/>
    <w:rsid w:val="0036561B"/>
    <w:rsid w:val="0037013F"/>
    <w:rsid w:val="00380C92"/>
    <w:rsid w:val="003A484F"/>
    <w:rsid w:val="003A4883"/>
    <w:rsid w:val="003B0BE0"/>
    <w:rsid w:val="003B0C1B"/>
    <w:rsid w:val="003B688C"/>
    <w:rsid w:val="003C0291"/>
    <w:rsid w:val="003C39AE"/>
    <w:rsid w:val="003C70F4"/>
    <w:rsid w:val="003C7B60"/>
    <w:rsid w:val="003D0C0F"/>
    <w:rsid w:val="003D1FB2"/>
    <w:rsid w:val="003D66DA"/>
    <w:rsid w:val="003E1310"/>
    <w:rsid w:val="003E6F55"/>
    <w:rsid w:val="00406254"/>
    <w:rsid w:val="00406C90"/>
    <w:rsid w:val="004223DE"/>
    <w:rsid w:val="00427BFC"/>
    <w:rsid w:val="00434489"/>
    <w:rsid w:val="00437085"/>
    <w:rsid w:val="00443880"/>
    <w:rsid w:val="004464F4"/>
    <w:rsid w:val="00446E63"/>
    <w:rsid w:val="004556E3"/>
    <w:rsid w:val="004565F0"/>
    <w:rsid w:val="00467094"/>
    <w:rsid w:val="00471401"/>
    <w:rsid w:val="00473484"/>
    <w:rsid w:val="00473F31"/>
    <w:rsid w:val="0048263A"/>
    <w:rsid w:val="00487E5D"/>
    <w:rsid w:val="004A1A68"/>
    <w:rsid w:val="004A5389"/>
    <w:rsid w:val="004A6F10"/>
    <w:rsid w:val="004A711F"/>
    <w:rsid w:val="004B199D"/>
    <w:rsid w:val="004B4690"/>
    <w:rsid w:val="004E0A2D"/>
    <w:rsid w:val="004E206B"/>
    <w:rsid w:val="004E6DF7"/>
    <w:rsid w:val="004F0409"/>
    <w:rsid w:val="004F0FBD"/>
    <w:rsid w:val="00505A47"/>
    <w:rsid w:val="00512FDA"/>
    <w:rsid w:val="00520DA0"/>
    <w:rsid w:val="00525C6B"/>
    <w:rsid w:val="00525E15"/>
    <w:rsid w:val="00532B7F"/>
    <w:rsid w:val="005664BB"/>
    <w:rsid w:val="00566FFA"/>
    <w:rsid w:val="0057481D"/>
    <w:rsid w:val="0058486E"/>
    <w:rsid w:val="00585B33"/>
    <w:rsid w:val="0059014D"/>
    <w:rsid w:val="005A2B1F"/>
    <w:rsid w:val="005B5C64"/>
    <w:rsid w:val="005B67C6"/>
    <w:rsid w:val="005C5337"/>
    <w:rsid w:val="005C6BD0"/>
    <w:rsid w:val="005D1C8B"/>
    <w:rsid w:val="005D468D"/>
    <w:rsid w:val="005D5CED"/>
    <w:rsid w:val="005D7D8C"/>
    <w:rsid w:val="005F1A4C"/>
    <w:rsid w:val="00602B5D"/>
    <w:rsid w:val="00605688"/>
    <w:rsid w:val="006070AF"/>
    <w:rsid w:val="00607E6C"/>
    <w:rsid w:val="006101B1"/>
    <w:rsid w:val="00610335"/>
    <w:rsid w:val="00614E44"/>
    <w:rsid w:val="00616631"/>
    <w:rsid w:val="0062270A"/>
    <w:rsid w:val="00622830"/>
    <w:rsid w:val="00623DA0"/>
    <w:rsid w:val="00630AEF"/>
    <w:rsid w:val="006325F8"/>
    <w:rsid w:val="00632616"/>
    <w:rsid w:val="00633463"/>
    <w:rsid w:val="00634C9A"/>
    <w:rsid w:val="006440E4"/>
    <w:rsid w:val="006555AC"/>
    <w:rsid w:val="0066343B"/>
    <w:rsid w:val="00664777"/>
    <w:rsid w:val="006663D9"/>
    <w:rsid w:val="0067280B"/>
    <w:rsid w:val="006748A4"/>
    <w:rsid w:val="00681A31"/>
    <w:rsid w:val="00683E73"/>
    <w:rsid w:val="006A3141"/>
    <w:rsid w:val="006A5E34"/>
    <w:rsid w:val="006B2422"/>
    <w:rsid w:val="006B2B9A"/>
    <w:rsid w:val="006B324B"/>
    <w:rsid w:val="006C1937"/>
    <w:rsid w:val="006D7749"/>
    <w:rsid w:val="006E143E"/>
    <w:rsid w:val="006F020C"/>
    <w:rsid w:val="00710925"/>
    <w:rsid w:val="007127B7"/>
    <w:rsid w:val="0071798E"/>
    <w:rsid w:val="00724612"/>
    <w:rsid w:val="007252E4"/>
    <w:rsid w:val="007416B6"/>
    <w:rsid w:val="00746F48"/>
    <w:rsid w:val="0075404D"/>
    <w:rsid w:val="0076182A"/>
    <w:rsid w:val="00767B7E"/>
    <w:rsid w:val="00774841"/>
    <w:rsid w:val="007770C3"/>
    <w:rsid w:val="00784D24"/>
    <w:rsid w:val="00785FBA"/>
    <w:rsid w:val="00786E4A"/>
    <w:rsid w:val="007875EB"/>
    <w:rsid w:val="0079426B"/>
    <w:rsid w:val="007B256B"/>
    <w:rsid w:val="007B66FB"/>
    <w:rsid w:val="007C672B"/>
    <w:rsid w:val="007D1682"/>
    <w:rsid w:val="007D1D41"/>
    <w:rsid w:val="007D312A"/>
    <w:rsid w:val="007D3F19"/>
    <w:rsid w:val="007D5FC4"/>
    <w:rsid w:val="007E23B0"/>
    <w:rsid w:val="007E23E5"/>
    <w:rsid w:val="007F1991"/>
    <w:rsid w:val="007F2C2F"/>
    <w:rsid w:val="007F55FC"/>
    <w:rsid w:val="007F5665"/>
    <w:rsid w:val="00800112"/>
    <w:rsid w:val="0080668B"/>
    <w:rsid w:val="00813348"/>
    <w:rsid w:val="00821A74"/>
    <w:rsid w:val="00824692"/>
    <w:rsid w:val="008248F9"/>
    <w:rsid w:val="008253BB"/>
    <w:rsid w:val="0083706E"/>
    <w:rsid w:val="008408F6"/>
    <w:rsid w:val="008423A5"/>
    <w:rsid w:val="008473AB"/>
    <w:rsid w:val="00850625"/>
    <w:rsid w:val="00853718"/>
    <w:rsid w:val="00855221"/>
    <w:rsid w:val="008578EB"/>
    <w:rsid w:val="00860645"/>
    <w:rsid w:val="00871F71"/>
    <w:rsid w:val="00872FD8"/>
    <w:rsid w:val="00885AF4"/>
    <w:rsid w:val="008861AB"/>
    <w:rsid w:val="008939CD"/>
    <w:rsid w:val="00895632"/>
    <w:rsid w:val="008B768C"/>
    <w:rsid w:val="008B7B17"/>
    <w:rsid w:val="008C3E96"/>
    <w:rsid w:val="008C4DB1"/>
    <w:rsid w:val="008C4EAF"/>
    <w:rsid w:val="008C5176"/>
    <w:rsid w:val="008C5A4B"/>
    <w:rsid w:val="008C7FD0"/>
    <w:rsid w:val="008D165E"/>
    <w:rsid w:val="008D5F4B"/>
    <w:rsid w:val="008E1DE7"/>
    <w:rsid w:val="008E707C"/>
    <w:rsid w:val="00900B08"/>
    <w:rsid w:val="00902155"/>
    <w:rsid w:val="00902FA3"/>
    <w:rsid w:val="009203EF"/>
    <w:rsid w:val="00923564"/>
    <w:rsid w:val="00923666"/>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A6853"/>
    <w:rsid w:val="009B2C43"/>
    <w:rsid w:val="009B4EAE"/>
    <w:rsid w:val="009B7573"/>
    <w:rsid w:val="009C22F4"/>
    <w:rsid w:val="009C2A4B"/>
    <w:rsid w:val="009C2E98"/>
    <w:rsid w:val="009D3447"/>
    <w:rsid w:val="009D4711"/>
    <w:rsid w:val="009E4DB6"/>
    <w:rsid w:val="009F0E41"/>
    <w:rsid w:val="009F1185"/>
    <w:rsid w:val="009F130F"/>
    <w:rsid w:val="009F18CD"/>
    <w:rsid w:val="009F2A13"/>
    <w:rsid w:val="009F5232"/>
    <w:rsid w:val="009F5540"/>
    <w:rsid w:val="009F7527"/>
    <w:rsid w:val="00A04EB0"/>
    <w:rsid w:val="00A13CC1"/>
    <w:rsid w:val="00A16847"/>
    <w:rsid w:val="00A237D8"/>
    <w:rsid w:val="00A268C4"/>
    <w:rsid w:val="00A307CD"/>
    <w:rsid w:val="00A331C8"/>
    <w:rsid w:val="00A40A00"/>
    <w:rsid w:val="00A4142F"/>
    <w:rsid w:val="00A422EB"/>
    <w:rsid w:val="00A42D43"/>
    <w:rsid w:val="00A45BB7"/>
    <w:rsid w:val="00A55B4A"/>
    <w:rsid w:val="00A56DF2"/>
    <w:rsid w:val="00A56E6E"/>
    <w:rsid w:val="00A67AB5"/>
    <w:rsid w:val="00A733B2"/>
    <w:rsid w:val="00A741C2"/>
    <w:rsid w:val="00A8422B"/>
    <w:rsid w:val="00A91760"/>
    <w:rsid w:val="00A93B00"/>
    <w:rsid w:val="00A93C21"/>
    <w:rsid w:val="00A93EB9"/>
    <w:rsid w:val="00A94EA4"/>
    <w:rsid w:val="00AB64C9"/>
    <w:rsid w:val="00AC3C6A"/>
    <w:rsid w:val="00AD5620"/>
    <w:rsid w:val="00AD656B"/>
    <w:rsid w:val="00AD7C1B"/>
    <w:rsid w:val="00AE16BA"/>
    <w:rsid w:val="00AE1EBE"/>
    <w:rsid w:val="00AE6868"/>
    <w:rsid w:val="00AF0A50"/>
    <w:rsid w:val="00B03C9D"/>
    <w:rsid w:val="00B060AE"/>
    <w:rsid w:val="00B10517"/>
    <w:rsid w:val="00B14E76"/>
    <w:rsid w:val="00B161B8"/>
    <w:rsid w:val="00B2048C"/>
    <w:rsid w:val="00B30ADB"/>
    <w:rsid w:val="00B310B9"/>
    <w:rsid w:val="00B3456F"/>
    <w:rsid w:val="00B35F3F"/>
    <w:rsid w:val="00B36CBB"/>
    <w:rsid w:val="00B425E0"/>
    <w:rsid w:val="00B440AA"/>
    <w:rsid w:val="00B44B70"/>
    <w:rsid w:val="00B53C56"/>
    <w:rsid w:val="00B57DAF"/>
    <w:rsid w:val="00B77EA6"/>
    <w:rsid w:val="00B81598"/>
    <w:rsid w:val="00B841F1"/>
    <w:rsid w:val="00B944D6"/>
    <w:rsid w:val="00BB4DF0"/>
    <w:rsid w:val="00BB664D"/>
    <w:rsid w:val="00BC289F"/>
    <w:rsid w:val="00BC2D50"/>
    <w:rsid w:val="00BC5361"/>
    <w:rsid w:val="00BC5460"/>
    <w:rsid w:val="00BC6B50"/>
    <w:rsid w:val="00BD0E25"/>
    <w:rsid w:val="00BD3514"/>
    <w:rsid w:val="00BE2A24"/>
    <w:rsid w:val="00BF5BD6"/>
    <w:rsid w:val="00C03E31"/>
    <w:rsid w:val="00C05F74"/>
    <w:rsid w:val="00C15333"/>
    <w:rsid w:val="00C33E72"/>
    <w:rsid w:val="00C354B2"/>
    <w:rsid w:val="00C35554"/>
    <w:rsid w:val="00C42709"/>
    <w:rsid w:val="00C501F8"/>
    <w:rsid w:val="00C52575"/>
    <w:rsid w:val="00C533CC"/>
    <w:rsid w:val="00C5751C"/>
    <w:rsid w:val="00C61BFC"/>
    <w:rsid w:val="00C62B85"/>
    <w:rsid w:val="00C64BA0"/>
    <w:rsid w:val="00C65438"/>
    <w:rsid w:val="00C81C4F"/>
    <w:rsid w:val="00C87FD8"/>
    <w:rsid w:val="00C91381"/>
    <w:rsid w:val="00C91CBB"/>
    <w:rsid w:val="00CA2180"/>
    <w:rsid w:val="00CB4E70"/>
    <w:rsid w:val="00CC09B6"/>
    <w:rsid w:val="00CC5525"/>
    <w:rsid w:val="00CC666F"/>
    <w:rsid w:val="00CC6BAC"/>
    <w:rsid w:val="00CD1E3F"/>
    <w:rsid w:val="00CD5844"/>
    <w:rsid w:val="00CE44F6"/>
    <w:rsid w:val="00CE49DA"/>
    <w:rsid w:val="00CE7B61"/>
    <w:rsid w:val="00D00095"/>
    <w:rsid w:val="00D03E61"/>
    <w:rsid w:val="00D114F0"/>
    <w:rsid w:val="00D15CA7"/>
    <w:rsid w:val="00D20620"/>
    <w:rsid w:val="00D254F7"/>
    <w:rsid w:val="00D26091"/>
    <w:rsid w:val="00D2685C"/>
    <w:rsid w:val="00D34E7C"/>
    <w:rsid w:val="00D34F17"/>
    <w:rsid w:val="00D35489"/>
    <w:rsid w:val="00D36AFE"/>
    <w:rsid w:val="00D45137"/>
    <w:rsid w:val="00D51276"/>
    <w:rsid w:val="00D7035F"/>
    <w:rsid w:val="00D77198"/>
    <w:rsid w:val="00D8301A"/>
    <w:rsid w:val="00D92B75"/>
    <w:rsid w:val="00DA634F"/>
    <w:rsid w:val="00DA65AC"/>
    <w:rsid w:val="00DB1913"/>
    <w:rsid w:val="00DB2B78"/>
    <w:rsid w:val="00DC082D"/>
    <w:rsid w:val="00DC410D"/>
    <w:rsid w:val="00DC4B63"/>
    <w:rsid w:val="00DC5A81"/>
    <w:rsid w:val="00DC68CA"/>
    <w:rsid w:val="00DC7CBA"/>
    <w:rsid w:val="00DD0051"/>
    <w:rsid w:val="00DD73B7"/>
    <w:rsid w:val="00DE4C36"/>
    <w:rsid w:val="00DF05CA"/>
    <w:rsid w:val="00DF06E2"/>
    <w:rsid w:val="00DF28BC"/>
    <w:rsid w:val="00DF34B9"/>
    <w:rsid w:val="00E01053"/>
    <w:rsid w:val="00E07ACF"/>
    <w:rsid w:val="00E11089"/>
    <w:rsid w:val="00E22135"/>
    <w:rsid w:val="00E25FB7"/>
    <w:rsid w:val="00E331A1"/>
    <w:rsid w:val="00E33202"/>
    <w:rsid w:val="00E336A9"/>
    <w:rsid w:val="00E472B1"/>
    <w:rsid w:val="00E50624"/>
    <w:rsid w:val="00E5285B"/>
    <w:rsid w:val="00E568DF"/>
    <w:rsid w:val="00E64269"/>
    <w:rsid w:val="00E82267"/>
    <w:rsid w:val="00E853CE"/>
    <w:rsid w:val="00E867B6"/>
    <w:rsid w:val="00EA010F"/>
    <w:rsid w:val="00EA67F5"/>
    <w:rsid w:val="00EA736A"/>
    <w:rsid w:val="00EC13A1"/>
    <w:rsid w:val="00ED1B63"/>
    <w:rsid w:val="00ED3C1F"/>
    <w:rsid w:val="00ED4085"/>
    <w:rsid w:val="00ED420E"/>
    <w:rsid w:val="00ED6FBE"/>
    <w:rsid w:val="00EE2F57"/>
    <w:rsid w:val="00EF39C0"/>
    <w:rsid w:val="00EF4C34"/>
    <w:rsid w:val="00EF77C6"/>
    <w:rsid w:val="00F0367C"/>
    <w:rsid w:val="00F05438"/>
    <w:rsid w:val="00F1361C"/>
    <w:rsid w:val="00F156F0"/>
    <w:rsid w:val="00F160C7"/>
    <w:rsid w:val="00F170F0"/>
    <w:rsid w:val="00F2408F"/>
    <w:rsid w:val="00F240E9"/>
    <w:rsid w:val="00F32590"/>
    <w:rsid w:val="00F36D8F"/>
    <w:rsid w:val="00F417B1"/>
    <w:rsid w:val="00F422FC"/>
    <w:rsid w:val="00F45853"/>
    <w:rsid w:val="00F602DF"/>
    <w:rsid w:val="00F754A1"/>
    <w:rsid w:val="00F81FD9"/>
    <w:rsid w:val="00F841AA"/>
    <w:rsid w:val="00F84A94"/>
    <w:rsid w:val="00F87E96"/>
    <w:rsid w:val="00FA23E8"/>
    <w:rsid w:val="00FA7003"/>
    <w:rsid w:val="00FB6F6C"/>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55A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555A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555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555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555AC"/>
    <w:pPr>
      <w:spacing w:beforeLines="30"/>
    </w:pPr>
    <w:rPr>
      <w:rFonts w:ascii="仿宋_GB2312" w:eastAsia="仿宋_GB2312"/>
      <w:kern w:val="0"/>
      <w:sz w:val="30"/>
    </w:rPr>
  </w:style>
  <w:style w:type="paragraph" w:styleId="a4">
    <w:name w:val="Body Text Indent"/>
    <w:basedOn w:val="a"/>
    <w:qFormat/>
    <w:rsid w:val="006555AC"/>
    <w:pPr>
      <w:spacing w:after="120"/>
      <w:ind w:leftChars="200" w:left="200"/>
    </w:pPr>
    <w:rPr>
      <w:rFonts w:ascii="仿宋_GB2312"/>
      <w:szCs w:val="32"/>
    </w:rPr>
  </w:style>
  <w:style w:type="paragraph" w:styleId="30">
    <w:name w:val="toc 3"/>
    <w:basedOn w:val="a"/>
    <w:next w:val="a"/>
    <w:uiPriority w:val="39"/>
    <w:unhideWhenUsed/>
    <w:qFormat/>
    <w:rsid w:val="006555AC"/>
    <w:pPr>
      <w:tabs>
        <w:tab w:val="right" w:leader="dot" w:pos="8296"/>
      </w:tabs>
      <w:ind w:leftChars="400" w:left="840"/>
    </w:pPr>
  </w:style>
  <w:style w:type="paragraph" w:styleId="a5">
    <w:name w:val="Balloon Text"/>
    <w:basedOn w:val="a"/>
    <w:link w:val="Char0"/>
    <w:uiPriority w:val="99"/>
    <w:semiHidden/>
    <w:unhideWhenUsed/>
    <w:qFormat/>
    <w:rsid w:val="006555AC"/>
    <w:rPr>
      <w:sz w:val="18"/>
      <w:szCs w:val="18"/>
    </w:rPr>
  </w:style>
  <w:style w:type="paragraph" w:styleId="a6">
    <w:name w:val="footer"/>
    <w:basedOn w:val="a"/>
    <w:link w:val="Char1"/>
    <w:uiPriority w:val="99"/>
    <w:qFormat/>
    <w:rsid w:val="006555AC"/>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6555A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555A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555AC"/>
    <w:pPr>
      <w:tabs>
        <w:tab w:val="right" w:leader="dot" w:pos="8296"/>
      </w:tabs>
      <w:ind w:leftChars="200" w:left="420"/>
    </w:pPr>
  </w:style>
  <w:style w:type="paragraph" w:styleId="21">
    <w:name w:val="Body Text First Indent 2"/>
    <w:basedOn w:val="a4"/>
    <w:uiPriority w:val="99"/>
    <w:unhideWhenUsed/>
    <w:qFormat/>
    <w:rsid w:val="006555AC"/>
    <w:pPr>
      <w:ind w:firstLineChars="200" w:firstLine="420"/>
    </w:pPr>
  </w:style>
  <w:style w:type="character" w:styleId="a8">
    <w:name w:val="Strong"/>
    <w:basedOn w:val="a1"/>
    <w:uiPriority w:val="22"/>
    <w:qFormat/>
    <w:rsid w:val="006555AC"/>
    <w:rPr>
      <w:b/>
    </w:rPr>
  </w:style>
  <w:style w:type="character" w:styleId="a9">
    <w:name w:val="Hyperlink"/>
    <w:basedOn w:val="a1"/>
    <w:uiPriority w:val="99"/>
    <w:unhideWhenUsed/>
    <w:qFormat/>
    <w:rsid w:val="006555AC"/>
    <w:rPr>
      <w:color w:val="0000FF" w:themeColor="hyperlink"/>
      <w:u w:val="single"/>
    </w:rPr>
  </w:style>
  <w:style w:type="paragraph" w:customStyle="1" w:styleId="5">
    <w:name w:val="标题 5（有编号）（绿盟科技）"/>
    <w:next w:val="a"/>
    <w:uiPriority w:val="99"/>
    <w:qFormat/>
    <w:rsid w:val="006555AC"/>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6555AC"/>
    <w:rPr>
      <w:rFonts w:ascii="Times New Roman" w:hAnsi="Times New Roman"/>
      <w:sz w:val="18"/>
      <w:szCs w:val="18"/>
    </w:rPr>
  </w:style>
  <w:style w:type="character" w:customStyle="1" w:styleId="Char2">
    <w:name w:val="页眉 Char"/>
    <w:link w:val="a7"/>
    <w:uiPriority w:val="99"/>
    <w:semiHidden/>
    <w:qFormat/>
    <w:locked/>
    <w:rsid w:val="006555AC"/>
    <w:rPr>
      <w:sz w:val="18"/>
    </w:rPr>
  </w:style>
  <w:style w:type="character" w:customStyle="1" w:styleId="FooterChar">
    <w:name w:val="Footer Char"/>
    <w:basedOn w:val="a1"/>
    <w:uiPriority w:val="99"/>
    <w:semiHidden/>
    <w:qFormat/>
    <w:rsid w:val="006555AC"/>
    <w:rPr>
      <w:rFonts w:ascii="Times New Roman" w:hAnsi="Times New Roman"/>
      <w:sz w:val="18"/>
      <w:szCs w:val="18"/>
    </w:rPr>
  </w:style>
  <w:style w:type="character" w:customStyle="1" w:styleId="Char1">
    <w:name w:val="页脚 Char"/>
    <w:link w:val="a6"/>
    <w:uiPriority w:val="99"/>
    <w:qFormat/>
    <w:locked/>
    <w:rsid w:val="006555AC"/>
    <w:rPr>
      <w:sz w:val="18"/>
    </w:rPr>
  </w:style>
  <w:style w:type="character" w:customStyle="1" w:styleId="BodyTextChar">
    <w:name w:val="Body Text Char"/>
    <w:basedOn w:val="a1"/>
    <w:uiPriority w:val="99"/>
    <w:semiHidden/>
    <w:qFormat/>
    <w:rsid w:val="006555AC"/>
    <w:rPr>
      <w:rFonts w:ascii="Times New Roman" w:hAnsi="Times New Roman"/>
      <w:szCs w:val="24"/>
    </w:rPr>
  </w:style>
  <w:style w:type="character" w:customStyle="1" w:styleId="Char">
    <w:name w:val="正文文本 Char"/>
    <w:link w:val="a0"/>
    <w:uiPriority w:val="99"/>
    <w:qFormat/>
    <w:locked/>
    <w:rsid w:val="006555AC"/>
    <w:rPr>
      <w:rFonts w:ascii="仿宋_GB2312" w:eastAsia="仿宋_GB2312" w:hAnsi="Times New Roman"/>
      <w:sz w:val="24"/>
    </w:rPr>
  </w:style>
  <w:style w:type="paragraph" w:customStyle="1" w:styleId="Default">
    <w:name w:val="Default"/>
    <w:uiPriority w:val="99"/>
    <w:qFormat/>
    <w:rsid w:val="006555AC"/>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6555AC"/>
    <w:pPr>
      <w:ind w:firstLineChars="200" w:firstLine="420"/>
    </w:pPr>
  </w:style>
  <w:style w:type="character" w:customStyle="1" w:styleId="1Char">
    <w:name w:val="标题 1 Char"/>
    <w:basedOn w:val="a1"/>
    <w:link w:val="1"/>
    <w:uiPriority w:val="9"/>
    <w:qFormat/>
    <w:rsid w:val="006555AC"/>
    <w:rPr>
      <w:rFonts w:ascii="Times New Roman" w:hAnsi="Times New Roman"/>
      <w:b/>
      <w:bCs/>
      <w:kern w:val="44"/>
      <w:sz w:val="44"/>
      <w:szCs w:val="44"/>
    </w:rPr>
  </w:style>
  <w:style w:type="character" w:customStyle="1" w:styleId="2Char">
    <w:name w:val="标题 2 Char"/>
    <w:basedOn w:val="a1"/>
    <w:link w:val="2"/>
    <w:uiPriority w:val="9"/>
    <w:qFormat/>
    <w:rsid w:val="006555A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655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6555AC"/>
    <w:rPr>
      <w:rFonts w:ascii="Times New Roman" w:hAnsi="Times New Roman"/>
      <w:kern w:val="2"/>
      <w:sz w:val="18"/>
      <w:szCs w:val="18"/>
    </w:rPr>
  </w:style>
  <w:style w:type="character" w:customStyle="1" w:styleId="3Char">
    <w:name w:val="标题 3 Char"/>
    <w:basedOn w:val="a1"/>
    <w:link w:val="3"/>
    <w:uiPriority w:val="9"/>
    <w:qFormat/>
    <w:rsid w:val="006555AC"/>
    <w:rPr>
      <w:rFonts w:ascii="Times New Roman" w:hAnsi="Times New Roman"/>
      <w:b/>
      <w:bCs/>
      <w:kern w:val="2"/>
      <w:sz w:val="32"/>
      <w:szCs w:val="32"/>
    </w:rPr>
  </w:style>
  <w:style w:type="paragraph" w:customStyle="1" w:styleId="TOC2">
    <w:name w:val="TOC 标题2"/>
    <w:basedOn w:val="1"/>
    <w:next w:val="a"/>
    <w:uiPriority w:val="39"/>
    <w:unhideWhenUsed/>
    <w:qFormat/>
    <w:rsid w:val="00655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6555AC"/>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5D7D8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c">
    <w:name w:val="FollowedHyperlink"/>
    <w:basedOn w:val="a1"/>
    <w:uiPriority w:val="99"/>
    <w:semiHidden/>
    <w:unhideWhenUsed/>
    <w:rsid w:val="005B67C6"/>
    <w:rPr>
      <w:color w:val="954F72"/>
      <w:u w:val="single"/>
    </w:rPr>
  </w:style>
  <w:style w:type="paragraph" w:customStyle="1" w:styleId="msonormal0">
    <w:name w:val="msonormal"/>
    <w:basedOn w:val="a"/>
    <w:rsid w:val="005B67C6"/>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B67C6"/>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5B67C6"/>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5B67C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s>
</file>

<file path=word/webSettings.xml><?xml version="1.0" encoding="utf-8"?>
<w:webSettings xmlns:r="http://schemas.openxmlformats.org/officeDocument/2006/relationships" xmlns:w="http://schemas.openxmlformats.org/wordprocessingml/2006/main">
  <w:divs>
    <w:div w:id="1106121450">
      <w:bodyDiv w:val="1"/>
      <w:marLeft w:val="0"/>
      <w:marRight w:val="0"/>
      <w:marTop w:val="0"/>
      <w:marBottom w:val="0"/>
      <w:divBdr>
        <w:top w:val="none" w:sz="0" w:space="0" w:color="auto"/>
        <w:left w:val="none" w:sz="0" w:space="0" w:color="auto"/>
        <w:bottom w:val="none" w:sz="0" w:space="0" w:color="auto"/>
        <w:right w:val="none" w:sz="0" w:space="0" w:color="auto"/>
      </w:divBdr>
    </w:div>
    <w:div w:id="17120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945785607112126"/>
          <c:y val="0.13581297620816266"/>
          <c:w val="0.57909604519774016"/>
          <c:h val="0.73529411764705965"/>
        </c:manualLayout>
      </c:layout>
      <c:barChart>
        <c:barDir val="col"/>
        <c:grouping val="clustered"/>
        <c:ser>
          <c:idx val="0"/>
          <c:order val="0"/>
          <c:tx>
            <c:strRef>
              <c:f>Sheet1!$A$2</c:f>
              <c:strCache>
                <c:ptCount val="1"/>
                <c:pt idx="0">
                  <c:v>收、支合计</c:v>
                </c:pt>
              </c:strCache>
            </c:strRef>
          </c:tx>
          <c:spPr>
            <a:solidFill>
              <a:srgbClr val="9999FF"/>
            </a:solidFill>
            <a:ln w="12665">
              <a:solidFill>
                <a:srgbClr val="000000"/>
              </a:solidFill>
              <a:prstDash val="solid"/>
            </a:ln>
          </c:spPr>
          <c:dPt>
            <c:idx val="1"/>
            <c:spPr>
              <a:solidFill>
                <a:srgbClr val="993366"/>
              </a:solidFill>
              <a:ln w="12665">
                <a:solidFill>
                  <a:srgbClr val="000000"/>
                </a:solidFill>
                <a:prstDash val="solid"/>
              </a:ln>
            </c:spPr>
            <c:extLst xmlns:c16r2="http://schemas.microsoft.com/office/drawing/2015/06/chart">
              <c:ext xmlns:c16="http://schemas.microsoft.com/office/drawing/2014/chart" uri="{C3380CC4-5D6E-409C-BE32-E72D297353CC}">
                <c16:uniqueId val="{00000001-4E18-4FD1-A702-10F27AC844B4}"/>
              </c:ext>
            </c:extLst>
          </c:dPt>
          <c:dLbls>
            <c:spPr>
              <a:noFill/>
              <a:ln w="25331">
                <a:noFill/>
              </a:ln>
            </c:spPr>
            <c:txPr>
              <a:bodyPr/>
              <a:lstStyle/>
              <a:p>
                <a:pPr>
                  <a:defRPr sz="1147" b="0" i="0" u="none" strike="noStrike" baseline="0">
                    <a:solidFill>
                      <a:srgbClr val="000000"/>
                    </a:solidFill>
                    <a:latin typeface="宋体"/>
                    <a:ea typeface="宋体"/>
                    <a:cs typeface="宋体"/>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2021年</c:v>
                </c:pt>
                <c:pt idx="1">
                  <c:v>2022年</c:v>
                </c:pt>
              </c:strCache>
            </c:strRef>
          </c:cat>
          <c:val>
            <c:numRef>
              <c:f>Sheet1!$B$2:$C$2</c:f>
              <c:numCache>
                <c:formatCode>General</c:formatCode>
                <c:ptCount val="2"/>
                <c:pt idx="0">
                  <c:v>58156.3</c:v>
                </c:pt>
                <c:pt idx="1">
                  <c:v>59907.99</c:v>
                </c:pt>
              </c:numCache>
            </c:numRef>
          </c:val>
          <c:extLst xmlns:c16r2="http://schemas.microsoft.com/office/drawing/2015/06/chart">
            <c:ext xmlns:c16="http://schemas.microsoft.com/office/drawing/2014/chart" uri="{C3380CC4-5D6E-409C-BE32-E72D297353CC}">
              <c16:uniqueId val="{00000002-4E18-4FD1-A702-10F27AC844B4}"/>
            </c:ext>
          </c:extLst>
        </c:ser>
        <c:axId val="147485824"/>
        <c:axId val="147487360"/>
      </c:barChart>
      <c:catAx>
        <c:axId val="147485824"/>
        <c:scaling>
          <c:orientation val="minMax"/>
        </c:scaling>
        <c:axPos val="b"/>
        <c:numFmt formatCode="General" sourceLinked="1"/>
        <c:majorTickMark val="in"/>
        <c:tickLblPos val="nextTo"/>
        <c:spPr>
          <a:ln w="3166">
            <a:solidFill>
              <a:srgbClr val="000000"/>
            </a:solidFill>
            <a:prstDash val="solid"/>
          </a:ln>
        </c:spPr>
        <c:txPr>
          <a:bodyPr rot="0" vert="horz"/>
          <a:lstStyle/>
          <a:p>
            <a:pPr>
              <a:defRPr sz="1147" b="0" i="0" u="none" strike="noStrike" baseline="0">
                <a:solidFill>
                  <a:srgbClr val="000000"/>
                </a:solidFill>
                <a:latin typeface="宋体"/>
                <a:ea typeface="宋体"/>
                <a:cs typeface="宋体"/>
              </a:defRPr>
            </a:pPr>
            <a:endParaRPr lang="zh-CN"/>
          </a:p>
        </c:txPr>
        <c:crossAx val="147487360"/>
        <c:crosses val="autoZero"/>
        <c:auto val="1"/>
        <c:lblAlgn val="ctr"/>
        <c:lblOffset val="100"/>
        <c:tickLblSkip val="1"/>
        <c:tickMarkSkip val="1"/>
      </c:catAx>
      <c:valAx>
        <c:axId val="147487360"/>
        <c:scaling>
          <c:orientation val="minMax"/>
        </c:scaling>
        <c:axPos val="l"/>
        <c:majorGridlines>
          <c:spPr>
            <a:ln w="3166">
              <a:solidFill>
                <a:srgbClr val="000000"/>
              </a:solidFill>
              <a:prstDash val="solid"/>
            </a:ln>
          </c:spPr>
        </c:majorGridlines>
        <c:numFmt formatCode="General" sourceLinked="1"/>
        <c:majorTickMark val="in"/>
        <c:tickLblPos val="nextTo"/>
        <c:spPr>
          <a:ln w="3166">
            <a:solidFill>
              <a:srgbClr val="000000"/>
            </a:solidFill>
            <a:prstDash val="solid"/>
          </a:ln>
        </c:spPr>
        <c:txPr>
          <a:bodyPr rot="0" vert="horz"/>
          <a:lstStyle/>
          <a:p>
            <a:pPr>
              <a:defRPr sz="1147" b="0" i="0" u="none" strike="noStrike" baseline="0">
                <a:solidFill>
                  <a:srgbClr val="000000"/>
                </a:solidFill>
                <a:latin typeface="宋体"/>
                <a:ea typeface="宋体"/>
                <a:cs typeface="宋体"/>
              </a:defRPr>
            </a:pPr>
            <a:endParaRPr lang="zh-CN"/>
          </a:p>
        </c:txPr>
        <c:crossAx val="147485824"/>
        <c:crosses val="autoZero"/>
        <c:crossBetween val="between"/>
      </c:valAx>
      <c:spPr>
        <a:solidFill>
          <a:srgbClr val="C0C0C0"/>
        </a:solidFill>
        <a:ln w="12665">
          <a:solidFill>
            <a:srgbClr val="808080"/>
          </a:solidFill>
          <a:prstDash val="solid"/>
        </a:ln>
      </c:spPr>
    </c:plotArea>
    <c:legend>
      <c:legendPos val="r"/>
      <c:layout>
        <c:manualLayout>
          <c:xMode val="edge"/>
          <c:yMode val="edge"/>
          <c:x val="0.79096045197740117"/>
          <c:y val="0.36974789915966505"/>
          <c:w val="0.1977401129943504"/>
          <c:h val="0.17226890756302563"/>
        </c:manualLayout>
      </c:layout>
      <c:spPr>
        <a:noFill/>
        <a:ln w="3166">
          <a:solidFill>
            <a:srgbClr val="000000"/>
          </a:solidFill>
          <a:prstDash val="solid"/>
        </a:ln>
      </c:spPr>
      <c:txPr>
        <a:bodyPr/>
        <a:lstStyle/>
        <a:p>
          <a:pPr>
            <a:defRPr sz="105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47"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0416023239813474"/>
          <c:y val="0.26970445958829126"/>
          <c:w val="0.31721656219232275"/>
          <c:h val="0.54937973000011775"/>
        </c:manualLayout>
      </c:layout>
      <c:pieChart>
        <c:varyColors val="1"/>
        <c:ser>
          <c:idx val="0"/>
          <c:order val="0"/>
          <c:tx>
            <c:strRef>
              <c:f>Sheet1!$A$2</c:f>
              <c:strCache>
                <c:ptCount val="1"/>
                <c:pt idx="0">
                  <c:v>2022年本年收入占比图</c:v>
                </c:pt>
              </c:strCache>
            </c:strRef>
          </c:tx>
          <c:spPr>
            <a:solidFill>
              <a:srgbClr val="9999FF"/>
            </a:solidFill>
            <a:ln w="12693">
              <a:solidFill>
                <a:srgbClr val="000000"/>
              </a:solidFill>
              <a:prstDash val="solid"/>
            </a:ln>
          </c:spPr>
          <c:explosion val="30"/>
          <c:dPt>
            <c:idx val="1"/>
            <c:spPr>
              <a:solidFill>
                <a:srgbClr val="993366"/>
              </a:solidFill>
              <a:ln w="12693">
                <a:solidFill>
                  <a:srgbClr val="000000"/>
                </a:solidFill>
                <a:prstDash val="solid"/>
              </a:ln>
            </c:spPr>
            <c:extLst xmlns:c16r2="http://schemas.microsoft.com/office/drawing/2015/06/chart">
              <c:ext xmlns:c16="http://schemas.microsoft.com/office/drawing/2014/chart" uri="{C3380CC4-5D6E-409C-BE32-E72D297353CC}">
                <c16:uniqueId val="{00000001-31CF-45C7-8C84-EB337D80FE25}"/>
              </c:ext>
            </c:extLst>
          </c:dPt>
          <c:dPt>
            <c:idx val="2"/>
            <c:spPr>
              <a:solidFill>
                <a:srgbClr val="FFFFCC"/>
              </a:solidFill>
              <a:ln w="12693">
                <a:solidFill>
                  <a:srgbClr val="000000"/>
                </a:solidFill>
                <a:prstDash val="solid"/>
              </a:ln>
            </c:spPr>
            <c:extLst xmlns:c16r2="http://schemas.microsoft.com/office/drawing/2015/06/chart">
              <c:ext xmlns:c16="http://schemas.microsoft.com/office/drawing/2014/chart" uri="{C3380CC4-5D6E-409C-BE32-E72D297353CC}">
                <c16:uniqueId val="{00000003-31CF-45C7-8C84-EB337D80FE25}"/>
              </c:ext>
            </c:extLst>
          </c:dPt>
          <c:dLbls>
            <c:dLbl>
              <c:idx val="0"/>
              <c:layout>
                <c:manualLayout>
                  <c:x val="-5.1081195495724305E-2"/>
                  <c:y val="-2.143367593069563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1CF-45C7-8C84-EB337D80FE25}"/>
                </c:ext>
              </c:extLst>
            </c:dLbl>
            <c:dLbl>
              <c:idx val="1"/>
              <c:layout>
                <c:manualLayout>
                  <c:x val="-2.6312328878838359E-2"/>
                  <c:y val="0.14861733931240731"/>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1CF-45C7-8C84-EB337D80FE25}"/>
                </c:ext>
              </c:extLst>
            </c:dLbl>
            <c:dLbl>
              <c:idx val="2"/>
              <c:layout>
                <c:manualLayout>
                  <c:x val="8.2589591349625013E-2"/>
                  <c:y val="-5.336921120154118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CF-45C7-8C84-EB337D80FE25}"/>
                </c:ext>
              </c:extLst>
            </c:dLbl>
            <c:numFmt formatCode="#,##0.00;[Red]\-#,##0.00" sourceLinked="0"/>
            <c:spPr>
              <a:noFill/>
              <a:ln w="25386">
                <a:noFill/>
              </a:ln>
            </c:spPr>
            <c:txPr>
              <a:bodyPr/>
              <a:lstStyle/>
              <a:p>
                <a:pPr>
                  <a:defRPr sz="1724" b="0" i="0" u="none" strike="noStrike" baseline="0">
                    <a:solidFill>
                      <a:srgbClr val="000000"/>
                    </a:solidFill>
                    <a:latin typeface="宋体"/>
                    <a:ea typeface="宋体"/>
                    <a:cs typeface="宋体"/>
                  </a:defRPr>
                </a:pPr>
                <a:endParaRPr lang="zh-CN"/>
              </a:p>
            </c:txPr>
            <c:dLblPos val="bestFit"/>
            <c:showVal val="1"/>
            <c:showLeaderLines val="1"/>
            <c:extLst xmlns:c16r2="http://schemas.microsoft.com/office/drawing/2015/06/chart">
              <c:ext xmlns:c15="http://schemas.microsoft.com/office/drawing/2012/chart" uri="{CE6537A1-D6FC-4f65-9D91-7224C49458BB}"/>
            </c:extLst>
          </c:dLbls>
          <c:cat>
            <c:strRef>
              <c:f>Sheet1!$B$1:$D$1</c:f>
              <c:strCache>
                <c:ptCount val="3"/>
                <c:pt idx="0">
                  <c:v>一般公共预算财政拨款收入</c:v>
                </c:pt>
                <c:pt idx="1">
                  <c:v>政府性基金预算财政拨款收入</c:v>
                </c:pt>
                <c:pt idx="2">
                  <c:v>其他收入</c:v>
                </c:pt>
              </c:strCache>
            </c:strRef>
          </c:cat>
          <c:val>
            <c:numRef>
              <c:f>Sheet1!$B$2:$D$2</c:f>
              <c:numCache>
                <c:formatCode>General</c:formatCode>
                <c:ptCount val="3"/>
                <c:pt idx="0">
                  <c:v>52532.810000000012</c:v>
                </c:pt>
                <c:pt idx="1">
                  <c:v>464</c:v>
                </c:pt>
                <c:pt idx="2">
                  <c:v>2265.36</c:v>
                </c:pt>
              </c:numCache>
            </c:numRef>
          </c:val>
          <c:extLst xmlns:c16r2="http://schemas.microsoft.com/office/drawing/2015/06/chart">
            <c:ext xmlns:c16="http://schemas.microsoft.com/office/drawing/2014/chart" uri="{C3380CC4-5D6E-409C-BE32-E72D297353CC}">
              <c16:uniqueId val="{00000005-31CF-45C7-8C84-EB337D80FE25}"/>
            </c:ext>
          </c:extLst>
        </c:ser>
        <c:ser>
          <c:idx val="1"/>
          <c:order val="1"/>
          <c:tx>
            <c:strRef>
              <c:f>Sheet1!$A$3</c:f>
              <c:strCache>
                <c:ptCount val="1"/>
              </c:strCache>
            </c:strRef>
          </c:tx>
          <c:spPr>
            <a:solidFill>
              <a:srgbClr val="993366"/>
            </a:solidFill>
            <a:ln w="12693">
              <a:solidFill>
                <a:srgbClr val="000000"/>
              </a:solidFill>
              <a:prstDash val="solid"/>
            </a:ln>
          </c:spPr>
          <c:dPt>
            <c:idx val="0"/>
            <c:spPr>
              <a:solidFill>
                <a:srgbClr val="9999FF"/>
              </a:solidFill>
              <a:ln w="12693">
                <a:solidFill>
                  <a:srgbClr val="000000"/>
                </a:solidFill>
                <a:prstDash val="solid"/>
              </a:ln>
            </c:spPr>
            <c:extLst xmlns:c16r2="http://schemas.microsoft.com/office/drawing/2015/06/chart">
              <c:ext xmlns:c16="http://schemas.microsoft.com/office/drawing/2014/chart" uri="{C3380CC4-5D6E-409C-BE32-E72D297353CC}">
                <c16:uniqueId val="{00000007-31CF-45C7-8C84-EB337D80FE25}"/>
              </c:ext>
            </c:extLst>
          </c:dPt>
          <c:dPt>
            <c:idx val="2"/>
            <c:spPr>
              <a:solidFill>
                <a:srgbClr val="FFFFCC"/>
              </a:solidFill>
              <a:ln w="12693">
                <a:solidFill>
                  <a:srgbClr val="000000"/>
                </a:solidFill>
                <a:prstDash val="solid"/>
              </a:ln>
            </c:spPr>
            <c:extLst xmlns:c16r2="http://schemas.microsoft.com/office/drawing/2015/06/chart">
              <c:ext xmlns:c16="http://schemas.microsoft.com/office/drawing/2014/chart" uri="{C3380CC4-5D6E-409C-BE32-E72D297353CC}">
                <c16:uniqueId val="{00000009-31CF-45C7-8C84-EB337D80FE25}"/>
              </c:ext>
            </c:extLst>
          </c:dPt>
          <c:dLbls>
            <c:numFmt formatCode="0%" sourceLinked="0"/>
            <c:spPr>
              <a:noFill/>
              <a:ln w="25386">
                <a:noFill/>
              </a:ln>
            </c:spPr>
            <c:txPr>
              <a:bodyPr/>
              <a:lstStyle/>
              <a:p>
                <a:pPr>
                  <a:defRPr sz="1724" b="0" i="0" u="none" strike="noStrike" baseline="0">
                    <a:solidFill>
                      <a:srgbClr val="000000"/>
                    </a:solidFill>
                    <a:latin typeface="宋体"/>
                    <a:ea typeface="宋体"/>
                    <a:cs typeface="宋体"/>
                  </a:defRPr>
                </a:pPr>
                <a:endParaRPr lang="zh-CN"/>
              </a:p>
            </c:txPr>
            <c:showVal val="1"/>
            <c:showPercent val="1"/>
            <c:showLeaderLines val="1"/>
            <c:extLst xmlns:c16r2="http://schemas.microsoft.com/office/drawing/2015/06/chart">
              <c:ext xmlns:c15="http://schemas.microsoft.com/office/drawing/2012/chart" uri="{CE6537A1-D6FC-4f65-9D91-7224C49458BB}"/>
            </c:extLst>
          </c:dLbls>
          <c:cat>
            <c:strRef>
              <c:f>Sheet1!$B$1:$D$1</c:f>
              <c:strCache>
                <c:ptCount val="3"/>
                <c:pt idx="0">
                  <c:v>一般公共预算财政拨款收入</c:v>
                </c:pt>
                <c:pt idx="1">
                  <c:v>政府性基金预算财政拨款收入</c:v>
                </c:pt>
                <c:pt idx="2">
                  <c:v>其他收入</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A-31CF-45C7-8C84-EB337D80FE25}"/>
            </c:ext>
          </c:extLst>
        </c:ser>
        <c:ser>
          <c:idx val="2"/>
          <c:order val="2"/>
          <c:tx>
            <c:strRef>
              <c:f>Sheet1!$A$4</c:f>
              <c:strCache>
                <c:ptCount val="1"/>
              </c:strCache>
            </c:strRef>
          </c:tx>
          <c:spPr>
            <a:solidFill>
              <a:srgbClr val="FFFFCC"/>
            </a:solidFill>
            <a:ln w="12693">
              <a:solidFill>
                <a:srgbClr val="000000"/>
              </a:solidFill>
              <a:prstDash val="solid"/>
            </a:ln>
          </c:spPr>
          <c:dPt>
            <c:idx val="0"/>
            <c:spPr>
              <a:solidFill>
                <a:srgbClr val="9999FF"/>
              </a:solidFill>
              <a:ln w="12693">
                <a:solidFill>
                  <a:srgbClr val="000000"/>
                </a:solidFill>
                <a:prstDash val="solid"/>
              </a:ln>
            </c:spPr>
            <c:extLst xmlns:c16r2="http://schemas.microsoft.com/office/drawing/2015/06/chart">
              <c:ext xmlns:c16="http://schemas.microsoft.com/office/drawing/2014/chart" uri="{C3380CC4-5D6E-409C-BE32-E72D297353CC}">
                <c16:uniqueId val="{0000000C-31CF-45C7-8C84-EB337D80FE25}"/>
              </c:ext>
            </c:extLst>
          </c:dPt>
          <c:dPt>
            <c:idx val="1"/>
            <c:spPr>
              <a:solidFill>
                <a:srgbClr val="993366"/>
              </a:solidFill>
              <a:ln w="12693">
                <a:solidFill>
                  <a:srgbClr val="000000"/>
                </a:solidFill>
                <a:prstDash val="solid"/>
              </a:ln>
            </c:spPr>
            <c:extLst xmlns:c16r2="http://schemas.microsoft.com/office/drawing/2015/06/chart">
              <c:ext xmlns:c16="http://schemas.microsoft.com/office/drawing/2014/chart" uri="{C3380CC4-5D6E-409C-BE32-E72D297353CC}">
                <c16:uniqueId val="{0000000E-31CF-45C7-8C84-EB337D80FE25}"/>
              </c:ext>
            </c:extLst>
          </c:dPt>
          <c:dLbls>
            <c:numFmt formatCode="0%" sourceLinked="0"/>
            <c:spPr>
              <a:noFill/>
              <a:ln w="25386">
                <a:noFill/>
              </a:ln>
            </c:spPr>
            <c:txPr>
              <a:bodyPr/>
              <a:lstStyle/>
              <a:p>
                <a:pPr>
                  <a:defRPr sz="1724" b="0" i="0" u="none" strike="noStrike" baseline="0">
                    <a:solidFill>
                      <a:srgbClr val="000000"/>
                    </a:solidFill>
                    <a:latin typeface="宋体"/>
                    <a:ea typeface="宋体"/>
                    <a:cs typeface="宋体"/>
                  </a:defRPr>
                </a:pPr>
                <a:endParaRPr lang="zh-CN"/>
              </a:p>
            </c:txPr>
            <c:showVal val="1"/>
            <c:showPercent val="1"/>
            <c:showLeaderLines val="1"/>
            <c:extLst xmlns:c16r2="http://schemas.microsoft.com/office/drawing/2015/06/chart">
              <c:ext xmlns:c15="http://schemas.microsoft.com/office/drawing/2012/chart" uri="{CE6537A1-D6FC-4f65-9D91-7224C49458BB}"/>
            </c:extLst>
          </c:dLbls>
          <c:cat>
            <c:strRef>
              <c:f>Sheet1!$B$1:$D$1</c:f>
              <c:strCache>
                <c:ptCount val="3"/>
                <c:pt idx="0">
                  <c:v>一般公共预算财政拨款收入</c:v>
                </c:pt>
                <c:pt idx="1">
                  <c:v>政府性基金预算财政拨款收入</c:v>
                </c:pt>
                <c:pt idx="2">
                  <c:v>其他收入</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0F-31CF-45C7-8C84-EB337D80FE25}"/>
            </c:ext>
          </c:extLst>
        </c:ser>
        <c:dLbls>
          <c:showVal val="1"/>
          <c:showPercent val="1"/>
        </c:dLbls>
        <c:firstSliceAng val="0"/>
      </c:pieChart>
      <c:spPr>
        <a:solidFill>
          <a:srgbClr val="C0C0C0"/>
        </a:solidFill>
        <a:ln w="12693">
          <a:solidFill>
            <a:srgbClr val="808080"/>
          </a:solidFill>
          <a:prstDash val="solid"/>
        </a:ln>
      </c:spPr>
    </c:plotArea>
    <c:legend>
      <c:legendPos val="r"/>
      <c:layout>
        <c:manualLayout>
          <c:xMode val="edge"/>
          <c:yMode val="edge"/>
          <c:x val="0.66940789473684215"/>
          <c:y val="0.15020440428767232"/>
          <c:w val="0.29533937290096873"/>
          <c:h val="0.69129415761424362"/>
        </c:manualLayout>
      </c:layout>
      <c:spPr>
        <a:noFill/>
        <a:ln w="3173">
          <a:solidFill>
            <a:srgbClr val="000000"/>
          </a:solidFill>
          <a:prstDash val="solid"/>
        </a:ln>
      </c:spPr>
      <c:txPr>
        <a:bodyPr/>
        <a:lstStyle/>
        <a:p>
          <a:pPr>
            <a:defRPr sz="1584"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724"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9993031844470771"/>
          <c:y val="0.10150397622799349"/>
          <c:w val="0.38898845608900801"/>
          <c:h val="0.77273417295150015"/>
        </c:manualLayout>
      </c:layout>
      <c:pieChart>
        <c:varyColors val="1"/>
        <c:ser>
          <c:idx val="0"/>
          <c:order val="0"/>
          <c:tx>
            <c:strRef>
              <c:f>Sheet1!$A$2</c:f>
              <c:strCache>
                <c:ptCount val="1"/>
                <c:pt idx="0">
                  <c:v>本年支出合计</c:v>
                </c:pt>
              </c:strCache>
            </c:strRef>
          </c:tx>
          <c:spPr>
            <a:solidFill>
              <a:srgbClr val="9999FF"/>
            </a:solidFill>
            <a:ln w="16903">
              <a:solidFill>
                <a:srgbClr val="000000"/>
              </a:solidFill>
              <a:prstDash val="solid"/>
            </a:ln>
          </c:spPr>
          <c:explosion val="25"/>
          <c:dPt>
            <c:idx val="1"/>
            <c:spPr>
              <a:solidFill>
                <a:srgbClr val="993366"/>
              </a:solidFill>
              <a:ln w="16903">
                <a:solidFill>
                  <a:srgbClr val="000000"/>
                </a:solidFill>
                <a:prstDash val="solid"/>
              </a:ln>
            </c:spPr>
            <c:extLst xmlns:c16r2="http://schemas.microsoft.com/office/drawing/2015/06/chart">
              <c:ext xmlns:c16="http://schemas.microsoft.com/office/drawing/2014/chart" uri="{C3380CC4-5D6E-409C-BE32-E72D297353CC}">
                <c16:uniqueId val="{00000001-8BB4-44CC-A59A-3CFB2FBDF24E}"/>
              </c:ext>
            </c:extLst>
          </c:dPt>
          <c:dLbls>
            <c:dLbl>
              <c:idx val="0"/>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BB4-44CC-A59A-3CFB2FBDF24E}"/>
                </c:ext>
              </c:extLst>
            </c:dLbl>
            <c:dLbl>
              <c:idx val="1"/>
              <c:layout>
                <c:manualLayout>
                  <c:x val="0.12275729914291687"/>
                  <c:y val="1.537290258875857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B4-44CC-A59A-3CFB2FBDF24E}"/>
                </c:ext>
              </c:extLst>
            </c:dLbl>
            <c:numFmt formatCode="0.00_ " sourceLinked="0"/>
            <c:spPr>
              <a:noFill/>
              <a:ln w="33807">
                <a:noFill/>
              </a:ln>
            </c:spPr>
            <c:txPr>
              <a:bodyPr/>
              <a:lstStyle/>
              <a:p>
                <a:pPr>
                  <a:defRPr sz="1065" b="0" i="0" u="none" strike="noStrike" baseline="0">
                    <a:solidFill>
                      <a:srgbClr val="000000"/>
                    </a:solidFill>
                    <a:latin typeface="宋体"/>
                    <a:ea typeface="宋体"/>
                    <a:cs typeface="宋体"/>
                  </a:defRPr>
                </a:pPr>
                <a:endParaRPr lang="zh-CN"/>
              </a:p>
            </c:txPr>
            <c:dLblPos val="ctr"/>
            <c:showPercent val="1"/>
            <c:showLeaderLines val="1"/>
            <c:extLst xmlns:c16r2="http://schemas.microsoft.com/office/drawing/2015/06/chart">
              <c:ext xmlns:c15="http://schemas.microsoft.com/office/drawing/2012/chart" uri="{CE6537A1-D6FC-4f65-9D91-7224C49458BB}"/>
            </c:extLst>
          </c:dLbls>
          <c:cat>
            <c:strRef>
              <c:f>Sheet1!$B$1:$C$1</c:f>
              <c:strCache>
                <c:ptCount val="2"/>
                <c:pt idx="0">
                  <c:v>基本支出</c:v>
                </c:pt>
                <c:pt idx="1">
                  <c:v>项目支出</c:v>
                </c:pt>
              </c:strCache>
            </c:strRef>
          </c:cat>
          <c:val>
            <c:numRef>
              <c:f>Sheet1!$B$2:$C$2</c:f>
              <c:numCache>
                <c:formatCode>General</c:formatCode>
                <c:ptCount val="2"/>
                <c:pt idx="0">
                  <c:v>50450.93</c:v>
                </c:pt>
                <c:pt idx="1">
                  <c:v>9210.66</c:v>
                </c:pt>
              </c:numCache>
            </c:numRef>
          </c:val>
          <c:extLst xmlns:c16r2="http://schemas.microsoft.com/office/drawing/2015/06/chart">
            <c:ext xmlns:c16="http://schemas.microsoft.com/office/drawing/2014/chart" uri="{C3380CC4-5D6E-409C-BE32-E72D297353CC}">
              <c16:uniqueId val="{00000003-8BB4-44CC-A59A-3CFB2FBDF24E}"/>
            </c:ext>
          </c:extLst>
        </c:ser>
        <c:firstSliceAng val="0"/>
      </c:pieChart>
      <c:spPr>
        <a:solidFill>
          <a:srgbClr val="C0C0C0"/>
        </a:solidFill>
        <a:ln w="16903">
          <a:solidFill>
            <a:srgbClr val="808080"/>
          </a:solidFill>
          <a:prstDash val="solid"/>
        </a:ln>
      </c:spPr>
    </c:plotArea>
    <c:legend>
      <c:legendPos val="r"/>
      <c:layout>
        <c:manualLayout>
          <c:xMode val="edge"/>
          <c:yMode val="edge"/>
          <c:x val="0.66671979002624671"/>
          <c:y val="0.42480603343861317"/>
          <c:w val="0.20598006644518271"/>
          <c:h val="0.22602739726027396"/>
        </c:manualLayout>
      </c:layout>
      <c:spPr>
        <a:noFill/>
        <a:ln w="4226">
          <a:solidFill>
            <a:srgbClr val="000000"/>
          </a:solidFill>
          <a:prstDash val="solid"/>
        </a:ln>
      </c:spPr>
      <c:txPr>
        <a:bodyPr/>
        <a:lstStyle/>
        <a:p>
          <a:pPr>
            <a:defRPr sz="978"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65"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402765940923196"/>
          <c:y val="8.8150440732481239E-2"/>
          <c:w val="0.58573277161924997"/>
          <c:h val="0.69927753250496871"/>
        </c:manualLayout>
      </c:layout>
      <c:barChart>
        <c:barDir val="col"/>
        <c:grouping val="clustered"/>
        <c:ser>
          <c:idx val="0"/>
          <c:order val="0"/>
          <c:tx>
            <c:strRef>
              <c:f>Sheet1!$A$2</c:f>
              <c:strCache>
                <c:ptCount val="1"/>
                <c:pt idx="0">
                  <c:v>财政拨款收支总计</c:v>
                </c:pt>
              </c:strCache>
            </c:strRef>
          </c:tx>
          <c:spPr>
            <a:solidFill>
              <a:srgbClr val="993366"/>
            </a:solidFill>
            <a:ln w="12703">
              <a:solidFill>
                <a:srgbClr val="000000"/>
              </a:solidFill>
              <a:prstDash val="solid"/>
            </a:ln>
          </c:spPr>
          <c:dPt>
            <c:idx val="0"/>
            <c:spPr>
              <a:solidFill>
                <a:srgbClr val="666699"/>
              </a:solidFill>
              <a:ln w="12703">
                <a:solidFill>
                  <a:srgbClr val="000000"/>
                </a:solidFill>
                <a:prstDash val="solid"/>
              </a:ln>
            </c:spPr>
            <c:extLst xmlns:c16r2="http://schemas.microsoft.com/office/drawing/2015/06/chart">
              <c:ext xmlns:c16="http://schemas.microsoft.com/office/drawing/2014/chart" uri="{C3380CC4-5D6E-409C-BE32-E72D297353CC}">
                <c16:uniqueId val="{00000001-33D6-4A4F-896A-8A82403DA464}"/>
              </c:ext>
            </c:extLst>
          </c:dPt>
          <c:dLbls>
            <c:dLbl>
              <c:idx val="0"/>
              <c:spPr>
                <a:noFill/>
                <a:ln w="25405">
                  <a:noFill/>
                </a:ln>
              </c:spPr>
              <c:txPr>
                <a:bodyPr/>
                <a:lstStyle/>
                <a:p>
                  <a:pPr>
                    <a:defRPr sz="1400" b="0" i="0" u="none" strike="noStrike" baseline="0">
                      <a:solidFill>
                        <a:srgbClr val="000000"/>
                      </a:solidFill>
                      <a:latin typeface="宋体"/>
                      <a:ea typeface="宋体"/>
                      <a:cs typeface="宋体"/>
                    </a:defRPr>
                  </a:pPr>
                  <a:endParaRPr lang="zh-CN"/>
                </a:p>
              </c:txPr>
            </c:dLbl>
            <c:dLbl>
              <c:idx val="1"/>
              <c:layout>
                <c:manualLayout>
                  <c:x val="0.10379241516966067"/>
                  <c:y val="0"/>
                </c:manualLayout>
              </c:layout>
              <c:tx>
                <c:rich>
                  <a:bodyPr/>
                  <a:lstStyle/>
                  <a:p>
                    <a:r>
                      <a:rPr lang="en-US" altLang="en-US" sz="1400"/>
                      <a:t>57476.73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3D6-4A4F-896A-8A82403DA464}"/>
                </c:ext>
              </c:extLst>
            </c:dLbl>
            <c:spPr>
              <a:noFill/>
              <a:ln w="25405">
                <a:noFill/>
              </a:ln>
            </c:spPr>
            <c:txPr>
              <a:bodyPr/>
              <a:lstStyle/>
              <a:p>
                <a:pPr>
                  <a:defRPr sz="1775" b="0" i="0" u="none" strike="noStrike" baseline="0">
                    <a:solidFill>
                      <a:srgbClr val="000000"/>
                    </a:solidFill>
                    <a:latin typeface="宋体"/>
                    <a:ea typeface="宋体"/>
                    <a:cs typeface="宋体"/>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2021年</c:v>
                </c:pt>
                <c:pt idx="1">
                  <c:v>2022年</c:v>
                </c:pt>
              </c:strCache>
            </c:strRef>
          </c:cat>
          <c:val>
            <c:numRef>
              <c:f>Sheet1!$B$2:$C$2</c:f>
              <c:numCache>
                <c:formatCode>General</c:formatCode>
                <c:ptCount val="2"/>
                <c:pt idx="0">
                  <c:v>55142.01</c:v>
                </c:pt>
                <c:pt idx="1">
                  <c:v>57476.729999999996</c:v>
                </c:pt>
              </c:numCache>
            </c:numRef>
          </c:val>
          <c:extLst xmlns:c16r2="http://schemas.microsoft.com/office/drawing/2015/06/chart">
            <c:ext xmlns:c16="http://schemas.microsoft.com/office/drawing/2014/chart" uri="{C3380CC4-5D6E-409C-BE32-E72D297353CC}">
              <c16:uniqueId val="{00000003-33D6-4A4F-896A-8A82403DA464}"/>
            </c:ext>
          </c:extLst>
        </c:ser>
        <c:dLbls>
          <c:showVal val="1"/>
        </c:dLbls>
        <c:axId val="147636608"/>
        <c:axId val="147638144"/>
      </c:barChart>
      <c:catAx>
        <c:axId val="147636608"/>
        <c:scaling>
          <c:orientation val="minMax"/>
        </c:scaling>
        <c:axPos val="b"/>
        <c:numFmt formatCode="General" sourceLinked="1"/>
        <c:majorTickMark val="in"/>
        <c:tickLblPos val="nextTo"/>
        <c:spPr>
          <a:ln w="3176">
            <a:solidFill>
              <a:srgbClr val="000000"/>
            </a:solidFill>
            <a:prstDash val="solid"/>
          </a:ln>
        </c:spPr>
        <c:txPr>
          <a:bodyPr rot="0" vert="horz"/>
          <a:lstStyle/>
          <a:p>
            <a:pPr>
              <a:defRPr sz="1775" b="0" i="0" u="none" strike="noStrike" baseline="0">
                <a:solidFill>
                  <a:srgbClr val="000000"/>
                </a:solidFill>
                <a:latin typeface="宋体"/>
                <a:ea typeface="宋体"/>
                <a:cs typeface="宋体"/>
              </a:defRPr>
            </a:pPr>
            <a:endParaRPr lang="zh-CN"/>
          </a:p>
        </c:txPr>
        <c:crossAx val="147638144"/>
        <c:crosses val="autoZero"/>
        <c:auto val="1"/>
        <c:lblAlgn val="ctr"/>
        <c:lblOffset val="100"/>
        <c:tickLblSkip val="1"/>
        <c:tickMarkSkip val="1"/>
      </c:catAx>
      <c:valAx>
        <c:axId val="147638144"/>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1775" b="0" i="0" u="none" strike="noStrike" baseline="0">
                <a:solidFill>
                  <a:srgbClr val="000000"/>
                </a:solidFill>
                <a:latin typeface="宋体"/>
                <a:ea typeface="宋体"/>
                <a:cs typeface="宋体"/>
              </a:defRPr>
            </a:pPr>
            <a:endParaRPr lang="zh-CN"/>
          </a:p>
        </c:txPr>
        <c:crossAx val="147636608"/>
        <c:crosses val="autoZero"/>
        <c:crossBetween val="between"/>
      </c:valAx>
      <c:spPr>
        <a:solidFill>
          <a:srgbClr val="C0C0C0"/>
        </a:solidFill>
        <a:ln w="12703">
          <a:solidFill>
            <a:srgbClr val="808080"/>
          </a:solidFill>
          <a:prstDash val="solid"/>
        </a:ln>
      </c:spPr>
    </c:plotArea>
    <c:legend>
      <c:legendPos val="r"/>
      <c:layout>
        <c:manualLayout>
          <c:xMode val="edge"/>
          <c:yMode val="edge"/>
          <c:x val="0.79487179487179482"/>
          <c:y val="0.35833333333333334"/>
          <c:w val="0.19780219780219832"/>
          <c:h val="0.18611111111111153"/>
        </c:manualLayout>
      </c:layout>
      <c:spPr>
        <a:noFill/>
        <a:ln w="3176">
          <a:solidFill>
            <a:srgbClr val="000000"/>
          </a:solidFill>
          <a:prstDash val="solid"/>
        </a:ln>
      </c:spPr>
      <c:txPr>
        <a:bodyPr/>
        <a:lstStyle/>
        <a:p>
          <a:pPr>
            <a:defRPr sz="1630"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775"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159174370719626"/>
          <c:y val="0.13832216227360122"/>
          <c:w val="0.62942779291553164"/>
          <c:h val="0.7242990654205621"/>
        </c:manualLayout>
      </c:layout>
      <c:barChart>
        <c:barDir val="col"/>
        <c:grouping val="clustered"/>
        <c:ser>
          <c:idx val="0"/>
          <c:order val="0"/>
          <c:tx>
            <c:strRef>
              <c:f>Sheet1!$A$2</c:f>
              <c:strCache>
                <c:ptCount val="1"/>
                <c:pt idx="0">
                  <c:v>一般公共预算财政拨款支出</c:v>
                </c:pt>
              </c:strCache>
            </c:strRef>
          </c:tx>
          <c:spPr>
            <a:solidFill>
              <a:srgbClr val="0066CC"/>
            </a:solidFill>
            <a:ln w="12694">
              <a:solidFill>
                <a:srgbClr val="000000"/>
              </a:solidFill>
              <a:prstDash val="solid"/>
            </a:ln>
          </c:spPr>
          <c:dPt>
            <c:idx val="1"/>
            <c:spPr>
              <a:solidFill>
                <a:srgbClr val="993366"/>
              </a:solidFill>
              <a:ln w="12694">
                <a:solidFill>
                  <a:srgbClr val="000000"/>
                </a:solidFill>
                <a:prstDash val="solid"/>
              </a:ln>
            </c:spPr>
            <c:extLst xmlns:c16r2="http://schemas.microsoft.com/office/drawing/2015/06/chart">
              <c:ext xmlns:c16="http://schemas.microsoft.com/office/drawing/2014/chart" uri="{C3380CC4-5D6E-409C-BE32-E72D297353CC}">
                <c16:uniqueId val="{00000001-D797-4530-815B-521C1367B678}"/>
              </c:ext>
            </c:extLst>
          </c:dPt>
          <c:dLbls>
            <c:dLbl>
              <c:idx val="1"/>
              <c:layout>
                <c:manualLayout>
                  <c:x val="0"/>
                  <c:y val="5.952380952380969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797-4530-815B-521C1367B678}"/>
                </c:ext>
              </c:extLst>
            </c:dLbl>
            <c:spPr>
              <a:noFill/>
              <a:ln w="25387">
                <a:noFill/>
              </a:ln>
            </c:spPr>
            <c:txPr>
              <a:bodyPr/>
              <a:lstStyle/>
              <a:p>
                <a:pPr>
                  <a:defRPr sz="1049" b="0" i="0" u="none" strike="noStrike" baseline="0">
                    <a:solidFill>
                      <a:srgbClr val="000000"/>
                    </a:solidFill>
                    <a:latin typeface="宋体"/>
                    <a:ea typeface="宋体"/>
                    <a:cs typeface="宋体"/>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2021年</c:v>
                </c:pt>
                <c:pt idx="1">
                  <c:v>2022年</c:v>
                </c:pt>
              </c:strCache>
            </c:strRef>
          </c:cat>
          <c:val>
            <c:numRef>
              <c:f>Sheet1!$B$2:$C$2</c:f>
              <c:numCache>
                <c:formatCode>General</c:formatCode>
                <c:ptCount val="2"/>
                <c:pt idx="0">
                  <c:v>54146.57</c:v>
                </c:pt>
                <c:pt idx="1">
                  <c:v>55360.729999999996</c:v>
                </c:pt>
              </c:numCache>
            </c:numRef>
          </c:val>
          <c:extLst xmlns:c16r2="http://schemas.microsoft.com/office/drawing/2015/06/chart">
            <c:ext xmlns:c16="http://schemas.microsoft.com/office/drawing/2014/chart" uri="{C3380CC4-5D6E-409C-BE32-E72D297353CC}">
              <c16:uniqueId val="{00000002-D797-4530-815B-521C1367B678}"/>
            </c:ext>
          </c:extLst>
        </c:ser>
        <c:dLbls>
          <c:showVal val="1"/>
        </c:dLbls>
        <c:axId val="147675008"/>
        <c:axId val="147676544"/>
      </c:barChart>
      <c:catAx>
        <c:axId val="147675008"/>
        <c:scaling>
          <c:orientation val="minMax"/>
        </c:scaling>
        <c:axPos val="b"/>
        <c:numFmt formatCode="General" sourceLinked="1"/>
        <c:majorTickMark val="in"/>
        <c:tickLblPos val="nextTo"/>
        <c:spPr>
          <a:ln w="3173">
            <a:solidFill>
              <a:srgbClr val="000000"/>
            </a:solidFill>
            <a:prstDash val="solid"/>
          </a:ln>
        </c:spPr>
        <c:txPr>
          <a:bodyPr rot="0" vert="horz"/>
          <a:lstStyle/>
          <a:p>
            <a:pPr>
              <a:defRPr sz="1049" b="0" i="0" u="none" strike="noStrike" baseline="0">
                <a:solidFill>
                  <a:srgbClr val="000000"/>
                </a:solidFill>
                <a:latin typeface="宋体"/>
                <a:ea typeface="宋体"/>
                <a:cs typeface="宋体"/>
              </a:defRPr>
            </a:pPr>
            <a:endParaRPr lang="zh-CN"/>
          </a:p>
        </c:txPr>
        <c:crossAx val="147676544"/>
        <c:crosses val="autoZero"/>
        <c:auto val="1"/>
        <c:lblAlgn val="ctr"/>
        <c:lblOffset val="100"/>
        <c:tickLblSkip val="1"/>
        <c:tickMarkSkip val="1"/>
      </c:catAx>
      <c:valAx>
        <c:axId val="147676544"/>
        <c:scaling>
          <c:orientation val="minMax"/>
        </c:scaling>
        <c:axPos val="l"/>
        <c:majorGridlines>
          <c:spPr>
            <a:ln w="3173">
              <a:solidFill>
                <a:srgbClr val="000000"/>
              </a:solidFill>
              <a:prstDash val="solid"/>
            </a:ln>
          </c:spPr>
        </c:majorGridlines>
        <c:numFmt formatCode="General" sourceLinked="1"/>
        <c:majorTickMark val="in"/>
        <c:tickLblPos val="nextTo"/>
        <c:spPr>
          <a:ln w="3173">
            <a:solidFill>
              <a:srgbClr val="000000"/>
            </a:solidFill>
            <a:prstDash val="solid"/>
          </a:ln>
        </c:spPr>
        <c:txPr>
          <a:bodyPr rot="0" vert="horz"/>
          <a:lstStyle/>
          <a:p>
            <a:pPr>
              <a:defRPr sz="1049" b="0" i="0" u="none" strike="noStrike" baseline="0">
                <a:solidFill>
                  <a:srgbClr val="000000"/>
                </a:solidFill>
                <a:latin typeface="宋体"/>
                <a:ea typeface="宋体"/>
                <a:cs typeface="宋体"/>
              </a:defRPr>
            </a:pPr>
            <a:endParaRPr lang="zh-CN"/>
          </a:p>
        </c:txPr>
        <c:crossAx val="147675008"/>
        <c:crosses val="autoZero"/>
        <c:crossBetween val="between"/>
      </c:valAx>
      <c:spPr>
        <a:solidFill>
          <a:srgbClr val="C0C0C0"/>
        </a:solidFill>
        <a:ln w="12694">
          <a:solidFill>
            <a:srgbClr val="808080"/>
          </a:solidFill>
          <a:prstDash val="solid"/>
        </a:ln>
      </c:spPr>
    </c:plotArea>
    <c:legend>
      <c:legendPos val="r"/>
      <c:layout>
        <c:manualLayout>
          <c:xMode val="edge"/>
          <c:yMode val="edge"/>
          <c:x val="0.81471389645776571"/>
          <c:y val="0.36448598130841292"/>
          <c:w val="0.17438692098092642"/>
          <c:h val="0.18224299065420613"/>
        </c:manualLayout>
      </c:layout>
      <c:spPr>
        <a:noFill/>
        <a:ln w="3173">
          <a:solidFill>
            <a:srgbClr val="000000"/>
          </a:solidFill>
          <a:prstDash val="solid"/>
        </a:ln>
      </c:spPr>
      <c:txPr>
        <a:bodyPr/>
        <a:lstStyle/>
        <a:p>
          <a:pPr>
            <a:defRPr sz="965" b="0" i="0" u="none" strike="noStrike" baseline="0">
              <a:solidFill>
                <a:srgbClr val="000000"/>
              </a:solidFill>
              <a:latin typeface="宋体"/>
              <a:ea typeface="宋体"/>
              <a:cs typeface="宋体"/>
            </a:defRPr>
          </a:pPr>
          <a:endParaRPr lang="zh-CN"/>
        </a:p>
      </c:txPr>
    </c:legend>
    <c:plotVisOnly val="1"/>
    <c:dispBlanksAs val="gap"/>
  </c:chart>
  <c:spPr>
    <a:noFill/>
    <a:ln>
      <a:solidFill>
        <a:schemeClr val="accent1"/>
      </a:solidFill>
    </a:ln>
  </c:spPr>
  <c:txPr>
    <a:bodyPr/>
    <a:lstStyle/>
    <a:p>
      <a:pPr>
        <a:defRPr sz="1049"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548714009247904E-2"/>
          <c:y val="0.22203026391123284"/>
          <c:w val="0.46760070052539404"/>
          <c:h val="0.41897233201581108"/>
        </c:manualLayout>
      </c:layout>
      <c:pieChart>
        <c:varyColors val="1"/>
        <c:ser>
          <c:idx val="0"/>
          <c:order val="0"/>
          <c:tx>
            <c:strRef>
              <c:f>Sheet1!$A$2</c:f>
              <c:strCache>
                <c:ptCount val="1"/>
                <c:pt idx="0">
                  <c:v>一般公共预算财政拨款支出</c:v>
                </c:pt>
              </c:strCache>
            </c:strRef>
          </c:tx>
          <c:spPr>
            <a:solidFill>
              <a:srgbClr val="9999FF"/>
            </a:solidFill>
            <a:ln w="13083">
              <a:solidFill>
                <a:srgbClr val="000000"/>
              </a:solidFill>
              <a:prstDash val="solid"/>
            </a:ln>
          </c:spPr>
          <c:explosion val="25"/>
          <c:dPt>
            <c:idx val="1"/>
            <c:spPr>
              <a:solidFill>
                <a:srgbClr val="993366"/>
              </a:solidFill>
              <a:ln w="13083">
                <a:solidFill>
                  <a:srgbClr val="000000"/>
                </a:solidFill>
                <a:prstDash val="solid"/>
              </a:ln>
            </c:spPr>
            <c:extLst xmlns:c16r2="http://schemas.microsoft.com/office/drawing/2015/06/chart">
              <c:ext xmlns:c16="http://schemas.microsoft.com/office/drawing/2014/chart" uri="{C3380CC4-5D6E-409C-BE32-E72D297353CC}">
                <c16:uniqueId val="{00000001-1644-4E89-BACA-83B079032D75}"/>
              </c:ext>
            </c:extLst>
          </c:dPt>
          <c:dPt>
            <c:idx val="2"/>
            <c:spPr>
              <a:solidFill>
                <a:srgbClr val="FFFFCC"/>
              </a:solidFill>
              <a:ln w="13083">
                <a:solidFill>
                  <a:srgbClr val="000000"/>
                </a:solidFill>
                <a:prstDash val="solid"/>
              </a:ln>
            </c:spPr>
            <c:extLst xmlns:c16r2="http://schemas.microsoft.com/office/drawing/2015/06/chart">
              <c:ext xmlns:c16="http://schemas.microsoft.com/office/drawing/2014/chart" uri="{C3380CC4-5D6E-409C-BE32-E72D297353CC}">
                <c16:uniqueId val="{00000003-1644-4E89-BACA-83B079032D75}"/>
              </c:ext>
            </c:extLst>
          </c:dPt>
          <c:dPt>
            <c:idx val="3"/>
            <c:spPr>
              <a:solidFill>
                <a:srgbClr val="CCFFFF"/>
              </a:solidFill>
              <a:ln w="13083">
                <a:solidFill>
                  <a:srgbClr val="000000"/>
                </a:solidFill>
                <a:prstDash val="solid"/>
              </a:ln>
            </c:spPr>
            <c:extLst xmlns:c16r2="http://schemas.microsoft.com/office/drawing/2015/06/chart">
              <c:ext xmlns:c16="http://schemas.microsoft.com/office/drawing/2014/chart" uri="{C3380CC4-5D6E-409C-BE32-E72D297353CC}">
                <c16:uniqueId val="{00000005-1644-4E89-BACA-83B079032D75}"/>
              </c:ext>
            </c:extLst>
          </c:dPt>
          <c:dPt>
            <c:idx val="4"/>
            <c:spPr>
              <a:solidFill>
                <a:srgbClr val="660066"/>
              </a:solidFill>
              <a:ln w="13083">
                <a:solidFill>
                  <a:srgbClr val="000000"/>
                </a:solidFill>
                <a:prstDash val="solid"/>
              </a:ln>
            </c:spPr>
            <c:extLst xmlns:c16r2="http://schemas.microsoft.com/office/drawing/2015/06/chart">
              <c:ext xmlns:c16="http://schemas.microsoft.com/office/drawing/2014/chart" uri="{C3380CC4-5D6E-409C-BE32-E72D297353CC}">
                <c16:uniqueId val="{00000007-1644-4E89-BACA-83B079032D75}"/>
              </c:ext>
            </c:extLst>
          </c:dPt>
          <c:dLbls>
            <c:dLbl>
              <c:idx val="2"/>
              <c:layout>
                <c:manualLayout>
                  <c:x val="7.0052539404553546E-3"/>
                  <c:y val="-4.551433948767790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644-4E89-BACA-83B079032D75}"/>
                </c:ext>
              </c:extLst>
            </c:dLbl>
            <c:spPr>
              <a:noFill/>
              <a:ln w="26167">
                <a:noFill/>
              </a:ln>
            </c:spPr>
            <c:txPr>
              <a:bodyPr/>
              <a:lstStyle/>
              <a:p>
                <a:pPr>
                  <a:defRPr sz="1004" b="0" i="0" u="none" strike="noStrike" baseline="0">
                    <a:solidFill>
                      <a:srgbClr val="000000"/>
                    </a:solidFill>
                    <a:latin typeface="宋体"/>
                    <a:ea typeface="宋体"/>
                    <a:cs typeface="宋体"/>
                  </a:defRPr>
                </a:pPr>
                <a:endParaRPr lang="zh-CN"/>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一般公共服务</c:v>
                </c:pt>
                <c:pt idx="1">
                  <c:v>公共安全支出</c:v>
                </c:pt>
                <c:pt idx="2">
                  <c:v>社会保障和就业</c:v>
                </c:pt>
                <c:pt idx="3">
                  <c:v>卫生健康支出</c:v>
                </c:pt>
                <c:pt idx="4">
                  <c:v>城乡社区支出</c:v>
                </c:pt>
                <c:pt idx="5">
                  <c:v>住房保障支出</c:v>
                </c:pt>
              </c:strCache>
            </c:strRef>
          </c:cat>
          <c:val>
            <c:numRef>
              <c:f>Sheet1!$B$2:$G$2</c:f>
              <c:numCache>
                <c:formatCode>General</c:formatCode>
                <c:ptCount val="6"/>
                <c:pt idx="0">
                  <c:v>46.8</c:v>
                </c:pt>
                <c:pt idx="1">
                  <c:v>45475.1</c:v>
                </c:pt>
                <c:pt idx="2">
                  <c:v>5994.56</c:v>
                </c:pt>
                <c:pt idx="3">
                  <c:v>6.64</c:v>
                </c:pt>
                <c:pt idx="4">
                  <c:v>100</c:v>
                </c:pt>
                <c:pt idx="5">
                  <c:v>3737.63</c:v>
                </c:pt>
              </c:numCache>
            </c:numRef>
          </c:val>
          <c:extLst xmlns:c16r2="http://schemas.microsoft.com/office/drawing/2015/06/chart">
            <c:ext xmlns:c16="http://schemas.microsoft.com/office/drawing/2014/chart" uri="{C3380CC4-5D6E-409C-BE32-E72D297353CC}">
              <c16:uniqueId val="{00000008-1644-4E89-BACA-83B079032D75}"/>
            </c:ext>
          </c:extLst>
        </c:ser>
        <c:firstSliceAng val="0"/>
      </c:pieChart>
    </c:plotArea>
    <c:legend>
      <c:legendPos val="r"/>
      <c:layout>
        <c:manualLayout>
          <c:xMode val="edge"/>
          <c:yMode val="edge"/>
          <c:x val="0.65723754511924259"/>
          <c:y val="6.5566582999353501E-2"/>
          <c:w val="0.20890576295223925"/>
          <c:h val="0.85959347699729405"/>
        </c:manualLayout>
      </c:layout>
      <c:spPr>
        <a:noFill/>
        <a:ln w="3271">
          <a:solidFill>
            <a:srgbClr val="000000"/>
          </a:solidFill>
          <a:prstDash val="solid"/>
        </a:ln>
      </c:spPr>
      <c:txPr>
        <a:bodyPr/>
        <a:lstStyle/>
        <a:p>
          <a:pPr>
            <a:defRPr sz="948"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236" b="0" i="0" u="none" strike="noStrike" baseline="0">
          <a:solidFill>
            <a:srgbClr val="000000"/>
          </a:solidFill>
          <a:latin typeface="宋体"/>
          <a:ea typeface="宋体"/>
          <a:cs typeface="宋体"/>
        </a:defRPr>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3112238599238193"/>
          <c:y val="0.20921985815602911"/>
          <c:w val="0.50070108349267062"/>
          <c:h val="0.69645390070921831"/>
        </c:manualLayout>
      </c:layout>
      <c:pieChart>
        <c:varyColors val="1"/>
        <c:ser>
          <c:idx val="0"/>
          <c:order val="0"/>
          <c:tx>
            <c:strRef>
              <c:f>Sheet1!$B$1</c:f>
              <c:strCache>
                <c:ptCount val="1"/>
                <c:pt idx="0">
                  <c:v>“三公”经费财政拨款支出</c:v>
                </c:pt>
              </c:strCache>
            </c:strRef>
          </c:tx>
          <c:dLbls>
            <c:dLbl>
              <c:idx val="2"/>
              <c:layout>
                <c:manualLayout>
                  <c:x val="0.12345679012345669"/>
                  <c:y val="1.219512195121951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612-4512-B5A6-7B29E0176CF6}"/>
                </c:ext>
              </c:extLst>
            </c:dLbl>
            <c:spPr>
              <a:noFill/>
              <a:ln>
                <a:noFill/>
              </a:ln>
              <a:effectLst/>
            </c:spPr>
            <c:dLblPos val="outEnd"/>
            <c:showVal val="1"/>
            <c:showLeaderLines val="1"/>
            <c:extLst xmlns:c16r2="http://schemas.microsoft.com/office/drawing/2015/06/chart">
              <c:ext xmlns:c15="http://schemas.microsoft.com/office/drawing/2012/chart" uri="{CE6537A1-D6FC-4f65-9D91-7224C49458BB}"/>
            </c:extLst>
          </c:dLbls>
          <c:cat>
            <c:strRef>
              <c:f>Sheet1!$A$2:$A$4</c:f>
              <c:strCache>
                <c:ptCount val="3"/>
                <c:pt idx="0">
                  <c:v>因公出国境</c:v>
                </c:pt>
                <c:pt idx="1">
                  <c:v>公务用车购置及运维</c:v>
                </c:pt>
                <c:pt idx="2">
                  <c:v>公务接待</c:v>
                </c:pt>
              </c:strCache>
            </c:strRef>
          </c:cat>
          <c:val>
            <c:numRef>
              <c:f>Sheet1!$B$2:$B$4</c:f>
              <c:numCache>
                <c:formatCode>General</c:formatCode>
                <c:ptCount val="3"/>
                <c:pt idx="0">
                  <c:v>0</c:v>
                </c:pt>
                <c:pt idx="1">
                  <c:v>623.49</c:v>
                </c:pt>
                <c:pt idx="2">
                  <c:v>0.75000000000000144</c:v>
                </c:pt>
              </c:numCache>
            </c:numRef>
          </c:val>
          <c:extLst xmlns:c16r2="http://schemas.microsoft.com/office/drawing/2015/06/chart">
            <c:ext xmlns:c16="http://schemas.microsoft.com/office/drawing/2014/chart" uri="{C3380CC4-5D6E-409C-BE32-E72D297353CC}">
              <c16:uniqueId val="{00000001-5612-4512-B5A6-7B29E0176CF6}"/>
            </c:ext>
          </c:extLst>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05B0E-1E74-4454-868A-E8E084D7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34</Pages>
  <Words>2042</Words>
  <Characters>11645</Characters>
  <Application>Microsoft Office Word</Application>
  <DocSecurity>0</DocSecurity>
  <Lines>97</Lines>
  <Paragraphs>27</Paragraphs>
  <ScaleCrop>false</ScaleCrop>
  <Company>四川省财政厅</Company>
  <LinksUpToDate>false</LinksUpToDate>
  <CharactersWithSpaces>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cp:lastModifiedBy>
  <cp:revision>68</cp:revision>
  <cp:lastPrinted>2023-07-31T02:35:00Z</cp:lastPrinted>
  <dcterms:created xsi:type="dcterms:W3CDTF">2023-08-17T02:29:00Z</dcterms:created>
  <dcterms:modified xsi:type="dcterms:W3CDTF">2023-09-13T09:14:00Z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