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3C" w:rsidRDefault="00BC7E3C">
      <w:pPr>
        <w:spacing w:line="600" w:lineRule="exact"/>
        <w:jc w:val="left"/>
        <w:outlineLvl w:val="0"/>
        <w:rPr>
          <w:rFonts w:ascii="方正小标宋简体" w:eastAsia="方正小标宋简体" w:hAnsi="宋体"/>
          <w:szCs w:val="21"/>
        </w:rPr>
      </w:pPr>
      <w:bookmarkStart w:id="0" w:name="_Toc15306267"/>
    </w:p>
    <w:p w:rsidR="00BC7E3C" w:rsidRDefault="00BC7E3C">
      <w:pPr>
        <w:spacing w:line="600" w:lineRule="exact"/>
        <w:jc w:val="center"/>
        <w:outlineLvl w:val="0"/>
        <w:rPr>
          <w:rFonts w:ascii="方正小标宋简体" w:eastAsia="方正小标宋简体" w:hAnsi="宋体"/>
          <w:sz w:val="72"/>
          <w:szCs w:val="72"/>
        </w:rPr>
      </w:pPr>
    </w:p>
    <w:p w:rsidR="00BC7E3C" w:rsidRDefault="00BC7E3C">
      <w:pPr>
        <w:spacing w:line="600" w:lineRule="exact"/>
        <w:jc w:val="center"/>
        <w:outlineLvl w:val="0"/>
        <w:rPr>
          <w:rFonts w:ascii="方正小标宋简体" w:eastAsia="方正小标宋简体" w:hAnsi="宋体"/>
          <w:sz w:val="72"/>
          <w:szCs w:val="72"/>
        </w:rPr>
      </w:pPr>
    </w:p>
    <w:p w:rsidR="00BC7E3C" w:rsidRDefault="00BB35E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597"/>
      <w:bookmarkStart w:id="3" w:name="_Toc15396475"/>
      <w:bookmarkStart w:id="4" w:name="_Toc15378441"/>
      <w:bookmarkStart w:id="5" w:name="_Toc15377193"/>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BC7E3C" w:rsidRDefault="00BB35E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96476"/>
      <w:bookmarkStart w:id="8" w:name="_Toc15377194"/>
      <w:bookmarkStart w:id="9" w:name="_Toc15378442"/>
      <w:bookmarkStart w:id="10" w:name="_Toc15377426"/>
      <w:r>
        <w:rPr>
          <w:rFonts w:ascii="方正小标宋简体" w:eastAsia="方正小标宋简体" w:hAnsi="方正小标宋简体" w:cs="方正小标宋简体" w:hint="eastAsia"/>
          <w:sz w:val="72"/>
          <w:szCs w:val="72"/>
        </w:rPr>
        <w:t>攀枝花市</w:t>
      </w:r>
      <w:bookmarkStart w:id="11" w:name="_Toc15306268"/>
      <w:bookmarkEnd w:id="0"/>
      <w:r>
        <w:rPr>
          <w:rFonts w:ascii="方正小标宋简体" w:eastAsia="方正小标宋简体" w:hAnsi="方正小标宋简体" w:cs="方正小标宋简体" w:hint="eastAsia"/>
          <w:sz w:val="72"/>
          <w:szCs w:val="72"/>
        </w:rPr>
        <w:t>公安局西区分局单位决算</w:t>
      </w:r>
      <w:bookmarkEnd w:id="6"/>
      <w:bookmarkEnd w:id="7"/>
      <w:bookmarkEnd w:id="8"/>
      <w:bookmarkEnd w:id="9"/>
      <w:bookmarkEnd w:id="10"/>
      <w:bookmarkEnd w:id="11"/>
    </w:p>
    <w:p w:rsidR="00BC7E3C" w:rsidRDefault="00BB35ED">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BC7E3C" w:rsidRDefault="00BC7E3C">
      <w:pPr>
        <w:widowControl/>
        <w:jc w:val="center"/>
        <w:rPr>
          <w:rFonts w:ascii="黑体" w:eastAsia="黑体" w:hAnsi="黑体" w:cstheme="minorBidi"/>
          <w:sz w:val="28"/>
          <w:szCs w:val="28"/>
        </w:rPr>
      </w:pPr>
    </w:p>
    <w:p w:rsidR="00BC7E3C" w:rsidRDefault="00BB35ED">
      <w:pPr>
        <w:pStyle w:val="10"/>
      </w:pPr>
      <w:r>
        <w:rPr>
          <w:rFonts w:hint="eastAsia"/>
        </w:rPr>
        <w:t>公开时间：2023年9月</w:t>
      </w:r>
      <w:r w:rsidR="00125240">
        <w:t>1</w:t>
      </w:r>
      <w:r w:rsidR="00125240">
        <w:rPr>
          <w:rFonts w:hint="eastAsia"/>
        </w:rPr>
        <w:t>3</w:t>
      </w:r>
      <w:r>
        <w:rPr>
          <w:rFonts w:hint="eastAsia"/>
        </w:rPr>
        <w:t>日</w:t>
      </w:r>
    </w:p>
    <w:p w:rsidR="00BC7E3C" w:rsidRDefault="00BC7E3C"/>
    <w:p w:rsidR="00BC7E3C" w:rsidRDefault="00BB35ED">
      <w:pPr>
        <w:pStyle w:val="10"/>
        <w:adjustRightInd w:val="0"/>
        <w:snapToGrid w:val="0"/>
        <w:spacing w:before="0" w:line="440" w:lineRule="exact"/>
        <w:jc w:val="left"/>
        <w:rPr>
          <w:rFonts w:cstheme="minorBidi"/>
          <w:sz w:val="24"/>
          <w:szCs w:val="24"/>
        </w:rPr>
      </w:pPr>
      <w:r>
        <w:rPr>
          <w:rFonts w:hint="eastAsia"/>
          <w:sz w:val="24"/>
        </w:rPr>
        <w:t>第一部分单位概况</w:t>
      </w:r>
      <w:r>
        <w:rPr>
          <w:rFonts w:cstheme="minorBidi"/>
          <w:sz w:val="24"/>
          <w:szCs w:val="24"/>
        </w:rPr>
        <w:tab/>
      </w:r>
      <w:r>
        <w:rPr>
          <w:rFonts w:cstheme="minorBidi" w:hint="eastAsia"/>
          <w:sz w:val="24"/>
          <w:szCs w:val="24"/>
        </w:rPr>
        <w:t>4</w:t>
      </w:r>
    </w:p>
    <w:p w:rsidR="00BC7E3C" w:rsidRDefault="00BB35ED">
      <w:pPr>
        <w:pStyle w:val="20"/>
        <w:adjustRightInd w:val="0"/>
        <w:snapToGrid w:val="0"/>
        <w:spacing w:line="440" w:lineRule="exact"/>
        <w:jc w:val="left"/>
        <w:rPr>
          <w:sz w:val="24"/>
        </w:rPr>
      </w:pPr>
      <w:r>
        <w:rPr>
          <w:rFonts w:hint="eastAsia"/>
          <w:sz w:val="24"/>
        </w:rPr>
        <w:t>一、主要职责</w:t>
      </w:r>
      <w:r>
        <w:rPr>
          <w:rFonts w:cstheme="minorBidi"/>
          <w:sz w:val="24"/>
        </w:rPr>
        <w:tab/>
      </w:r>
      <w:r>
        <w:rPr>
          <w:rFonts w:cstheme="minorBidi" w:hint="eastAsia"/>
          <w:sz w:val="24"/>
        </w:rPr>
        <w:t>4</w:t>
      </w:r>
    </w:p>
    <w:p w:rsidR="00BC7E3C" w:rsidRDefault="00BB35ED">
      <w:pPr>
        <w:pStyle w:val="20"/>
        <w:adjustRightInd w:val="0"/>
        <w:snapToGrid w:val="0"/>
        <w:spacing w:line="440" w:lineRule="exact"/>
        <w:jc w:val="left"/>
      </w:pPr>
      <w:r>
        <w:rPr>
          <w:rFonts w:hint="eastAsia"/>
          <w:sz w:val="24"/>
        </w:rPr>
        <w:t>二、机构设置</w:t>
      </w:r>
      <w:r>
        <w:rPr>
          <w:rFonts w:hint="eastAsia"/>
          <w:sz w:val="24"/>
        </w:rPr>
        <w:t>...........................................................................................................4</w:t>
      </w:r>
    </w:p>
    <w:p w:rsidR="00BC7E3C" w:rsidRDefault="00BB35ED">
      <w:pPr>
        <w:pStyle w:val="10"/>
        <w:adjustRightInd w:val="0"/>
        <w:snapToGrid w:val="0"/>
        <w:spacing w:before="0" w:line="440" w:lineRule="exact"/>
        <w:jc w:val="left"/>
        <w:rPr>
          <w:sz w:val="24"/>
          <w:szCs w:val="24"/>
        </w:rPr>
      </w:pPr>
      <w:r>
        <w:rPr>
          <w:rFonts w:hint="eastAsia"/>
          <w:sz w:val="24"/>
        </w:rPr>
        <w:t>第二部分 2022年度单位决算情况说明</w:t>
      </w:r>
      <w:r>
        <w:rPr>
          <w:rFonts w:ascii="Times New Roman" w:eastAsia="宋体" w:hAnsi="Times New Roman" w:hint="eastAsia"/>
          <w:sz w:val="24"/>
          <w:szCs w:val="24"/>
        </w:rPr>
        <w:t>.....................................................................5</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..........................................................................5</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hint="eastAsia"/>
          <w:sz w:val="24"/>
        </w:rPr>
        <w:t>..........................................................................................5</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..........................................................................................6</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...........................................................7</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..................................................8</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.........................................11</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hint="eastAsia"/>
          <w:sz w:val="24"/>
        </w:rPr>
        <w:t>................................................12</w:t>
      </w:r>
    </w:p>
    <w:p w:rsidR="00BC7E3C" w:rsidRDefault="00BB35ED">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............................................................13</w:t>
      </w:r>
    </w:p>
    <w:p w:rsidR="00BC7E3C" w:rsidRDefault="00BB35ED">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........................................................14</w:t>
      </w:r>
    </w:p>
    <w:p w:rsidR="00BC7E3C" w:rsidRDefault="00BB35ED">
      <w:pPr>
        <w:pStyle w:val="20"/>
        <w:adjustRightInd w:val="0"/>
        <w:snapToGrid w:val="0"/>
        <w:spacing w:line="440" w:lineRule="exact"/>
        <w:jc w:val="left"/>
        <w:rPr>
          <w:sz w:val="24"/>
        </w:rPr>
      </w:pPr>
      <w:r>
        <w:rPr>
          <w:rFonts w:hint="eastAsia"/>
          <w:sz w:val="24"/>
        </w:rPr>
        <w:t>十、其他重要事项的情况说明</w:t>
      </w:r>
      <w:r>
        <w:rPr>
          <w:rFonts w:hint="eastAsia"/>
          <w:sz w:val="24"/>
        </w:rPr>
        <w:t>............................................................................14</w:t>
      </w:r>
    </w:p>
    <w:p w:rsidR="00BC7E3C" w:rsidRDefault="00BB35ED">
      <w:pPr>
        <w:pStyle w:val="10"/>
        <w:adjustRightInd w:val="0"/>
        <w:snapToGrid w:val="0"/>
        <w:spacing w:before="0" w:line="440" w:lineRule="exact"/>
        <w:jc w:val="left"/>
        <w:rPr>
          <w:rFonts w:cstheme="minorBidi"/>
          <w:sz w:val="24"/>
          <w:szCs w:val="24"/>
        </w:rPr>
      </w:pPr>
      <w:r>
        <w:rPr>
          <w:rFonts w:hint="eastAsia"/>
          <w:sz w:val="24"/>
        </w:rPr>
        <w:t>第三部分名词解释</w:t>
      </w:r>
      <w:r>
        <w:rPr>
          <w:rFonts w:ascii="Times New Roman" w:eastAsia="宋体" w:hAnsi="Times New Roman" w:hint="eastAsia"/>
          <w:sz w:val="24"/>
          <w:szCs w:val="24"/>
        </w:rPr>
        <w:t>....................................................................................................16</w:t>
      </w:r>
    </w:p>
    <w:p w:rsidR="00BC7E3C" w:rsidRDefault="00BB35ED">
      <w:pPr>
        <w:pStyle w:val="10"/>
        <w:adjustRightInd w:val="0"/>
        <w:snapToGrid w:val="0"/>
        <w:spacing w:before="0" w:line="440" w:lineRule="exact"/>
        <w:jc w:val="left"/>
        <w:rPr>
          <w:rFonts w:ascii="Times New Roman" w:eastAsia="宋体" w:hAnsi="Times New Roman"/>
          <w:sz w:val="24"/>
          <w:szCs w:val="24"/>
        </w:rPr>
      </w:pPr>
      <w:r>
        <w:rPr>
          <w:rFonts w:hint="eastAsia"/>
          <w:sz w:val="24"/>
        </w:rPr>
        <w:t>第四部分附件</w:t>
      </w:r>
      <w:r>
        <w:rPr>
          <w:rFonts w:ascii="Times New Roman" w:eastAsia="宋体" w:hAnsi="Times New Roman" w:hint="eastAsia"/>
          <w:sz w:val="24"/>
          <w:szCs w:val="24"/>
        </w:rPr>
        <w:t>............................................................................................................19</w:t>
      </w:r>
    </w:p>
    <w:p w:rsidR="00BC7E3C" w:rsidRDefault="00BB35ED">
      <w:pPr>
        <w:pStyle w:val="10"/>
        <w:adjustRightInd w:val="0"/>
        <w:snapToGrid w:val="0"/>
        <w:spacing w:before="0" w:line="440" w:lineRule="exact"/>
        <w:jc w:val="left"/>
        <w:rPr>
          <w:rFonts w:cstheme="minorBidi"/>
          <w:sz w:val="24"/>
          <w:szCs w:val="24"/>
        </w:rPr>
      </w:pPr>
      <w:r>
        <w:rPr>
          <w:rFonts w:hint="eastAsia"/>
          <w:sz w:val="24"/>
        </w:rPr>
        <w:t>第五部分附表</w:t>
      </w:r>
      <w:r>
        <w:rPr>
          <w:rFonts w:ascii="Times New Roman" w:eastAsia="宋体" w:hAnsi="Times New Roman" w:hint="eastAsia"/>
          <w:sz w:val="24"/>
          <w:szCs w:val="24"/>
        </w:rPr>
        <w:t>............................................................................................................20</w:t>
      </w:r>
    </w:p>
    <w:p w:rsidR="00BC7E3C" w:rsidRDefault="00BB35ED">
      <w:pPr>
        <w:pStyle w:val="20"/>
        <w:adjustRightInd w:val="0"/>
        <w:snapToGrid w:val="0"/>
        <w:spacing w:line="440" w:lineRule="exact"/>
        <w:jc w:val="left"/>
        <w:rPr>
          <w:sz w:val="24"/>
        </w:rPr>
      </w:pPr>
      <w:r>
        <w:rPr>
          <w:rFonts w:hint="eastAsia"/>
          <w:sz w:val="24"/>
        </w:rPr>
        <w:t>一、收入支出决算总表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二、收入决算表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三、支出决算表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四、财政拨款收入支出决算总表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五、财政拨款支出决算明细表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八、一般公共预算财政拨款基本支出决算明细表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lastRenderedPageBreak/>
        <w:t>十、政府性基金预算财政拨款收入支出决算表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十一、国有资本经营预算财政拨款收入支出决算表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十二、国有资本经营预算财政拨款支出决算表</w:t>
      </w:r>
      <w:r>
        <w:rPr>
          <w:rFonts w:hint="eastAsia"/>
          <w:sz w:val="24"/>
        </w:rPr>
        <w:t>.................................................20</w:t>
      </w:r>
    </w:p>
    <w:p w:rsidR="00BC7E3C" w:rsidRDefault="00BB35ED">
      <w:pPr>
        <w:pStyle w:val="20"/>
        <w:adjustRightInd w:val="0"/>
        <w:snapToGrid w:val="0"/>
        <w:spacing w:line="440" w:lineRule="exact"/>
        <w:jc w:val="left"/>
        <w:rPr>
          <w:sz w:val="24"/>
        </w:rPr>
      </w:pPr>
      <w:r>
        <w:rPr>
          <w:rFonts w:hint="eastAsia"/>
          <w:sz w:val="24"/>
        </w:rPr>
        <w:t>十三、财政拨款“三公”经费支出决算表</w:t>
      </w:r>
      <w:r>
        <w:rPr>
          <w:rFonts w:hint="eastAsia"/>
          <w:sz w:val="24"/>
        </w:rPr>
        <w:t>........................................................20</w:t>
      </w:r>
    </w:p>
    <w:p w:rsidR="00BC7E3C" w:rsidRDefault="00BB35ED">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BC7E3C" w:rsidRDefault="00BB35ED">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BC7E3C" w:rsidRDefault="00BC7E3C">
      <w:pPr>
        <w:widowControl/>
        <w:jc w:val="left"/>
        <w:rPr>
          <w:rFonts w:ascii="黑体" w:eastAsia="黑体"/>
          <w:sz w:val="32"/>
          <w:szCs w:val="32"/>
        </w:rPr>
      </w:pPr>
    </w:p>
    <w:p w:rsidR="00BC7E3C" w:rsidRDefault="00BB35ED">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主要职责</w:t>
      </w:r>
    </w:p>
    <w:p w:rsidR="00BC7E3C" w:rsidRDefault="00BB35ED">
      <w:pPr>
        <w:ind w:firstLineChars="200" w:firstLine="640"/>
      </w:pPr>
      <w:r>
        <w:rPr>
          <w:rFonts w:ascii="仿宋_GB2312" w:eastAsia="仿宋_GB2312" w:hint="eastAsia"/>
          <w:bCs/>
          <w:color w:val="000000"/>
          <w:kern w:val="0"/>
          <w:sz w:val="32"/>
          <w:szCs w:val="36"/>
        </w:rPr>
        <w:t>根据攀办发[2013]72号《攀枝花市公安局主要职责内设机构和人员编制规定》文件规定，我局主要职责是在市公安局领导下，负责治安行政管理和刑事执法工作以及市公安局22项职责中涉及分局完成的工作职责。</w:t>
      </w:r>
    </w:p>
    <w:p w:rsidR="00BC7E3C" w:rsidRDefault="00BC7E3C"/>
    <w:p w:rsidR="00BC7E3C" w:rsidRDefault="00BB35ED">
      <w:pPr>
        <w:pStyle w:val="2"/>
        <w:rPr>
          <w:rFonts w:ascii="黑体" w:eastAsia="黑体" w:hAnsi="黑体"/>
          <w:b w:val="0"/>
        </w:rPr>
      </w:pPr>
      <w:r>
        <w:rPr>
          <w:rFonts w:ascii="黑体" w:eastAsia="黑体" w:hAnsi="黑体" w:hint="eastAsia"/>
          <w:b w:val="0"/>
        </w:rPr>
        <w:t>二、机构设置</w:t>
      </w:r>
    </w:p>
    <w:bookmarkEnd w:id="14"/>
    <w:bookmarkEnd w:id="15"/>
    <w:p w:rsidR="00BC7E3C" w:rsidRDefault="00BB35ED">
      <w:pPr>
        <w:spacing w:line="348" w:lineRule="auto"/>
        <w:ind w:firstLineChars="200" w:firstLine="640"/>
        <w:rPr>
          <w:rFonts w:ascii="仿宋_GB2312" w:eastAsia="仿宋_GB2312"/>
          <w:sz w:val="30"/>
          <w:szCs w:val="30"/>
        </w:rPr>
      </w:pPr>
      <w:r>
        <w:rPr>
          <w:rFonts w:ascii="仿宋_GB2312" w:eastAsia="仿宋_GB2312" w:hAnsi="仿宋" w:hint="eastAsia"/>
          <w:sz w:val="32"/>
          <w:szCs w:val="32"/>
        </w:rPr>
        <w:t>我局为市级财政二级预算单位，现内设机构1个</w:t>
      </w:r>
      <w:r>
        <w:rPr>
          <w:rFonts w:ascii="仿宋_GB2312" w:eastAsia="仿宋_GB2312" w:hint="eastAsia"/>
          <w:sz w:val="30"/>
          <w:szCs w:val="30"/>
        </w:rPr>
        <w:t>。</w:t>
      </w:r>
    </w:p>
    <w:p w:rsidR="00BC7E3C" w:rsidRDefault="00BB35ED">
      <w:pPr>
        <w:widowControl/>
        <w:jc w:val="left"/>
        <w:rPr>
          <w:rFonts w:ascii="仿宋" w:eastAsia="仿宋" w:hAnsi="仿宋"/>
          <w:kern w:val="0"/>
          <w:sz w:val="32"/>
          <w:szCs w:val="32"/>
        </w:rPr>
      </w:pPr>
      <w:r>
        <w:rPr>
          <w:rFonts w:ascii="仿宋" w:eastAsia="仿宋" w:hAnsi="仿宋"/>
          <w:sz w:val="32"/>
          <w:szCs w:val="32"/>
        </w:rPr>
        <w:br w:type="page"/>
      </w:r>
    </w:p>
    <w:p w:rsidR="00BC7E3C" w:rsidRDefault="00BB35ED">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16"/>
      <w:bookmarkEnd w:id="17"/>
    </w:p>
    <w:p w:rsidR="00BC7E3C" w:rsidRDefault="00BC7E3C"/>
    <w:p w:rsidR="00BC7E3C" w:rsidRDefault="00BB35ED">
      <w:pPr>
        <w:pStyle w:val="a9"/>
        <w:numPr>
          <w:ilvl w:val="0"/>
          <w:numId w:val="2"/>
        </w:numPr>
        <w:spacing w:line="600" w:lineRule="exact"/>
        <w:ind w:firstLineChars="0"/>
        <w:outlineLvl w:val="1"/>
        <w:rPr>
          <w:rStyle w:val="2Char"/>
          <w:rFonts w:ascii="黑体" w:eastAsia="黑体" w:hAnsi="黑体"/>
          <w:b w:val="0"/>
        </w:rPr>
      </w:pPr>
      <w:bookmarkStart w:id="18" w:name="_Toc15377205"/>
      <w:bookmarkStart w:id="19"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BC7E3C" w:rsidRDefault="00BB35ED">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2022年度收、支总计7600.96万元。与2021年相比，收、支总计各增加81.58万元，增长1</w:t>
      </w:r>
      <w:r>
        <w:rPr>
          <w:rFonts w:ascii="仿宋" w:eastAsia="仿宋" w:hAnsi="仿宋"/>
          <w:sz w:val="32"/>
          <w:szCs w:val="32"/>
        </w:rPr>
        <w:t>%</w:t>
      </w:r>
      <w:r>
        <w:rPr>
          <w:rFonts w:ascii="仿宋" w:eastAsia="仿宋" w:hAnsi="仿宋" w:hint="eastAsia"/>
          <w:sz w:val="32"/>
          <w:szCs w:val="32"/>
        </w:rPr>
        <w:t>。主要变动原因是人员经费稍有增加。</w:t>
      </w:r>
    </w:p>
    <w:p w:rsidR="00BC7E3C" w:rsidRDefault="00BB35ED">
      <w:pPr>
        <w:widowControl/>
        <w:spacing w:line="348" w:lineRule="auto"/>
        <w:ind w:firstLine="480"/>
        <w:rPr>
          <w:rFonts w:eastAsia="仿宋_GB2312"/>
          <w:color w:val="000000"/>
          <w:sz w:val="32"/>
          <w:szCs w:val="32"/>
        </w:rPr>
      </w:pPr>
      <w:r>
        <w:rPr>
          <w:rFonts w:eastAsia="仿宋_GB2312" w:hint="eastAsia"/>
          <w:noProof/>
          <w:color w:val="000000"/>
          <w:sz w:val="32"/>
          <w:szCs w:val="32"/>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7E3C" w:rsidRDefault="00BC7E3C" w:rsidP="00132F50">
      <w:pPr>
        <w:pStyle w:val="a0"/>
        <w:spacing w:before="93"/>
      </w:pPr>
    </w:p>
    <w:p w:rsidR="00BC7E3C" w:rsidRDefault="00BB35ED">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BC7E3C" w:rsidRDefault="00BC7E3C">
      <w:pPr>
        <w:spacing w:line="600" w:lineRule="exact"/>
        <w:ind w:firstLineChars="200" w:firstLine="640"/>
        <w:jc w:val="left"/>
        <w:rPr>
          <w:rFonts w:ascii="仿宋_GB2312" w:eastAsia="仿宋_GB2312"/>
          <w:sz w:val="32"/>
          <w:szCs w:val="32"/>
        </w:rPr>
      </w:pPr>
    </w:p>
    <w:p w:rsidR="00BC7E3C" w:rsidRDefault="00BB35ED">
      <w:pPr>
        <w:pStyle w:val="a9"/>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BC7E3C" w:rsidRDefault="00BB35E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22年本年收入合计7600.96万元，其中：一般公共预算财政拨款收入7600.96万元，占100</w:t>
      </w:r>
      <w:r>
        <w:rPr>
          <w:rFonts w:ascii="仿宋" w:eastAsia="仿宋" w:hAnsi="仿宋"/>
          <w:sz w:val="32"/>
          <w:szCs w:val="32"/>
        </w:rPr>
        <w:t>%</w:t>
      </w:r>
      <w:r>
        <w:rPr>
          <w:rFonts w:ascii="仿宋" w:eastAsia="仿宋" w:hAnsi="仿宋" w:hint="eastAsia"/>
          <w:sz w:val="32"/>
          <w:szCs w:val="32"/>
        </w:rPr>
        <w:t>；政府性基金预算财</w:t>
      </w:r>
      <w:r>
        <w:rPr>
          <w:rFonts w:ascii="仿宋" w:eastAsia="仿宋" w:hAnsi="仿宋" w:hint="eastAsia"/>
          <w:sz w:val="32"/>
          <w:szCs w:val="32"/>
        </w:rPr>
        <w:lastRenderedPageBreak/>
        <w:t>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p>
    <w:p w:rsidR="00BC7E3C" w:rsidRDefault="00BC7E3C">
      <w:pPr>
        <w:spacing w:line="600" w:lineRule="exact"/>
        <w:ind w:firstLineChars="200" w:firstLine="640"/>
        <w:outlineLvl w:val="1"/>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C7E3C" w:rsidRDefault="00BC7E3C">
      <w:pPr>
        <w:spacing w:line="600" w:lineRule="exact"/>
        <w:ind w:firstLineChars="200" w:firstLine="640"/>
        <w:jc w:val="center"/>
        <w:rPr>
          <w:rFonts w:ascii="仿宋" w:eastAsia="仿宋" w:hAnsi="仿宋"/>
          <w:sz w:val="32"/>
          <w:szCs w:val="32"/>
        </w:rPr>
      </w:pPr>
    </w:p>
    <w:p w:rsidR="00BC7E3C" w:rsidRDefault="00BB35ED">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rsidR="00BC7E3C" w:rsidRDefault="00BC7E3C">
      <w:pPr>
        <w:spacing w:line="600" w:lineRule="exact"/>
        <w:ind w:firstLineChars="200" w:firstLine="640"/>
        <w:rPr>
          <w:rFonts w:ascii="仿宋_GB2312" w:eastAsia="仿宋_GB2312"/>
          <w:sz w:val="32"/>
          <w:szCs w:val="32"/>
        </w:rPr>
      </w:pPr>
    </w:p>
    <w:p w:rsidR="00BC7E3C" w:rsidRDefault="00BB35ED">
      <w:pPr>
        <w:pStyle w:val="a9"/>
        <w:numPr>
          <w:ilvl w:val="0"/>
          <w:numId w:val="2"/>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BC7E3C" w:rsidRDefault="00BB35E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22年本年支出合计7787.79万元，其中：基本支出7545.77万元，占96.9</w:t>
      </w:r>
      <w:r>
        <w:rPr>
          <w:rFonts w:ascii="仿宋" w:eastAsia="仿宋" w:hAnsi="仿宋"/>
          <w:sz w:val="32"/>
          <w:szCs w:val="32"/>
        </w:rPr>
        <w:t>%</w:t>
      </w:r>
      <w:r>
        <w:rPr>
          <w:rFonts w:ascii="仿宋" w:eastAsia="仿宋" w:hAnsi="仿宋" w:hint="eastAsia"/>
          <w:sz w:val="32"/>
          <w:szCs w:val="32"/>
        </w:rPr>
        <w:t>；项目支出242.02万元，占3.1</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w:t>
      </w:r>
      <w:r>
        <w:rPr>
          <w:rFonts w:ascii="仿宋" w:eastAsia="仿宋" w:hAnsi="仿宋" w:hint="eastAsia"/>
          <w:sz w:val="32"/>
          <w:szCs w:val="32"/>
        </w:rPr>
        <w:lastRenderedPageBreak/>
        <w:t>附属单位补助支出0万元，占0</w:t>
      </w:r>
      <w:r>
        <w:rPr>
          <w:rFonts w:ascii="仿宋" w:eastAsia="仿宋" w:hAnsi="仿宋"/>
          <w:sz w:val="32"/>
          <w:szCs w:val="32"/>
        </w:rPr>
        <w:t>%</w:t>
      </w:r>
      <w:r>
        <w:rPr>
          <w:rFonts w:ascii="仿宋" w:eastAsia="仿宋" w:hAnsi="仿宋" w:hint="eastAsia"/>
          <w:sz w:val="32"/>
          <w:szCs w:val="32"/>
        </w:rPr>
        <w:t>。</w:t>
      </w:r>
    </w:p>
    <w:p w:rsidR="00BC7E3C" w:rsidRDefault="00BC7E3C">
      <w:pPr>
        <w:spacing w:line="600" w:lineRule="exact"/>
        <w:ind w:firstLineChars="200" w:firstLine="643"/>
        <w:outlineLvl w:val="1"/>
        <w:rPr>
          <w:rFonts w:ascii="仿宋" w:eastAsia="仿宋" w:hAnsi="仿宋"/>
          <w:b/>
          <w:sz w:val="32"/>
          <w:szCs w:val="32"/>
        </w:rPr>
      </w:pPr>
    </w:p>
    <w:p w:rsidR="00BC7E3C" w:rsidRDefault="00BB35ED">
      <w:pPr>
        <w:spacing w:line="600" w:lineRule="exact"/>
        <w:ind w:firstLine="640"/>
        <w:rPr>
          <w:rFonts w:ascii="仿宋" w:eastAsia="仿宋" w:hAnsi="仿宋"/>
          <w:sz w:val="32"/>
          <w:szCs w:val="32"/>
          <w:shd w:val="pct10" w:color="auto" w:fill="FFFFFF"/>
        </w:rPr>
      </w:pPr>
      <w:r>
        <w:rPr>
          <w:rFonts w:ascii="仿宋" w:eastAsia="仿宋" w:hAnsi="仿宋" w:hint="eastAsia"/>
          <w:b/>
          <w:noProof/>
          <w:sz w:val="32"/>
          <w:szCs w:val="32"/>
        </w:rPr>
        <w:drawing>
          <wp:anchor distT="0" distB="0" distL="114300" distR="114300" simplePos="0" relativeHeight="251659264" behindDoc="0" locked="0" layoutInCell="1" allowOverlap="1">
            <wp:simplePos x="0" y="0"/>
            <wp:positionH relativeFrom="column">
              <wp:posOffset>422275</wp:posOffset>
            </wp:positionH>
            <wp:positionV relativeFrom="paragraph">
              <wp:posOffset>290195</wp:posOffset>
            </wp:positionV>
            <wp:extent cx="5080000" cy="3810000"/>
            <wp:effectExtent l="4445" t="4445" r="20955"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（图3：支出决算结构图）</w:t>
      </w:r>
    </w:p>
    <w:p w:rsidR="00BC7E3C" w:rsidRDefault="00BC7E3C">
      <w:pPr>
        <w:spacing w:line="600" w:lineRule="exact"/>
        <w:ind w:firstLineChars="200" w:firstLine="640"/>
        <w:rPr>
          <w:rFonts w:ascii="仿宋_GB2312" w:eastAsia="仿宋_GB2312"/>
          <w:sz w:val="32"/>
          <w:szCs w:val="32"/>
        </w:rPr>
      </w:pPr>
    </w:p>
    <w:p w:rsidR="00BC7E3C" w:rsidRDefault="00BB35ED">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BC7E3C" w:rsidRDefault="00BB35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22年财政拨款收、支总计7787.79万元。与</w:t>
      </w:r>
      <w:r>
        <w:rPr>
          <w:rFonts w:ascii="仿宋" w:eastAsia="仿宋" w:hAnsi="仿宋"/>
          <w:sz w:val="32"/>
          <w:szCs w:val="32"/>
        </w:rPr>
        <w:t>20</w:t>
      </w:r>
      <w:r>
        <w:rPr>
          <w:rFonts w:ascii="仿宋" w:eastAsia="仿宋" w:hAnsi="仿宋" w:hint="eastAsia"/>
          <w:sz w:val="32"/>
          <w:szCs w:val="32"/>
        </w:rPr>
        <w:t>21年相比，财政拨款收、支总计各增加58.32万元，增长0.75</w:t>
      </w:r>
      <w:r>
        <w:rPr>
          <w:rFonts w:ascii="仿宋" w:eastAsia="仿宋" w:hAnsi="仿宋"/>
          <w:sz w:val="32"/>
          <w:szCs w:val="32"/>
        </w:rPr>
        <w:t>%</w:t>
      </w:r>
      <w:r>
        <w:rPr>
          <w:rFonts w:ascii="仿宋" w:eastAsia="仿宋" w:hAnsi="仿宋" w:hint="eastAsia"/>
          <w:sz w:val="32"/>
          <w:szCs w:val="32"/>
        </w:rPr>
        <w:t>。主要变动原因是人员经费增加。</w:t>
      </w:r>
    </w:p>
    <w:p w:rsidR="00BC7E3C" w:rsidRDefault="00BC7E3C">
      <w:pPr>
        <w:spacing w:line="600" w:lineRule="exact"/>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rPr>
          <w:rFonts w:ascii="仿宋" w:eastAsia="仿宋" w:hAnsi="仿宋"/>
          <w:sz w:val="32"/>
          <w:szCs w:val="32"/>
        </w:rPr>
      </w:pPr>
      <w:r>
        <w:rPr>
          <w:rFonts w:eastAsia="仿宋_GB2312" w:hint="eastAsia"/>
          <w:noProof/>
          <w:color w:val="000000"/>
          <w:sz w:val="32"/>
          <w:szCs w:val="32"/>
        </w:rPr>
        <w:drawing>
          <wp:anchor distT="0" distB="0" distL="114300" distR="114300" simplePos="0" relativeHeight="251660288" behindDoc="0" locked="0" layoutInCell="1" allowOverlap="1">
            <wp:simplePos x="0" y="0"/>
            <wp:positionH relativeFrom="column">
              <wp:posOffset>434975</wp:posOffset>
            </wp:positionH>
            <wp:positionV relativeFrom="paragraph">
              <wp:posOffset>671195</wp:posOffset>
            </wp:positionV>
            <wp:extent cx="5080000" cy="3810000"/>
            <wp:effectExtent l="4445" t="4445" r="20955" b="1460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（图4：财政拨款收、支决算总计变动情况）</w:t>
      </w:r>
    </w:p>
    <w:p w:rsidR="00BC7E3C" w:rsidRDefault="00BC7E3C">
      <w:pPr>
        <w:spacing w:line="600" w:lineRule="exact"/>
        <w:ind w:firstLine="640"/>
        <w:rPr>
          <w:rFonts w:ascii="仿宋" w:eastAsia="仿宋" w:hAnsi="仿宋"/>
          <w:b/>
          <w:sz w:val="32"/>
          <w:szCs w:val="32"/>
        </w:rPr>
      </w:pPr>
    </w:p>
    <w:p w:rsidR="00BC7E3C" w:rsidRDefault="00BB35ED">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BC7E3C" w:rsidRDefault="00BB35ED">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BC7E3C" w:rsidRDefault="00BB35E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22年一般公共预算财政拨款支出7787.79万元，占本年支出合计的100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21年相比，一般公共预算财政拨款支出增加58.32万元，增长0.75</w:t>
      </w:r>
      <w:r>
        <w:rPr>
          <w:rFonts w:ascii="仿宋" w:eastAsia="仿宋" w:hAnsi="仿宋"/>
          <w:sz w:val="32"/>
          <w:szCs w:val="32"/>
        </w:rPr>
        <w:t>%</w:t>
      </w:r>
      <w:r>
        <w:rPr>
          <w:rFonts w:ascii="仿宋" w:eastAsia="仿宋" w:hAnsi="仿宋" w:hint="eastAsia"/>
          <w:sz w:val="32"/>
          <w:szCs w:val="32"/>
        </w:rPr>
        <w:t>。主要变动原因是人员经费增加。</w:t>
      </w: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rPr>
          <w:rFonts w:ascii="仿宋" w:eastAsia="仿宋" w:hAnsi="仿宋"/>
          <w:sz w:val="32"/>
          <w:szCs w:val="32"/>
        </w:rPr>
      </w:pPr>
      <w:r>
        <w:rPr>
          <w:rFonts w:eastAsia="仿宋_GB2312" w:hint="eastAsia"/>
          <w:noProof/>
          <w:color w:val="000000"/>
          <w:sz w:val="32"/>
          <w:szCs w:val="32"/>
        </w:rPr>
        <w:lastRenderedPageBreak/>
        <w:drawing>
          <wp:anchor distT="0" distB="0" distL="114300" distR="114300" simplePos="0" relativeHeight="251663360" behindDoc="0" locked="0" layoutInCell="1" allowOverlap="1">
            <wp:simplePos x="0" y="0"/>
            <wp:positionH relativeFrom="column">
              <wp:posOffset>290195</wp:posOffset>
            </wp:positionH>
            <wp:positionV relativeFrom="paragraph">
              <wp:posOffset>304800</wp:posOffset>
            </wp:positionV>
            <wp:extent cx="5080000" cy="3810000"/>
            <wp:effectExtent l="4445" t="4445" r="20955" b="1460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C7E3C" w:rsidRDefault="00BB35ED">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BC7E3C" w:rsidRDefault="00BB35ED">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22年一般公共预算财政拨款支出7787.79万元，主要用于以下方面</w:t>
      </w:r>
      <w:r>
        <w:rPr>
          <w:rFonts w:ascii="仿宋" w:eastAsia="仿宋" w:hAnsi="仿宋"/>
          <w:sz w:val="32"/>
          <w:szCs w:val="32"/>
        </w:rPr>
        <w:t>:</w:t>
      </w:r>
      <w:r>
        <w:rPr>
          <w:rFonts w:ascii="仿宋" w:eastAsia="仿宋" w:hAnsi="仿宋" w:hint="eastAsia"/>
          <w:b/>
          <w:sz w:val="32"/>
          <w:szCs w:val="32"/>
        </w:rPr>
        <w:t>公共安全支出</w:t>
      </w:r>
      <w:r>
        <w:rPr>
          <w:rFonts w:ascii="仿宋" w:eastAsia="仿宋" w:hAnsi="仿宋" w:hint="eastAsia"/>
          <w:sz w:val="32"/>
          <w:szCs w:val="32"/>
        </w:rPr>
        <w:t>6307.08万元，占80.98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社会保障和就业支出</w:t>
      </w:r>
      <w:r>
        <w:rPr>
          <w:rFonts w:ascii="仿宋" w:eastAsia="仿宋" w:hAnsi="仿宋" w:hint="eastAsia"/>
          <w:sz w:val="32"/>
          <w:szCs w:val="32"/>
        </w:rPr>
        <w:t>897.7万元，占11.53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住房保障支出</w:t>
      </w:r>
      <w:r>
        <w:rPr>
          <w:rFonts w:ascii="仿宋" w:eastAsia="仿宋" w:hAnsi="仿宋" w:hint="eastAsia"/>
          <w:sz w:val="32"/>
          <w:szCs w:val="32"/>
        </w:rPr>
        <w:t>583.01万元，占7.49%。</w:t>
      </w: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4384" behindDoc="0" locked="0" layoutInCell="1" allowOverlap="1">
            <wp:simplePos x="0" y="0"/>
            <wp:positionH relativeFrom="column">
              <wp:posOffset>422275</wp:posOffset>
            </wp:positionH>
            <wp:positionV relativeFrom="paragraph">
              <wp:posOffset>290195</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C7E3C">
      <w:pPr>
        <w:spacing w:line="600" w:lineRule="exact"/>
        <w:ind w:firstLineChars="200" w:firstLine="640"/>
        <w:rPr>
          <w:rFonts w:ascii="仿宋" w:eastAsia="仿宋" w:hAnsi="仿宋"/>
          <w:sz w:val="32"/>
          <w:szCs w:val="32"/>
        </w:rPr>
      </w:pPr>
    </w:p>
    <w:p w:rsidR="00BC7E3C" w:rsidRDefault="00BB35ED">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（图6：一般公共预算财政拨款支出决算结构）</w:t>
      </w:r>
    </w:p>
    <w:p w:rsidR="00BC7E3C" w:rsidRDefault="00BC7E3C">
      <w:pPr>
        <w:spacing w:line="600" w:lineRule="exact"/>
        <w:ind w:firstLineChars="200" w:firstLine="640"/>
        <w:jc w:val="center"/>
        <w:rPr>
          <w:rFonts w:ascii="仿宋" w:eastAsia="仿宋" w:hAnsi="仿宋"/>
          <w:sz w:val="32"/>
          <w:szCs w:val="32"/>
        </w:rPr>
      </w:pPr>
    </w:p>
    <w:p w:rsidR="00BC7E3C" w:rsidRDefault="00BB35ED">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BC7E3C" w:rsidRDefault="00BB35ED">
      <w:pPr>
        <w:spacing w:line="600" w:lineRule="exact"/>
        <w:ind w:firstLineChars="200" w:firstLine="643"/>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2022年一般公共预算支出决算数为7787.79万元</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公共安全（类）公安（款）行政运行（项）</w:t>
      </w:r>
      <w:r>
        <w:rPr>
          <w:rStyle w:val="a7"/>
          <w:rFonts w:ascii="仿宋" w:eastAsia="仿宋" w:hAnsi="仿宋"/>
          <w:bCs/>
          <w:sz w:val="32"/>
          <w:szCs w:val="32"/>
        </w:rPr>
        <w:t>:</w:t>
      </w:r>
      <w:r>
        <w:rPr>
          <w:rStyle w:val="a7"/>
          <w:rFonts w:ascii="仿宋" w:eastAsia="仿宋" w:hAnsi="仿宋" w:hint="eastAsia"/>
          <w:b w:val="0"/>
          <w:bCs/>
          <w:sz w:val="32"/>
          <w:szCs w:val="32"/>
        </w:rPr>
        <w:t>支出决算为6064.52万元，完成预算100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Pr>
          <w:rStyle w:val="a7"/>
          <w:rFonts w:ascii="仿宋" w:eastAsia="仿宋" w:hAnsi="仿宋" w:hint="eastAsia"/>
          <w:bCs/>
          <w:sz w:val="32"/>
          <w:szCs w:val="32"/>
        </w:rPr>
        <w:t>公共安全（类）公安（款）一般行政管理事务（项）</w:t>
      </w:r>
      <w:r>
        <w:rPr>
          <w:rStyle w:val="a7"/>
          <w:rFonts w:ascii="仿宋" w:eastAsia="仿宋" w:hAnsi="仿宋"/>
          <w:bCs/>
          <w:sz w:val="32"/>
          <w:szCs w:val="32"/>
        </w:rPr>
        <w:t>:</w:t>
      </w:r>
      <w:r>
        <w:rPr>
          <w:rStyle w:val="a7"/>
          <w:rFonts w:ascii="仿宋" w:eastAsia="仿宋" w:hAnsi="仿宋" w:hint="eastAsia"/>
          <w:b w:val="0"/>
          <w:bCs/>
          <w:sz w:val="32"/>
          <w:szCs w:val="32"/>
        </w:rPr>
        <w:t>支出决算为40.36万元，完成预算100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Pr>
          <w:rStyle w:val="a7"/>
          <w:rFonts w:ascii="仿宋" w:eastAsia="仿宋" w:hAnsi="仿宋" w:hint="eastAsia"/>
          <w:bCs/>
          <w:sz w:val="32"/>
          <w:szCs w:val="32"/>
        </w:rPr>
        <w:t>公共安全（类）强制隔离戒毒（款）行政运行（项）</w:t>
      </w:r>
      <w:r>
        <w:rPr>
          <w:rStyle w:val="a7"/>
          <w:rFonts w:ascii="仿宋" w:eastAsia="仿宋" w:hAnsi="仿宋"/>
          <w:bCs/>
          <w:sz w:val="32"/>
          <w:szCs w:val="32"/>
        </w:rPr>
        <w:t>:</w:t>
      </w:r>
      <w:r>
        <w:rPr>
          <w:rStyle w:val="a7"/>
          <w:rFonts w:ascii="仿宋" w:eastAsia="仿宋" w:hAnsi="仿宋" w:hint="eastAsia"/>
          <w:b w:val="0"/>
          <w:bCs/>
          <w:sz w:val="32"/>
          <w:szCs w:val="32"/>
        </w:rPr>
        <w:t>支出决算为0.53万元，完成预算100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Pr>
          <w:rStyle w:val="a7"/>
          <w:rFonts w:ascii="仿宋" w:eastAsia="仿宋" w:hAnsi="仿宋" w:hint="eastAsia"/>
          <w:bCs/>
          <w:sz w:val="32"/>
          <w:szCs w:val="32"/>
        </w:rPr>
        <w:t>公共安全（类）其他公共安全（款）其他公共安全支</w:t>
      </w:r>
      <w:r>
        <w:rPr>
          <w:rStyle w:val="a7"/>
          <w:rFonts w:ascii="仿宋" w:eastAsia="仿宋" w:hAnsi="仿宋" w:hint="eastAsia"/>
          <w:bCs/>
          <w:sz w:val="32"/>
          <w:szCs w:val="32"/>
        </w:rPr>
        <w:lastRenderedPageBreak/>
        <w:t>出（项）</w:t>
      </w:r>
      <w:r>
        <w:rPr>
          <w:rStyle w:val="a7"/>
          <w:rFonts w:ascii="仿宋" w:eastAsia="仿宋" w:hAnsi="仿宋"/>
          <w:bCs/>
          <w:sz w:val="32"/>
          <w:szCs w:val="32"/>
        </w:rPr>
        <w:t>:</w:t>
      </w:r>
      <w:r>
        <w:rPr>
          <w:rStyle w:val="a7"/>
          <w:rFonts w:ascii="仿宋" w:eastAsia="仿宋" w:hAnsi="仿宋" w:hint="eastAsia"/>
          <w:b w:val="0"/>
          <w:bCs/>
          <w:sz w:val="32"/>
          <w:szCs w:val="32"/>
        </w:rPr>
        <w:t>支出决算为201.66万元，完成预算100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Pr>
          <w:rStyle w:val="a7"/>
          <w:rFonts w:ascii="仿宋" w:eastAsia="仿宋" w:hAnsi="仿宋" w:hint="eastAsia"/>
          <w:bCs/>
          <w:sz w:val="32"/>
          <w:szCs w:val="32"/>
        </w:rPr>
        <w:t>社会保障和就业（类）行政事业单位养老（款）行政单位离退休（项）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支出决算为470.23万元，完成预算100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Pr>
          <w:rStyle w:val="a7"/>
          <w:rFonts w:ascii="仿宋" w:eastAsia="仿宋" w:hAnsi="仿宋" w:hint="eastAsia"/>
          <w:bCs/>
          <w:sz w:val="32"/>
          <w:szCs w:val="32"/>
        </w:rPr>
        <w:t>社会保障和就业（类）行政事业单位养老（款）机关事业单位基本养老保险缴费支出（项）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支出决算为422.98万元，完成预算100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7</w:t>
      </w:r>
      <w:r>
        <w:rPr>
          <w:rStyle w:val="a7"/>
          <w:rFonts w:ascii="仿宋" w:eastAsia="仿宋" w:hAnsi="仿宋"/>
          <w:bCs/>
          <w:sz w:val="32"/>
          <w:szCs w:val="32"/>
        </w:rPr>
        <w:t>.</w:t>
      </w:r>
      <w:r>
        <w:rPr>
          <w:rStyle w:val="a7"/>
          <w:rFonts w:ascii="仿宋" w:eastAsia="仿宋" w:hAnsi="仿宋" w:hint="eastAsia"/>
          <w:bCs/>
          <w:sz w:val="32"/>
          <w:szCs w:val="32"/>
        </w:rPr>
        <w:t>社会保障和就业（类）抚恤（款）死亡抚恤（项）</w:t>
      </w:r>
      <w:r>
        <w:rPr>
          <w:rStyle w:val="a7"/>
          <w:rFonts w:ascii="仿宋" w:eastAsia="仿宋" w:hAnsi="仿宋"/>
          <w:bCs/>
          <w:sz w:val="32"/>
          <w:szCs w:val="32"/>
        </w:rPr>
        <w:t>:</w:t>
      </w:r>
      <w:r>
        <w:rPr>
          <w:rStyle w:val="a7"/>
          <w:rFonts w:ascii="仿宋" w:eastAsia="仿宋" w:hAnsi="仿宋" w:hint="eastAsia"/>
          <w:b w:val="0"/>
          <w:bCs/>
          <w:sz w:val="32"/>
          <w:szCs w:val="32"/>
        </w:rPr>
        <w:t>支出决算为4.49万元，完成预算100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B35ED">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8</w:t>
      </w:r>
      <w:r>
        <w:rPr>
          <w:rStyle w:val="a7"/>
          <w:rFonts w:ascii="仿宋" w:eastAsia="仿宋" w:hAnsi="仿宋"/>
          <w:bCs/>
          <w:sz w:val="32"/>
          <w:szCs w:val="32"/>
        </w:rPr>
        <w:t>.</w:t>
      </w:r>
      <w:r>
        <w:rPr>
          <w:rStyle w:val="a7"/>
          <w:rFonts w:ascii="仿宋" w:eastAsia="仿宋" w:hAnsi="仿宋" w:hint="eastAsia"/>
          <w:bCs/>
          <w:sz w:val="32"/>
          <w:szCs w:val="32"/>
        </w:rPr>
        <w:t>住房保障（类）住房改革（款）住房公积金（项）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支出决算为583.01万元，完成预算100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C7E3C" w:rsidRDefault="00BC7E3C">
      <w:pPr>
        <w:spacing w:line="600" w:lineRule="exact"/>
        <w:ind w:firstLine="640"/>
        <w:rPr>
          <w:rFonts w:ascii="仿宋" w:eastAsia="仿宋" w:hAnsi="仿宋"/>
          <w:b/>
          <w:sz w:val="32"/>
          <w:szCs w:val="32"/>
        </w:rPr>
      </w:pPr>
    </w:p>
    <w:p w:rsidR="00BC7E3C" w:rsidRDefault="00BB35ED">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BC7E3C" w:rsidRDefault="00BB35ED">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22年一般公共预算财政拨款基本支出7545.77万元，其中：</w:t>
      </w:r>
    </w:p>
    <w:p w:rsidR="00BC7E3C" w:rsidRDefault="00BB35ED">
      <w:pPr>
        <w:spacing w:line="600" w:lineRule="exact"/>
        <w:ind w:firstLine="645"/>
        <w:rPr>
          <w:rFonts w:ascii="仿宋" w:eastAsia="仿宋" w:hAnsi="仿宋"/>
          <w:b/>
          <w:sz w:val="32"/>
          <w:szCs w:val="32"/>
        </w:rPr>
      </w:pPr>
      <w:r>
        <w:rPr>
          <w:rFonts w:ascii="仿宋" w:eastAsia="仿宋" w:hAnsi="仿宋" w:hint="eastAsia"/>
          <w:sz w:val="32"/>
          <w:szCs w:val="32"/>
        </w:rPr>
        <w:t>人员经费6795.36万元，主要包括：基本工资、津贴补贴、奖金、机关事业单位基本养老保险缴费、职工基本医疗保险缴费、其他社会保障缴费、对个人和家庭的补助、其他工资福利支出、抚恤金、生活补助、医疗费补助、住房公积金等。</w:t>
      </w:r>
      <w:r>
        <w:rPr>
          <w:rFonts w:ascii="仿宋" w:eastAsia="仿宋" w:hAnsi="仿宋"/>
          <w:sz w:val="32"/>
          <w:szCs w:val="32"/>
        </w:rPr>
        <w:br/>
      </w:r>
      <w:r>
        <w:rPr>
          <w:rFonts w:ascii="仿宋" w:eastAsia="仿宋" w:hAnsi="仿宋" w:hint="eastAsia"/>
          <w:sz w:val="32"/>
          <w:szCs w:val="32"/>
        </w:rPr>
        <w:t xml:space="preserve">　　公用经费750.41万元，主要包括：办公费、印刷费、水费、电费、邮电费、差旅费、维修（护）费、劳务费、委托业务费、工会经费、福利费、公务用车运行维护费、其他交通费、其他商品和服务支出等。</w:t>
      </w:r>
    </w:p>
    <w:p w:rsidR="00BC7E3C" w:rsidRDefault="00BB35ED">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lastRenderedPageBreak/>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BC7E3C" w:rsidRDefault="00BB35ED">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BC7E3C" w:rsidRDefault="00BB35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22年“三公”经费财政拨款支出决算为58.45万元，完成预算100</w:t>
      </w:r>
      <w:r>
        <w:rPr>
          <w:rFonts w:ascii="仿宋" w:eastAsia="仿宋" w:hAnsi="仿宋"/>
          <w:sz w:val="32"/>
          <w:szCs w:val="32"/>
        </w:rPr>
        <w:t>%</w:t>
      </w:r>
      <w:r>
        <w:rPr>
          <w:rFonts w:ascii="仿宋" w:eastAsia="仿宋" w:hAnsi="仿宋" w:hint="eastAsia"/>
          <w:sz w:val="32"/>
          <w:szCs w:val="32"/>
        </w:rPr>
        <w:t>，较上年减少14.02万元，下降34%。决算数小于预算数的主要原因是上年度购买新车。</w:t>
      </w:r>
    </w:p>
    <w:p w:rsidR="00BC7E3C" w:rsidRDefault="00BB35ED">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BC7E3C" w:rsidRDefault="00BB35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；公务用车购置及运行维护费支出决算58.45万元，占100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C7E3C">
      <w:pPr>
        <w:spacing w:line="600" w:lineRule="exact"/>
        <w:ind w:firstLine="640"/>
        <w:rPr>
          <w:rFonts w:ascii="仿宋" w:eastAsia="仿宋" w:hAnsi="仿宋"/>
          <w:sz w:val="32"/>
          <w:szCs w:val="32"/>
        </w:rPr>
      </w:pPr>
    </w:p>
    <w:p w:rsidR="00BC7E3C" w:rsidRDefault="00BB35ED">
      <w:pPr>
        <w:spacing w:line="600" w:lineRule="exact"/>
        <w:ind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5408"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C7E3C" w:rsidRDefault="00BB35ED">
      <w:pPr>
        <w:spacing w:line="600" w:lineRule="exact"/>
        <w:ind w:firstLine="640"/>
        <w:jc w:val="center"/>
        <w:rPr>
          <w:rFonts w:ascii="仿宋" w:eastAsia="仿宋" w:hAnsi="仿宋"/>
          <w:sz w:val="32"/>
          <w:szCs w:val="32"/>
        </w:rPr>
      </w:pPr>
      <w:r>
        <w:rPr>
          <w:rFonts w:ascii="仿宋" w:eastAsia="仿宋" w:hAnsi="仿宋" w:hint="eastAsia"/>
          <w:sz w:val="32"/>
          <w:szCs w:val="32"/>
        </w:rPr>
        <w:t>（图7：“三公”经费财政拨款支出结构）</w:t>
      </w:r>
    </w:p>
    <w:p w:rsidR="00BC7E3C" w:rsidRDefault="00BB35ED">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1.因公出国（境）经费支出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全年安排因公出国（境）团组0次，出国（境）0人。因公出国（境）支出决算与</w:t>
      </w:r>
      <w:r>
        <w:rPr>
          <w:rFonts w:ascii="仿宋_GB2312" w:eastAsia="仿宋_GB2312"/>
          <w:sz w:val="32"/>
          <w:szCs w:val="32"/>
        </w:rPr>
        <w:t>20</w:t>
      </w:r>
      <w:r>
        <w:rPr>
          <w:rFonts w:ascii="仿宋_GB2312" w:eastAsia="仿宋_GB2312" w:hint="eastAsia"/>
          <w:sz w:val="32"/>
          <w:szCs w:val="32"/>
        </w:rPr>
        <w:t>21年持平，因为皆为0。</w:t>
      </w:r>
    </w:p>
    <w:p w:rsidR="00BC7E3C" w:rsidRDefault="00BB35ED">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58.45万元,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21年减少14.02万元，下降34</w:t>
      </w:r>
      <w:r>
        <w:rPr>
          <w:rFonts w:ascii="仿宋_GB2312" w:eastAsia="仿宋_GB2312"/>
          <w:sz w:val="32"/>
          <w:szCs w:val="32"/>
        </w:rPr>
        <w:t>%</w:t>
      </w:r>
      <w:r>
        <w:rPr>
          <w:rFonts w:ascii="仿宋_GB2312" w:eastAsia="仿宋_GB2312" w:hint="eastAsia"/>
          <w:sz w:val="32"/>
          <w:szCs w:val="32"/>
        </w:rPr>
        <w:t>。主要原因是上年度购买了新车。</w:t>
      </w:r>
    </w:p>
    <w:p w:rsidR="00BC7E3C" w:rsidRDefault="00BB35ED">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0万元。全年按规定更新购置公务用车0辆，其中：轿车0辆，越野车0辆，载客汽车0辆。截至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月底，单位共有公务用车56辆，其中：轿车55辆、越野车0辆、载客汽车1辆。</w:t>
      </w:r>
    </w:p>
    <w:p w:rsidR="00BC7E3C" w:rsidRDefault="00BB35ED">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58.45万元。主要用于侦查、办案、巡逻等所需的公务用车燃料费、维修费、过路过桥费、保险费等支出。</w:t>
      </w:r>
    </w:p>
    <w:p w:rsidR="00BC7E3C" w:rsidRDefault="00BB35ED">
      <w:pPr>
        <w:spacing w:line="600" w:lineRule="exact"/>
        <w:ind w:firstLineChars="200" w:firstLine="643"/>
        <w:rPr>
          <w:rFonts w:ascii="仿宋_GB2312" w:eastAsia="仿宋_GB2312"/>
          <w:sz w:val="32"/>
          <w:szCs w:val="32"/>
        </w:rPr>
      </w:pPr>
      <w:bookmarkStart w:id="40" w:name="_Toc15377218"/>
      <w:bookmarkStart w:id="41" w:name="_Toc15396610"/>
      <w:r>
        <w:rPr>
          <w:rFonts w:ascii="仿宋_GB2312" w:eastAsia="仿宋_GB2312" w:hint="eastAsia"/>
          <w:b/>
          <w:sz w:val="32"/>
          <w:szCs w:val="32"/>
        </w:rPr>
        <w:t>3.公务接待费支出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21年减少0万元，下降0</w:t>
      </w:r>
      <w:r>
        <w:rPr>
          <w:rFonts w:ascii="仿宋_GB2312" w:eastAsia="仿宋_GB2312"/>
          <w:sz w:val="32"/>
          <w:szCs w:val="32"/>
        </w:rPr>
        <w:t>%</w:t>
      </w:r>
      <w:r>
        <w:rPr>
          <w:rFonts w:ascii="仿宋_GB2312" w:eastAsia="仿宋_GB2312" w:hint="eastAsia"/>
          <w:sz w:val="32"/>
          <w:szCs w:val="32"/>
        </w:rPr>
        <w:t>。主要原因是本年度没有产生公务接待费用。</w:t>
      </w:r>
    </w:p>
    <w:p w:rsidR="00BC7E3C" w:rsidRDefault="00BB35ED">
      <w:pPr>
        <w:spacing w:line="600" w:lineRule="exact"/>
        <w:ind w:firstLineChars="200" w:firstLine="643"/>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rsidR="00BC7E3C" w:rsidRDefault="00BB35ED">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万元，外事接待0批次，0人次（不包括陪同人员），共计支出0万元。</w:t>
      </w:r>
    </w:p>
    <w:p w:rsidR="00BC7E3C" w:rsidRDefault="00BB35ED">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BC7E3C" w:rsidRDefault="00BB35E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22年政府性基金预算财政拨款支出0万元。</w:t>
      </w:r>
    </w:p>
    <w:p w:rsidR="00BC7E3C" w:rsidRDefault="00BC7E3C">
      <w:pPr>
        <w:spacing w:line="600" w:lineRule="exact"/>
        <w:ind w:firstLine="640"/>
        <w:rPr>
          <w:rFonts w:ascii="仿宋_GB2312" w:eastAsia="仿宋_GB2312"/>
          <w:sz w:val="32"/>
          <w:szCs w:val="32"/>
        </w:rPr>
      </w:pPr>
    </w:p>
    <w:p w:rsidR="00BC7E3C" w:rsidRDefault="00BB35ED">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lastRenderedPageBreak/>
        <w:t>国有资本经营预算支出决算情况说明</w:t>
      </w:r>
      <w:bookmarkEnd w:id="42"/>
      <w:bookmarkEnd w:id="43"/>
    </w:p>
    <w:p w:rsidR="00BC7E3C" w:rsidRDefault="00BB35E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22年国有资本经营预算财政拨款支出0万元。</w:t>
      </w:r>
    </w:p>
    <w:p w:rsidR="00BC7E3C" w:rsidRDefault="00BC7E3C">
      <w:pPr>
        <w:spacing w:line="580" w:lineRule="exact"/>
        <w:jc w:val="center"/>
        <w:rPr>
          <w:rFonts w:ascii="方正小标宋简体" w:eastAsia="方正小标宋简体" w:hAnsi="方正小标宋简体" w:cs="方正小标宋简体"/>
          <w:sz w:val="44"/>
          <w:szCs w:val="44"/>
        </w:rPr>
      </w:pPr>
    </w:p>
    <w:p w:rsidR="00BC7E3C" w:rsidRDefault="00BB35ED">
      <w:pPr>
        <w:numPr>
          <w:ilvl w:val="0"/>
          <w:numId w:val="3"/>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BC7E3C" w:rsidRDefault="00BB35ED">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BC7E3C" w:rsidRDefault="00BB35E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22年，攀枝花市公安局西区分局机关运行经费支出750.41万元，比</w:t>
      </w:r>
      <w:r>
        <w:rPr>
          <w:rFonts w:ascii="仿宋_GB2312" w:eastAsia="仿宋_GB2312"/>
          <w:sz w:val="32"/>
          <w:szCs w:val="32"/>
        </w:rPr>
        <w:t>20</w:t>
      </w:r>
      <w:r>
        <w:rPr>
          <w:rFonts w:ascii="仿宋_GB2312" w:eastAsia="仿宋_GB2312" w:hint="eastAsia"/>
          <w:sz w:val="32"/>
          <w:szCs w:val="32"/>
        </w:rPr>
        <w:t>21年减少120万元，下降13.78</w:t>
      </w:r>
      <w:r>
        <w:rPr>
          <w:rFonts w:ascii="仿宋_GB2312" w:eastAsia="仿宋_GB2312"/>
          <w:sz w:val="32"/>
          <w:szCs w:val="32"/>
        </w:rPr>
        <w:t>%</w:t>
      </w:r>
      <w:r>
        <w:rPr>
          <w:rFonts w:ascii="仿宋_GB2312" w:eastAsia="仿宋_GB2312" w:hint="eastAsia"/>
          <w:sz w:val="32"/>
          <w:szCs w:val="32"/>
        </w:rPr>
        <w:t>。主要原因是制定了相关的经费制度，严格控制经费支出。</w:t>
      </w:r>
    </w:p>
    <w:p w:rsidR="00BC7E3C" w:rsidRDefault="00BB35E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BC7E3C" w:rsidRDefault="00BB35E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22年，攀枝花市公安局西区分局政府采购支出总额0万元，其中：政府采购货物支出0万元、政府采购工程支出0万元、政府采购服务支出0万元。授予中小企业合同金额0万元，占政府采购支出总额的0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BC7E3C" w:rsidRDefault="00BB35E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BC7E3C" w:rsidRDefault="00BB35E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日，攀枝花市公安局西区分局共有车辆56辆，其中：主要领导干部用车0辆、机要通信用车0辆、应急保障用车0辆、其他用车56辆，其他用车主要是用于执法办案、安保巡逻。单价</w:t>
      </w:r>
      <w:r>
        <w:rPr>
          <w:rFonts w:ascii="仿宋_GB2312" w:eastAsia="仿宋_GB2312"/>
          <w:sz w:val="32"/>
          <w:szCs w:val="32"/>
        </w:rPr>
        <w:t>100</w:t>
      </w:r>
      <w:r>
        <w:rPr>
          <w:rFonts w:ascii="仿宋_GB2312" w:eastAsia="仿宋_GB2312" w:hint="eastAsia"/>
          <w:sz w:val="32"/>
          <w:szCs w:val="32"/>
        </w:rPr>
        <w:t>万元以上专用设备0台（套）。</w:t>
      </w:r>
    </w:p>
    <w:p w:rsidR="00BC7E3C" w:rsidRDefault="00BB35E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BC7E3C" w:rsidRDefault="00BB35ED">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根据预算绩效管理要求，本单位在2022年度预算编制阶段，组织对2021年攀枝花市铁路护路资金项目及公务员医保个人账户补充等17个项目开展了预算事前绩效评估，</w:t>
      </w:r>
      <w:r>
        <w:rPr>
          <w:rFonts w:hAnsi="仿宋_GB2312" w:cs="仿宋_GB2312" w:hint="eastAsia"/>
          <w:sz w:val="32"/>
          <w:szCs w:val="32"/>
        </w:rPr>
        <w:lastRenderedPageBreak/>
        <w:t>对17个项目编制了绩效目标，预算执行过程中，选取17个项目开展绩效监控，组织对17个项目开展绩效自评，绩效自评表详见第四部分附件。</w:t>
      </w:r>
    </w:p>
    <w:p w:rsidR="00BC7E3C" w:rsidRDefault="00BB35ED">
      <w:pPr>
        <w:widowControl/>
        <w:jc w:val="left"/>
        <w:rPr>
          <w:rFonts w:ascii="仿宋_GB2312" w:eastAsia="仿宋_GB2312"/>
          <w:b/>
          <w:sz w:val="32"/>
          <w:szCs w:val="32"/>
        </w:rPr>
      </w:pPr>
      <w:r>
        <w:rPr>
          <w:rFonts w:ascii="仿宋_GB2312" w:eastAsia="仿宋_GB2312"/>
          <w:b/>
          <w:sz w:val="32"/>
          <w:szCs w:val="32"/>
        </w:rPr>
        <w:br w:type="page"/>
      </w:r>
    </w:p>
    <w:p w:rsidR="00BC7E3C" w:rsidRDefault="00BB35ED">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BC7E3C" w:rsidRDefault="00BC7E3C">
      <w:pPr>
        <w:spacing w:line="600" w:lineRule="exact"/>
        <w:jc w:val="left"/>
        <w:rPr>
          <w:rFonts w:ascii="宋体"/>
          <w:b/>
          <w:sz w:val="44"/>
          <w:szCs w:val="44"/>
        </w:rPr>
      </w:pPr>
    </w:p>
    <w:p w:rsidR="00BC7E3C" w:rsidRDefault="00BB35ED">
      <w:pPr>
        <w:pStyle w:val="Default"/>
        <w:spacing w:line="560" w:lineRule="exact"/>
        <w:ind w:firstLineChars="200" w:firstLine="640"/>
        <w:rPr>
          <w:rFonts w:ascii="仿宋_GB2312" w:eastAsia="仿宋_GB2312"/>
          <w:color w:val="auto"/>
          <w:sz w:val="32"/>
          <w:szCs w:val="32"/>
        </w:rPr>
      </w:pPr>
      <w:bookmarkStart w:id="51"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 xml:space="preserve">9.公共安全支出（类）公安（款）行政运行（项）:反映行政单位（包括实行公务员管理的事业单位）的基本支出。 </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10.公共安全支出（类）公安（款）一般行政管理事务（项）: 反映行政单位（包括实行公务员管理的事业单位）未单独设置项级科目的其他项目支出。</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11.公共安全支出（类）其他公共安全支出（款）其他</w:t>
      </w:r>
      <w:r>
        <w:rPr>
          <w:rFonts w:ascii="仿宋_GB2312" w:eastAsia="仿宋_GB2312" w:hint="eastAsia"/>
          <w:color w:val="auto"/>
          <w:sz w:val="32"/>
          <w:szCs w:val="32"/>
        </w:rPr>
        <w:lastRenderedPageBreak/>
        <w:t>公共安全支出（项）: 反映其他用于公安方面的支出。</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12.社会保障和就业支出（类）行政事业单位养老支出（款）行政单位离退休（项）: 反映行政单位（包括实行公务员管理的事业单位）开支的离退休经费。</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13.社会保障和就业支出（类）行政事业单位养老支出（款）机关事业单位基本养老保险缴费支出（项）:反映机关事业单位实施养老保险制度由单位缴纳的基本养老保险费支出。</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14.社会保障和就业支出（类）抚恤（款）死亡抚恤（项）:反映按规定用于烈士和牺牲、病故人员家属的一次性和定期抚恤金、丧葬补助费以及烈士褒扬金。</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15.住房保障支出（类）住房改革支出（款）住房公积金（项）:反映行政事业单位按人力资源和社会保障部、财政部规定的基本工资何津贴补贴以及规定比例为职工缴纳的住房公积金。</w:t>
      </w:r>
    </w:p>
    <w:p w:rsidR="00BC7E3C" w:rsidRDefault="00BB35ED">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BC7E3C" w:rsidRDefault="00BB35ED">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BC7E3C" w:rsidRDefault="00BB35ED">
      <w:pPr>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w:t>
      </w:r>
      <w:r>
        <w:rPr>
          <w:rFonts w:ascii="仿宋_GB2312" w:eastAsia="仿宋_GB2312" w:hint="eastAsia"/>
          <w:color w:val="auto"/>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C7E3C" w:rsidRDefault="00BB35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20</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BC7E3C" w:rsidRDefault="00BB35ED">
      <w:pPr>
        <w:spacing w:line="600" w:lineRule="exact"/>
        <w:jc w:val="center"/>
        <w:outlineLvl w:val="0"/>
        <w:rPr>
          <w:rStyle w:val="1Char"/>
          <w:rFonts w:ascii="黑体" w:eastAsia="黑体" w:hAnsi="黑体"/>
          <w:b w:val="0"/>
        </w:rPr>
      </w:pPr>
      <w:r>
        <w:rPr>
          <w:rFonts w:ascii="宋体"/>
          <w:b/>
          <w:sz w:val="44"/>
          <w:szCs w:val="44"/>
        </w:rPr>
        <w:br w:type="page"/>
      </w:r>
      <w:bookmarkStart w:id="52" w:name="_Toc15396614"/>
      <w:bookmarkStart w:id="53" w:name="_GoBack"/>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2"/>
    </w:p>
    <w:p w:rsidR="00BC7E3C" w:rsidRDefault="00BC7E3C">
      <w:pPr>
        <w:spacing w:line="572" w:lineRule="exact"/>
        <w:jc w:val="left"/>
        <w:outlineLvl w:val="0"/>
        <w:rPr>
          <w:rFonts w:ascii="仿宋_GB2312" w:eastAsia="仿宋_GB2312" w:hAnsi="仿宋_GB2312" w:cs="仿宋_GB2312"/>
          <w:sz w:val="32"/>
          <w:szCs w:val="32"/>
        </w:rPr>
      </w:pPr>
    </w:p>
    <w:p w:rsidR="00BC7E3C" w:rsidRDefault="00BB35ED" w:rsidP="0031420F">
      <w:pPr>
        <w:spacing w:line="600" w:lineRule="exact"/>
        <w:jc w:val="left"/>
        <w:outlineLvl w:val="0"/>
        <w:rPr>
          <w:rFonts w:ascii="宋体" w:hAnsi="宋体" w:cs="宋体"/>
          <w:kern w:val="0"/>
          <w:sz w:val="32"/>
          <w:szCs w:val="32"/>
        </w:rPr>
      </w:pPr>
      <w:bookmarkStart w:id="54" w:name="_Toc15396618"/>
      <w:r>
        <w:rPr>
          <w:rFonts w:ascii="宋体" w:hAnsi="宋体" w:cs="宋体" w:hint="eastAsia"/>
          <w:kern w:val="0"/>
          <w:sz w:val="32"/>
          <w:szCs w:val="32"/>
        </w:rPr>
        <w:t>部门预算项目支出绩效自评表（2022年度）见附件</w:t>
      </w:r>
      <w:r w:rsidR="0031420F">
        <w:rPr>
          <w:rFonts w:ascii="宋体" w:hAnsi="宋体" w:cs="宋体" w:hint="eastAsia"/>
          <w:kern w:val="0"/>
          <w:sz w:val="32"/>
          <w:szCs w:val="32"/>
        </w:rPr>
        <w:t>《攀枝花市公安局西区分局部门预算项目支出绩效自评表》</w:t>
      </w:r>
      <w:bookmarkEnd w:id="53"/>
    </w:p>
    <w:p w:rsidR="00BC7E3C" w:rsidRDefault="00BC7E3C">
      <w:pPr>
        <w:spacing w:line="600" w:lineRule="exact"/>
        <w:jc w:val="left"/>
        <w:outlineLvl w:val="0"/>
        <w:rPr>
          <w:rFonts w:ascii="仿宋_GB2312" w:eastAsia="仿宋_GB2312" w:hAnsi="Calibri" w:cs="仿宋"/>
          <w:kern w:val="0"/>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Pr="0031420F"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C7E3C">
      <w:pPr>
        <w:pStyle w:val="a0"/>
        <w:spacing w:before="93"/>
        <w:rPr>
          <w:rFonts w:hAnsi="Calibri" w:cs="仿宋"/>
          <w:sz w:val="32"/>
          <w:szCs w:val="32"/>
        </w:rPr>
      </w:pPr>
    </w:p>
    <w:p w:rsidR="00BC7E3C" w:rsidRDefault="00BB35ED">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 附表</w:t>
      </w:r>
      <w:bookmarkStart w:id="55" w:name="_Toc15396619"/>
      <w:bookmarkEnd w:id="51"/>
      <w:bookmarkEnd w:id="54"/>
    </w:p>
    <w:p w:rsidR="00BC7E3C" w:rsidRDefault="00BB35ED">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BC7E3C" w:rsidRDefault="00BB35ED">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BC7E3C" w:rsidRDefault="00BB35ED">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BC7E3C" w:rsidRDefault="00BB35ED">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BC7E3C" w:rsidRDefault="00BB35ED">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BC7E3C" w:rsidRDefault="00BB35ED">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BC7E3C" w:rsidRDefault="00BB35ED">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BC7E3C" w:rsidRDefault="00BB35ED">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BC7E3C" w:rsidRDefault="00BB35ED">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BC7E3C" w:rsidRDefault="00BB35ED">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府性基金预算财政拨款收入支出决算表（此表无数据）</w:t>
      </w:r>
    </w:p>
    <w:p w:rsidR="00BC7E3C" w:rsidRDefault="00BB35ED">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有资本经营预算财政拨款收入支出决算表（此表无数据）</w:t>
      </w:r>
    </w:p>
    <w:p w:rsidR="00BC7E3C" w:rsidRDefault="00BB35ED">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国有资本经营预算财政拨款支出决算表（此表无数据）</w:t>
      </w:r>
    </w:p>
    <w:p w:rsidR="00BC7E3C" w:rsidRDefault="00BB35ED">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BC7E3C" w:rsidSect="005365D5">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C5" w:rsidRDefault="00A53CC5">
      <w:r>
        <w:separator/>
      </w:r>
    </w:p>
  </w:endnote>
  <w:endnote w:type="continuationSeparator" w:id="1">
    <w:p w:rsidR="00A53CC5" w:rsidRDefault="00A5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C7E3C" w:rsidRDefault="005365D5">
        <w:pPr>
          <w:pStyle w:val="a5"/>
          <w:jc w:val="center"/>
        </w:pPr>
        <w:r>
          <w:fldChar w:fldCharType="begin"/>
        </w:r>
        <w:r w:rsidR="00BB35ED">
          <w:instrText>PAGE   \* MERGEFORMAT</w:instrText>
        </w:r>
        <w:r>
          <w:fldChar w:fldCharType="separate"/>
        </w:r>
        <w:r w:rsidR="00125240" w:rsidRPr="00125240">
          <w:rPr>
            <w:noProof/>
            <w:lang w:val="zh-CN"/>
          </w:rPr>
          <w:t>2</w:t>
        </w:r>
        <w:r>
          <w:fldChar w:fldCharType="end"/>
        </w:r>
      </w:p>
    </w:sdtContent>
  </w:sdt>
  <w:p w:rsidR="00BC7E3C" w:rsidRDefault="00BC7E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C5" w:rsidRDefault="00A53CC5">
      <w:r>
        <w:separator/>
      </w:r>
    </w:p>
  </w:footnote>
  <w:footnote w:type="continuationSeparator" w:id="1">
    <w:p w:rsidR="00A53CC5" w:rsidRDefault="00A53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3C" w:rsidRDefault="00BC7E3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431"/>
    <w:rsid w:val="000D1D50"/>
    <w:rsid w:val="000D5782"/>
    <w:rsid w:val="000E6613"/>
    <w:rsid w:val="000E7119"/>
    <w:rsid w:val="000F3D30"/>
    <w:rsid w:val="00114E9B"/>
    <w:rsid w:val="00123991"/>
    <w:rsid w:val="00125240"/>
    <w:rsid w:val="00132F50"/>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1420F"/>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D728C"/>
    <w:rsid w:val="003E1310"/>
    <w:rsid w:val="003E6F55"/>
    <w:rsid w:val="00406254"/>
    <w:rsid w:val="004223DE"/>
    <w:rsid w:val="00430C04"/>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365D5"/>
    <w:rsid w:val="005664BB"/>
    <w:rsid w:val="00566FFA"/>
    <w:rsid w:val="0057481D"/>
    <w:rsid w:val="0058486E"/>
    <w:rsid w:val="00585B33"/>
    <w:rsid w:val="0059014D"/>
    <w:rsid w:val="005A049A"/>
    <w:rsid w:val="005B5C64"/>
    <w:rsid w:val="005C230A"/>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7F580A"/>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3CC5"/>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35ED"/>
    <w:rsid w:val="00BB4DF0"/>
    <w:rsid w:val="00BC289F"/>
    <w:rsid w:val="00BC2D50"/>
    <w:rsid w:val="00BC5361"/>
    <w:rsid w:val="00BC5460"/>
    <w:rsid w:val="00BC6B50"/>
    <w:rsid w:val="00BC7E3C"/>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03C8D"/>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01CB"/>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13A05"/>
    <w:rsid w:val="053A62B5"/>
    <w:rsid w:val="0A2032A3"/>
    <w:rsid w:val="0B8A37D8"/>
    <w:rsid w:val="0F3A6E76"/>
    <w:rsid w:val="10C055FF"/>
    <w:rsid w:val="118107EC"/>
    <w:rsid w:val="11DD6519"/>
    <w:rsid w:val="16A17D9F"/>
    <w:rsid w:val="16BB723D"/>
    <w:rsid w:val="18015F3F"/>
    <w:rsid w:val="1BE8440E"/>
    <w:rsid w:val="1D155CEE"/>
    <w:rsid w:val="1D156189"/>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4DD7FCB"/>
    <w:rsid w:val="48465647"/>
    <w:rsid w:val="48BF60AB"/>
    <w:rsid w:val="493C27E9"/>
    <w:rsid w:val="496F39ED"/>
    <w:rsid w:val="49FF41D3"/>
    <w:rsid w:val="4B5F274A"/>
    <w:rsid w:val="4BE068DB"/>
    <w:rsid w:val="4BF6002B"/>
    <w:rsid w:val="4ECE2238"/>
    <w:rsid w:val="51DB4B86"/>
    <w:rsid w:val="55333C3E"/>
    <w:rsid w:val="5DFC6790"/>
    <w:rsid w:val="64CA39A1"/>
    <w:rsid w:val="69630ADE"/>
    <w:rsid w:val="6982199C"/>
    <w:rsid w:val="6A8B73DF"/>
    <w:rsid w:val="6C4A05C8"/>
    <w:rsid w:val="6D3B1A89"/>
    <w:rsid w:val="70845060"/>
    <w:rsid w:val="71BF4EC2"/>
    <w:rsid w:val="725F59B2"/>
    <w:rsid w:val="72734D90"/>
    <w:rsid w:val="72E60BC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65D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365D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65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65D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365D5"/>
    <w:pPr>
      <w:spacing w:beforeLines="30"/>
    </w:pPr>
    <w:rPr>
      <w:rFonts w:ascii="仿宋_GB2312" w:eastAsia="仿宋_GB2312"/>
      <w:kern w:val="0"/>
      <w:sz w:val="30"/>
    </w:rPr>
  </w:style>
  <w:style w:type="paragraph" w:styleId="30">
    <w:name w:val="toc 3"/>
    <w:basedOn w:val="a"/>
    <w:next w:val="a"/>
    <w:uiPriority w:val="39"/>
    <w:unhideWhenUsed/>
    <w:qFormat/>
    <w:rsid w:val="005365D5"/>
    <w:pPr>
      <w:tabs>
        <w:tab w:val="right" w:leader="dot" w:pos="8296"/>
      </w:tabs>
      <w:ind w:leftChars="400" w:left="840"/>
    </w:pPr>
  </w:style>
  <w:style w:type="paragraph" w:styleId="a4">
    <w:name w:val="Balloon Text"/>
    <w:basedOn w:val="a"/>
    <w:link w:val="Char0"/>
    <w:uiPriority w:val="99"/>
    <w:semiHidden/>
    <w:unhideWhenUsed/>
    <w:qFormat/>
    <w:rsid w:val="005365D5"/>
    <w:rPr>
      <w:sz w:val="18"/>
      <w:szCs w:val="18"/>
    </w:rPr>
  </w:style>
  <w:style w:type="paragraph" w:styleId="a5">
    <w:name w:val="footer"/>
    <w:basedOn w:val="a"/>
    <w:link w:val="Char1"/>
    <w:uiPriority w:val="99"/>
    <w:qFormat/>
    <w:rsid w:val="005365D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365D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365D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365D5"/>
    <w:pPr>
      <w:tabs>
        <w:tab w:val="right" w:leader="dot" w:pos="8296"/>
      </w:tabs>
      <w:ind w:leftChars="200" w:left="420"/>
    </w:pPr>
  </w:style>
  <w:style w:type="character" w:styleId="a7">
    <w:name w:val="Strong"/>
    <w:basedOn w:val="a1"/>
    <w:uiPriority w:val="99"/>
    <w:qFormat/>
    <w:rsid w:val="005365D5"/>
    <w:rPr>
      <w:b/>
    </w:rPr>
  </w:style>
  <w:style w:type="character" w:styleId="a8">
    <w:name w:val="Hyperlink"/>
    <w:basedOn w:val="a1"/>
    <w:uiPriority w:val="99"/>
    <w:unhideWhenUsed/>
    <w:qFormat/>
    <w:rsid w:val="005365D5"/>
    <w:rPr>
      <w:color w:val="0000FF" w:themeColor="hyperlink"/>
      <w:u w:val="single"/>
    </w:rPr>
  </w:style>
  <w:style w:type="character" w:customStyle="1" w:styleId="HeaderChar">
    <w:name w:val="Header Char"/>
    <w:basedOn w:val="a1"/>
    <w:uiPriority w:val="99"/>
    <w:semiHidden/>
    <w:qFormat/>
    <w:rsid w:val="005365D5"/>
    <w:rPr>
      <w:rFonts w:ascii="Times New Roman" w:hAnsi="Times New Roman"/>
      <w:sz w:val="18"/>
      <w:szCs w:val="18"/>
    </w:rPr>
  </w:style>
  <w:style w:type="character" w:customStyle="1" w:styleId="Char2">
    <w:name w:val="页眉 Char"/>
    <w:link w:val="a6"/>
    <w:uiPriority w:val="99"/>
    <w:semiHidden/>
    <w:qFormat/>
    <w:locked/>
    <w:rsid w:val="005365D5"/>
    <w:rPr>
      <w:sz w:val="18"/>
    </w:rPr>
  </w:style>
  <w:style w:type="character" w:customStyle="1" w:styleId="FooterChar">
    <w:name w:val="Footer Char"/>
    <w:basedOn w:val="a1"/>
    <w:uiPriority w:val="99"/>
    <w:semiHidden/>
    <w:qFormat/>
    <w:rsid w:val="005365D5"/>
    <w:rPr>
      <w:rFonts w:ascii="Times New Roman" w:hAnsi="Times New Roman"/>
      <w:sz w:val="18"/>
      <w:szCs w:val="18"/>
    </w:rPr>
  </w:style>
  <w:style w:type="character" w:customStyle="1" w:styleId="Char1">
    <w:name w:val="页脚 Char"/>
    <w:link w:val="a5"/>
    <w:uiPriority w:val="99"/>
    <w:qFormat/>
    <w:locked/>
    <w:rsid w:val="005365D5"/>
    <w:rPr>
      <w:sz w:val="18"/>
    </w:rPr>
  </w:style>
  <w:style w:type="character" w:customStyle="1" w:styleId="BodyTextChar">
    <w:name w:val="Body Text Char"/>
    <w:basedOn w:val="a1"/>
    <w:uiPriority w:val="99"/>
    <w:semiHidden/>
    <w:qFormat/>
    <w:rsid w:val="005365D5"/>
    <w:rPr>
      <w:rFonts w:ascii="Times New Roman" w:hAnsi="Times New Roman"/>
      <w:szCs w:val="24"/>
    </w:rPr>
  </w:style>
  <w:style w:type="character" w:customStyle="1" w:styleId="Char">
    <w:name w:val="正文文本 Char"/>
    <w:link w:val="a0"/>
    <w:uiPriority w:val="99"/>
    <w:qFormat/>
    <w:locked/>
    <w:rsid w:val="005365D5"/>
    <w:rPr>
      <w:rFonts w:ascii="仿宋_GB2312" w:eastAsia="仿宋_GB2312" w:hAnsi="Times New Roman"/>
      <w:sz w:val="24"/>
    </w:rPr>
  </w:style>
  <w:style w:type="paragraph" w:customStyle="1" w:styleId="Default">
    <w:name w:val="Default"/>
    <w:uiPriority w:val="99"/>
    <w:qFormat/>
    <w:rsid w:val="005365D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5365D5"/>
    <w:pPr>
      <w:ind w:firstLineChars="200" w:firstLine="420"/>
    </w:pPr>
  </w:style>
  <w:style w:type="character" w:customStyle="1" w:styleId="1Char">
    <w:name w:val="标题 1 Char"/>
    <w:basedOn w:val="a1"/>
    <w:link w:val="1"/>
    <w:uiPriority w:val="9"/>
    <w:qFormat/>
    <w:rsid w:val="005365D5"/>
    <w:rPr>
      <w:rFonts w:ascii="Times New Roman" w:hAnsi="Times New Roman"/>
      <w:b/>
      <w:bCs/>
      <w:kern w:val="44"/>
      <w:sz w:val="44"/>
      <w:szCs w:val="44"/>
    </w:rPr>
  </w:style>
  <w:style w:type="character" w:customStyle="1" w:styleId="2Char">
    <w:name w:val="标题 2 Char"/>
    <w:basedOn w:val="a1"/>
    <w:link w:val="2"/>
    <w:uiPriority w:val="9"/>
    <w:qFormat/>
    <w:rsid w:val="005365D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365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365D5"/>
    <w:rPr>
      <w:rFonts w:ascii="Times New Roman" w:hAnsi="Times New Roman"/>
      <w:kern w:val="2"/>
      <w:sz w:val="18"/>
      <w:szCs w:val="18"/>
    </w:rPr>
  </w:style>
  <w:style w:type="character" w:customStyle="1" w:styleId="3Char">
    <w:name w:val="标题 3 Char"/>
    <w:basedOn w:val="a1"/>
    <w:link w:val="3"/>
    <w:uiPriority w:val="9"/>
    <w:qFormat/>
    <w:rsid w:val="005365D5"/>
    <w:rPr>
      <w:rFonts w:ascii="Times New Roman" w:hAnsi="Times New Roman"/>
      <w:b/>
      <w:bCs/>
      <w:kern w:val="2"/>
      <w:sz w:val="32"/>
      <w:szCs w:val="32"/>
    </w:rPr>
  </w:style>
  <w:style w:type="paragraph" w:customStyle="1" w:styleId="TOC2">
    <w:name w:val="TOC 标题2"/>
    <w:basedOn w:val="1"/>
    <w:next w:val="a"/>
    <w:uiPriority w:val="39"/>
    <w:unhideWhenUsed/>
    <w:qFormat/>
    <w:rsid w:val="005365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spPr>
        <a:noFill/>
        <a:ln>
          <a:noFill/>
        </a:ln>
        <a:effectLst/>
      </c:spPr>
    </c:title>
    <c:plotArea>
      <c:layout/>
      <c:barChart>
        <c:barDir val="col"/>
        <c:grouping val="clustered"/>
        <c:ser>
          <c:idx val="0"/>
          <c:order val="0"/>
          <c:tx>
            <c:strRef>
              <c:f>Sheet1!$B$1</c:f>
              <c:strCache>
                <c:ptCount val="1"/>
                <c:pt idx="0">
                  <c:v>收、支决算总计（单位：万元）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7519.38</c:v>
                </c:pt>
                <c:pt idx="1">
                  <c:v>7600.96</c:v>
                </c:pt>
              </c:numCache>
            </c:numRef>
          </c:val>
        </c:ser>
        <c:ser>
          <c:idx val="1"/>
          <c:order val="1"/>
          <c:tx>
            <c:strRef>
              <c:f>Sheet1!#REF!</c:f>
              <c:strCache>
                <c:ptCount val="1"/>
              </c:strCache>
            </c:strRef>
          </c:tx>
          <c:spPr>
            <a:solidFill>
              <a:schemeClr val="accent2"/>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gapWidth val="219"/>
        <c:overlap val="-27"/>
        <c:axId val="166952960"/>
        <c:axId val="166954496"/>
      </c:barChart>
      <c:catAx>
        <c:axId val="16695296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954496"/>
        <c:crosses val="autoZero"/>
        <c:auto val="1"/>
        <c:lblAlgn val="ctr"/>
        <c:lblOffset val="100"/>
      </c:catAx>
      <c:valAx>
        <c:axId val="16695449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952960"/>
        <c:crosses val="autoZero"/>
        <c:crossBetween val="between"/>
      </c:valAx>
      <c:spPr>
        <a:noFill/>
        <a:ln>
          <a:noFill/>
        </a:ln>
        <a:effectLst/>
      </c:spPr>
    </c:plotArea>
    <c:legend>
      <c:legendPos val="b"/>
      <c:legendEntry>
        <c:idx val="1"/>
        <c:delete val="1"/>
      </c:legendEntry>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本年收入合计</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一般公共预算财政拨款收入（单位：万元）</c:v>
                </c:pt>
              </c:strCache>
            </c:strRef>
          </c:cat>
          <c:val>
            <c:numRef>
              <c:f>Sheet1!$B$2:$B$5</c:f>
              <c:numCache>
                <c:formatCode>General</c:formatCode>
                <c:ptCount val="4"/>
                <c:pt idx="0">
                  <c:v>7600.96</c:v>
                </c:pt>
              </c:numCache>
            </c:numRef>
          </c:val>
        </c:ser>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30256250000000012"/>
          <c:y val="0.92133333333333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支出合计</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7545.7700000000013</c:v>
                </c:pt>
                <c:pt idx="1">
                  <c:v>242.02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spPr>
        <a:noFill/>
        <a:ln>
          <a:noFill/>
        </a:ln>
        <a:effectLst/>
      </c:spPr>
    </c:title>
    <c:plotArea>
      <c:layout/>
      <c:barChart>
        <c:barDir val="col"/>
        <c:grouping val="clustered"/>
        <c:ser>
          <c:idx val="0"/>
          <c:order val="0"/>
          <c:tx>
            <c:strRef>
              <c:f>Sheet1!$B$1</c:f>
              <c:strCache>
                <c:ptCount val="1"/>
                <c:pt idx="0">
                  <c:v>财政拨款收、支总计（单位：万元）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7729.4699999999993</c:v>
                </c:pt>
                <c:pt idx="1">
                  <c:v>7787.79</c:v>
                </c:pt>
              </c:numCache>
            </c:numRef>
          </c:val>
        </c:ser>
        <c:ser>
          <c:idx val="1"/>
          <c:order val="1"/>
          <c:tx>
            <c:strRef>
              <c:f>Sheet1!#REF!</c:f>
              <c:strCache>
                <c:ptCount val="1"/>
              </c:strCache>
            </c:strRef>
          </c:tx>
          <c:spPr>
            <a:solidFill>
              <a:schemeClr val="accent2"/>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gapWidth val="219"/>
        <c:overlap val="-27"/>
        <c:axId val="167003264"/>
        <c:axId val="167004800"/>
      </c:barChart>
      <c:catAx>
        <c:axId val="16700326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004800"/>
        <c:crosses val="autoZero"/>
        <c:auto val="1"/>
        <c:lblAlgn val="ctr"/>
        <c:lblOffset val="100"/>
      </c:catAx>
      <c:valAx>
        <c:axId val="16700480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003264"/>
        <c:crosses val="autoZero"/>
        <c:crossBetween val="between"/>
      </c:valAx>
      <c:spPr>
        <a:noFill/>
        <a:ln>
          <a:noFill/>
        </a:ln>
        <a:effectLst/>
      </c:spPr>
    </c:plotArea>
    <c:legend>
      <c:legendPos val="b"/>
      <c:legendEntry>
        <c:idx val="2"/>
        <c:delete val="1"/>
      </c:legendEntry>
      <c:legendEntry>
        <c:idx val="1"/>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endParaRPr lang="zh-CN" altLang="en-US"/>
          </a:p>
        </c:rich>
      </c:tx>
      <c:spPr>
        <a:noFill/>
        <a:ln>
          <a:noFill/>
        </a:ln>
        <a:effectLst/>
      </c:spPr>
    </c:title>
    <c:plotArea>
      <c:layout/>
      <c:barChart>
        <c:barDir val="col"/>
        <c:grouping val="clustered"/>
        <c:ser>
          <c:idx val="0"/>
          <c:order val="0"/>
          <c:tx>
            <c:strRef>
              <c:f>Sheet1!$B$1</c:f>
              <c:strCache>
                <c:ptCount val="1"/>
                <c:pt idx="0">
                  <c:v>一般公共预算财政拨款支出（单位：万元）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7729.4699999999993</c:v>
                </c:pt>
                <c:pt idx="1">
                  <c:v>7787.79</c:v>
                </c:pt>
              </c:numCache>
            </c:numRef>
          </c:val>
        </c:ser>
        <c:ser>
          <c:idx val="1"/>
          <c:order val="1"/>
          <c:tx>
            <c:strRef>
              <c:f>Sheet1!#REF!</c:f>
              <c:strCache>
                <c:ptCount val="1"/>
              </c:strCache>
            </c:strRef>
          </c:tx>
          <c:spPr>
            <a:solidFill>
              <a:schemeClr val="accent2"/>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2021年</c:v>
                </c:pt>
                <c:pt idx="1">
                  <c:v>2022年</c:v>
                </c:pt>
              </c:strCache>
            </c:strRef>
          </c:cat>
          <c:val>
            <c:numRef>
              <c:f>Sheet1!#REF!</c:f>
              <c:numCache>
                <c:formatCode>General</c:formatCode>
                <c:ptCount val="1"/>
                <c:pt idx="0">
                  <c:v>1</c:v>
                </c:pt>
              </c:numCache>
            </c:numRef>
          </c:val>
        </c:ser>
        <c:gapWidth val="219"/>
        <c:overlap val="-27"/>
        <c:axId val="167257984"/>
        <c:axId val="167259520"/>
      </c:barChart>
      <c:catAx>
        <c:axId val="16725798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259520"/>
        <c:crosses val="autoZero"/>
        <c:auto val="1"/>
        <c:lblAlgn val="ctr"/>
        <c:lblOffset val="100"/>
      </c:catAx>
      <c:valAx>
        <c:axId val="16725952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257984"/>
        <c:crosses val="autoZero"/>
        <c:crossBetween val="between"/>
      </c:valAx>
      <c:spPr>
        <a:noFill/>
        <a:ln>
          <a:noFill/>
        </a:ln>
        <a:effectLst/>
      </c:spPr>
    </c:plotArea>
    <c:legend>
      <c:legendPos val="b"/>
      <c:legendEntry>
        <c:idx val="1"/>
        <c:delete val="1"/>
      </c:legendEntry>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公共安全支出</c:v>
                </c:pt>
                <c:pt idx="1">
                  <c:v>社会保障和就业支出</c:v>
                </c:pt>
                <c:pt idx="2">
                  <c:v>住房保障支出</c:v>
                </c:pt>
              </c:strCache>
            </c:strRef>
          </c:cat>
          <c:val>
            <c:numRef>
              <c:f>Sheet1!$B$2:$B$4</c:f>
              <c:numCache>
                <c:formatCode>General</c:formatCode>
                <c:ptCount val="3"/>
                <c:pt idx="0">
                  <c:v>6307.08</c:v>
                </c:pt>
                <c:pt idx="1">
                  <c:v>897.7</c:v>
                </c:pt>
                <c:pt idx="2">
                  <c:v>583.01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58.45</c:v>
                </c:pt>
                <c:pt idx="2">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1089</Words>
  <Characters>6211</Characters>
  <Application>Microsoft Office Word</Application>
  <DocSecurity>0</DocSecurity>
  <Lines>51</Lines>
  <Paragraphs>14</Paragraphs>
  <ScaleCrop>false</ScaleCrop>
  <Company>四川省财政厅</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cp:lastModifiedBy>
  <cp:revision>50</cp:revision>
  <cp:lastPrinted>2023-07-31T02:35:00Z</cp:lastPrinted>
  <dcterms:created xsi:type="dcterms:W3CDTF">2020-08-05T01:49:00Z</dcterms:created>
  <dcterms:modified xsi:type="dcterms:W3CDTF">2023-09-13T09:14:00Z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