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EA" w:rsidRDefault="00B41DEA">
      <w:pPr>
        <w:spacing w:line="600" w:lineRule="exact"/>
        <w:jc w:val="center"/>
        <w:outlineLvl w:val="0"/>
        <w:rPr>
          <w:rFonts w:ascii="方正小标宋简体" w:eastAsia="方正小标宋简体" w:hAnsi="宋体"/>
          <w:sz w:val="72"/>
          <w:szCs w:val="72"/>
        </w:rPr>
      </w:pPr>
      <w:bookmarkStart w:id="0" w:name="_GoBack"/>
      <w:bookmarkStart w:id="1" w:name="_Toc15306267"/>
      <w:bookmarkEnd w:id="0"/>
    </w:p>
    <w:p w:rsidR="00B41DEA" w:rsidRDefault="00B41DEA">
      <w:pPr>
        <w:spacing w:line="600" w:lineRule="exact"/>
        <w:jc w:val="center"/>
        <w:outlineLvl w:val="0"/>
        <w:rPr>
          <w:rFonts w:ascii="方正小标宋简体" w:eastAsia="方正小标宋简体" w:hAnsi="宋体"/>
          <w:sz w:val="72"/>
          <w:szCs w:val="72"/>
        </w:rPr>
      </w:pPr>
    </w:p>
    <w:p w:rsidR="00B41DEA" w:rsidRDefault="00B41DEA">
      <w:pPr>
        <w:spacing w:line="600" w:lineRule="exact"/>
        <w:jc w:val="center"/>
        <w:outlineLvl w:val="0"/>
        <w:rPr>
          <w:rFonts w:ascii="方正小标宋简体" w:eastAsia="方正小标宋简体" w:hAnsi="宋体"/>
          <w:sz w:val="72"/>
          <w:szCs w:val="72"/>
        </w:rPr>
      </w:pPr>
    </w:p>
    <w:p w:rsidR="00B41DEA" w:rsidRDefault="00B41DEA">
      <w:pPr>
        <w:spacing w:line="600" w:lineRule="exact"/>
        <w:jc w:val="center"/>
        <w:outlineLvl w:val="0"/>
        <w:rPr>
          <w:rFonts w:ascii="方正小标宋简体" w:eastAsia="方正小标宋简体" w:hAnsi="宋体"/>
          <w:sz w:val="72"/>
          <w:szCs w:val="72"/>
        </w:rPr>
      </w:pPr>
    </w:p>
    <w:p w:rsidR="00B41DEA" w:rsidRDefault="001E1251">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2" w:name="_Toc15377425"/>
      <w:bookmarkStart w:id="3" w:name="_Toc15377193"/>
      <w:bookmarkStart w:id="4" w:name="_Toc15378441"/>
      <w:bookmarkStart w:id="5" w:name="_Toc15396597"/>
      <w:bookmarkStart w:id="6" w:name="_Toc15396475"/>
      <w:r>
        <w:rPr>
          <w:rFonts w:ascii="方正小标宋简体" w:eastAsia="方正小标宋简体" w:hAnsi="方正小标宋简体" w:cs="方正小标宋简体" w:hint="eastAsia"/>
          <w:sz w:val="52"/>
          <w:szCs w:val="52"/>
        </w:rPr>
        <w:t>2021年度</w:t>
      </w:r>
      <w:bookmarkEnd w:id="2"/>
      <w:bookmarkEnd w:id="3"/>
      <w:bookmarkEnd w:id="4"/>
      <w:bookmarkEnd w:id="5"/>
      <w:bookmarkEnd w:id="6"/>
    </w:p>
    <w:bookmarkEnd w:id="1"/>
    <w:p w:rsidR="00B41DEA" w:rsidRDefault="001E1251">
      <w:pPr>
        <w:adjustRightInd w:val="0"/>
        <w:snapToGrid w:val="0"/>
        <w:spacing w:line="360" w:lineRule="auto"/>
        <w:jc w:val="center"/>
        <w:outlineLvl w:val="0"/>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四川省攀枝花市公安局</w:t>
      </w:r>
    </w:p>
    <w:p w:rsidR="00B41DEA" w:rsidRDefault="001E1251">
      <w:pPr>
        <w:adjustRightInd w:val="0"/>
        <w:snapToGrid w:val="0"/>
        <w:spacing w:line="360" w:lineRule="auto"/>
        <w:jc w:val="center"/>
        <w:outlineLvl w:val="0"/>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东区分局决算公开编制说明</w:t>
      </w:r>
    </w:p>
    <w:p w:rsidR="00B41DEA" w:rsidRDefault="00B41DEA">
      <w:pPr>
        <w:adjustRightInd w:val="0"/>
        <w:snapToGrid w:val="0"/>
        <w:spacing w:line="360" w:lineRule="auto"/>
        <w:jc w:val="center"/>
        <w:outlineLvl w:val="0"/>
        <w:rPr>
          <w:rFonts w:ascii="方正小标宋简体" w:eastAsia="方正小标宋简体" w:hAnsi="方正小标宋简体" w:cs="方正小标宋简体"/>
          <w:sz w:val="72"/>
          <w:szCs w:val="72"/>
        </w:rPr>
      </w:pPr>
    </w:p>
    <w:p w:rsidR="00B41DEA" w:rsidRDefault="00B41DEA">
      <w:pPr>
        <w:adjustRightInd w:val="0"/>
        <w:snapToGrid w:val="0"/>
        <w:spacing w:line="360" w:lineRule="auto"/>
        <w:jc w:val="center"/>
        <w:outlineLvl w:val="0"/>
        <w:rPr>
          <w:rFonts w:ascii="方正小标宋简体" w:eastAsia="方正小标宋简体" w:hAnsi="宋体"/>
          <w:sz w:val="52"/>
          <w:szCs w:val="52"/>
        </w:rPr>
      </w:pPr>
    </w:p>
    <w:p w:rsidR="00B41DEA" w:rsidRDefault="001E1251">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B41DEA" w:rsidRDefault="00B41DEA">
      <w:pPr>
        <w:widowControl/>
        <w:jc w:val="center"/>
        <w:rPr>
          <w:rFonts w:ascii="黑体" w:eastAsia="黑体" w:hAnsi="黑体" w:cstheme="minorBidi"/>
          <w:sz w:val="28"/>
          <w:szCs w:val="28"/>
        </w:rPr>
      </w:pPr>
    </w:p>
    <w:p w:rsidR="00B41DEA" w:rsidRDefault="001E1251">
      <w:pPr>
        <w:pStyle w:val="10"/>
      </w:pPr>
      <w:r>
        <w:rPr>
          <w:rFonts w:hint="eastAsia"/>
        </w:rPr>
        <w:t>公开时间：2022年9月13日</w:t>
      </w:r>
    </w:p>
    <w:p w:rsidR="00B41DEA" w:rsidRDefault="00B41DEA"/>
    <w:p w:rsidR="00B41DEA" w:rsidRDefault="001E1251">
      <w:pPr>
        <w:pStyle w:val="10"/>
        <w:adjustRightInd w:val="0"/>
        <w:snapToGrid w:val="0"/>
        <w:spacing w:before="0" w:line="440" w:lineRule="exact"/>
        <w:jc w:val="left"/>
        <w:rPr>
          <w:rFonts w:cstheme="minorBidi"/>
          <w:sz w:val="24"/>
          <w:szCs w:val="24"/>
        </w:rPr>
      </w:pPr>
      <w:r>
        <w:rPr>
          <w:rFonts w:hint="eastAsia"/>
          <w:sz w:val="24"/>
        </w:rPr>
        <w:t>第一部分单位概况</w:t>
      </w:r>
      <w:r>
        <w:rPr>
          <w:rFonts w:hint="eastAsia"/>
          <w:sz w:val="24"/>
        </w:rPr>
        <w:tab/>
        <w:t>4</w:t>
      </w:r>
    </w:p>
    <w:p w:rsidR="00B41DEA" w:rsidRDefault="001E1251">
      <w:pPr>
        <w:pStyle w:val="20"/>
        <w:adjustRightInd w:val="0"/>
        <w:snapToGrid w:val="0"/>
        <w:spacing w:line="440" w:lineRule="exact"/>
        <w:jc w:val="left"/>
        <w:rPr>
          <w:sz w:val="24"/>
        </w:rPr>
      </w:pPr>
      <w:r>
        <w:rPr>
          <w:rFonts w:hint="eastAsia"/>
          <w:sz w:val="24"/>
        </w:rPr>
        <w:t>一、职能简介</w:t>
      </w:r>
      <w:r>
        <w:rPr>
          <w:rFonts w:hint="eastAsia"/>
          <w:sz w:val="24"/>
        </w:rPr>
        <w:tab/>
        <w:t>4</w:t>
      </w:r>
    </w:p>
    <w:p w:rsidR="00B41DEA" w:rsidRDefault="001E1251">
      <w:pPr>
        <w:pStyle w:val="20"/>
        <w:adjustRightInd w:val="0"/>
        <w:snapToGrid w:val="0"/>
        <w:spacing w:line="440" w:lineRule="exact"/>
        <w:jc w:val="left"/>
        <w:rPr>
          <w:sz w:val="24"/>
        </w:rPr>
      </w:pPr>
      <w:r>
        <w:rPr>
          <w:rFonts w:asciiTheme="minorEastAsia" w:eastAsiaTheme="minorEastAsia" w:hAnsiTheme="minorEastAsia" w:cstheme="minorEastAsia" w:hint="eastAsia"/>
          <w:sz w:val="24"/>
        </w:rPr>
        <w:t>二、2021年重点工作完成情况</w:t>
      </w:r>
      <w:r>
        <w:rPr>
          <w:rFonts w:asciiTheme="minorEastAsia" w:eastAsiaTheme="minorEastAsia" w:hAnsiTheme="minorEastAsia" w:cstheme="minorEastAsia" w:hint="eastAsia"/>
          <w:sz w:val="24"/>
        </w:rPr>
        <w:tab/>
      </w:r>
      <w:r>
        <w:rPr>
          <w:rFonts w:hint="eastAsia"/>
          <w:sz w:val="24"/>
        </w:rPr>
        <w:t>4</w:t>
      </w:r>
    </w:p>
    <w:p w:rsidR="00B41DEA" w:rsidRDefault="001E1251">
      <w:pPr>
        <w:pStyle w:val="20"/>
        <w:adjustRightInd w:val="0"/>
        <w:snapToGrid w:val="0"/>
        <w:spacing w:line="440" w:lineRule="exact"/>
        <w:jc w:val="left"/>
      </w:pPr>
      <w:r>
        <w:rPr>
          <w:rFonts w:asciiTheme="minorEastAsia" w:eastAsiaTheme="minorEastAsia" w:hAnsiTheme="minorEastAsia" w:cstheme="minorEastAsia" w:hint="eastAsia"/>
          <w:sz w:val="24"/>
        </w:rPr>
        <w:t>三、机构设置情况</w:t>
      </w:r>
      <w:r>
        <w:rPr>
          <w:rFonts w:asciiTheme="minorEastAsia" w:eastAsiaTheme="minorEastAsia" w:hAnsiTheme="minorEastAsia" w:cstheme="minorEastAsia" w:hint="eastAsia"/>
          <w:sz w:val="24"/>
        </w:rPr>
        <w:tab/>
        <w:t>10</w:t>
      </w:r>
    </w:p>
    <w:p w:rsidR="00B41DEA" w:rsidRDefault="001E1251">
      <w:pPr>
        <w:pStyle w:val="10"/>
        <w:adjustRightInd w:val="0"/>
        <w:snapToGrid w:val="0"/>
        <w:spacing w:before="0" w:line="440" w:lineRule="exact"/>
        <w:jc w:val="left"/>
        <w:rPr>
          <w:sz w:val="24"/>
          <w:szCs w:val="24"/>
        </w:rPr>
      </w:pPr>
      <w:r>
        <w:rPr>
          <w:rFonts w:hint="eastAsia"/>
          <w:sz w:val="24"/>
        </w:rPr>
        <w:t>第二部分 2021年度单位决算情况说明</w:t>
      </w:r>
      <w:r>
        <w:rPr>
          <w:rFonts w:hint="eastAsia"/>
          <w:sz w:val="24"/>
        </w:rPr>
        <w:tab/>
        <w:t>11</w:t>
      </w:r>
    </w:p>
    <w:p w:rsidR="00B41DEA" w:rsidRDefault="001E1251">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rFonts w:hint="eastAsia"/>
          <w:sz w:val="24"/>
        </w:rPr>
        <w:tab/>
        <w:t>11</w:t>
      </w:r>
    </w:p>
    <w:p w:rsidR="00B41DEA" w:rsidRDefault="001E1251">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hint="eastAsia"/>
          <w:sz w:val="24"/>
        </w:rPr>
        <w:tab/>
        <w:t>11</w:t>
      </w:r>
    </w:p>
    <w:p w:rsidR="00B41DEA" w:rsidRDefault="001E1251">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hint="eastAsia"/>
          <w:sz w:val="24"/>
        </w:rPr>
        <w:tab/>
        <w:t>12</w:t>
      </w:r>
    </w:p>
    <w:p w:rsidR="00B41DEA" w:rsidRDefault="001E1251">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ab/>
        <w:t>12</w:t>
      </w:r>
    </w:p>
    <w:p w:rsidR="00B41DEA" w:rsidRDefault="001E1251">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hint="eastAsia"/>
          <w:sz w:val="24"/>
        </w:rPr>
        <w:tab/>
        <w:t>13</w:t>
      </w:r>
    </w:p>
    <w:p w:rsidR="00B41DEA" w:rsidRDefault="001E1251">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hint="eastAsia"/>
          <w:sz w:val="24"/>
        </w:rPr>
        <w:tab/>
        <w:t>15</w:t>
      </w:r>
    </w:p>
    <w:p w:rsidR="00B41DEA" w:rsidRDefault="001E1251">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Pr>
          <w:rFonts w:hint="eastAsia"/>
          <w:sz w:val="24"/>
        </w:rPr>
        <w:tab/>
        <w:t>16</w:t>
      </w:r>
    </w:p>
    <w:p w:rsidR="00B41DEA" w:rsidRDefault="001E1251">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hint="eastAsia"/>
          <w:sz w:val="24"/>
        </w:rPr>
        <w:tab/>
        <w:t>18</w:t>
      </w:r>
    </w:p>
    <w:p w:rsidR="00B41DEA" w:rsidRDefault="001E1251">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ab/>
        <w:t>18</w:t>
      </w:r>
    </w:p>
    <w:p w:rsidR="00B41DEA" w:rsidRDefault="001E1251">
      <w:pPr>
        <w:pStyle w:val="20"/>
        <w:adjustRightInd w:val="0"/>
        <w:snapToGrid w:val="0"/>
        <w:spacing w:line="440" w:lineRule="exact"/>
        <w:jc w:val="left"/>
        <w:rPr>
          <w:sz w:val="24"/>
        </w:rPr>
      </w:pPr>
      <w:r>
        <w:rPr>
          <w:rFonts w:hint="eastAsia"/>
          <w:sz w:val="24"/>
        </w:rPr>
        <w:t>十、其他重要事项的情况说明</w:t>
      </w:r>
      <w:r>
        <w:rPr>
          <w:rFonts w:hint="eastAsia"/>
          <w:sz w:val="24"/>
        </w:rPr>
        <w:tab/>
        <w:t>18</w:t>
      </w:r>
    </w:p>
    <w:p w:rsidR="00B41DEA" w:rsidRDefault="001E1251">
      <w:pPr>
        <w:pStyle w:val="10"/>
        <w:adjustRightInd w:val="0"/>
        <w:snapToGrid w:val="0"/>
        <w:spacing w:before="0" w:line="440" w:lineRule="exact"/>
        <w:jc w:val="left"/>
        <w:rPr>
          <w:rFonts w:cstheme="minorBidi"/>
          <w:sz w:val="24"/>
          <w:szCs w:val="24"/>
        </w:rPr>
      </w:pPr>
      <w:r>
        <w:rPr>
          <w:rFonts w:hint="eastAsia"/>
          <w:sz w:val="24"/>
        </w:rPr>
        <w:t>第三部分名词解释</w:t>
      </w:r>
      <w:r>
        <w:rPr>
          <w:rFonts w:hint="eastAsia"/>
          <w:sz w:val="24"/>
        </w:rPr>
        <w:tab/>
        <w:t>20</w:t>
      </w:r>
    </w:p>
    <w:p w:rsidR="00B41DEA" w:rsidRDefault="001E1251">
      <w:pPr>
        <w:pStyle w:val="10"/>
        <w:adjustRightInd w:val="0"/>
        <w:snapToGrid w:val="0"/>
        <w:spacing w:before="0" w:line="440" w:lineRule="exact"/>
        <w:jc w:val="left"/>
        <w:rPr>
          <w:sz w:val="24"/>
        </w:rPr>
      </w:pPr>
      <w:r>
        <w:rPr>
          <w:rFonts w:hint="eastAsia"/>
          <w:sz w:val="24"/>
        </w:rPr>
        <w:t>第四部分附件</w:t>
      </w:r>
      <w:r>
        <w:rPr>
          <w:rFonts w:hint="eastAsia"/>
          <w:sz w:val="24"/>
        </w:rPr>
        <w:tab/>
        <w:t>22</w:t>
      </w:r>
    </w:p>
    <w:p w:rsidR="00B41DEA" w:rsidRDefault="001E1251">
      <w:pPr>
        <w:rPr>
          <w:sz w:val="24"/>
        </w:rPr>
      </w:pPr>
      <w:r>
        <w:rPr>
          <w:rFonts w:hint="eastAsia"/>
          <w:sz w:val="24"/>
        </w:rPr>
        <w:t>附件</w:t>
      </w:r>
      <w:r>
        <w:rPr>
          <w:rFonts w:hint="eastAsia"/>
          <w:sz w:val="24"/>
        </w:rPr>
        <w:t>1...........................................................................................................................22</w:t>
      </w:r>
    </w:p>
    <w:p w:rsidR="00B41DEA" w:rsidRDefault="001E1251">
      <w:r>
        <w:rPr>
          <w:rFonts w:hint="eastAsia"/>
          <w:sz w:val="24"/>
        </w:rPr>
        <w:t>附件</w:t>
      </w:r>
      <w:r>
        <w:rPr>
          <w:rFonts w:hint="eastAsia"/>
          <w:sz w:val="24"/>
        </w:rPr>
        <w:t>2...........................................................................................................................23</w:t>
      </w:r>
    </w:p>
    <w:p w:rsidR="00B41DEA" w:rsidRDefault="001E1251">
      <w:pPr>
        <w:pStyle w:val="10"/>
        <w:adjustRightInd w:val="0"/>
        <w:snapToGrid w:val="0"/>
        <w:spacing w:before="0" w:line="440" w:lineRule="exact"/>
        <w:jc w:val="left"/>
        <w:rPr>
          <w:rFonts w:cstheme="minorBidi"/>
          <w:sz w:val="24"/>
          <w:szCs w:val="24"/>
        </w:rPr>
      </w:pPr>
      <w:r>
        <w:rPr>
          <w:rFonts w:hint="eastAsia"/>
          <w:sz w:val="24"/>
        </w:rPr>
        <w:t>第五部分附表</w:t>
      </w:r>
      <w:r>
        <w:rPr>
          <w:rFonts w:hint="eastAsia"/>
          <w:sz w:val="24"/>
        </w:rPr>
        <w:tab/>
        <w:t>24</w:t>
      </w:r>
    </w:p>
    <w:p w:rsidR="00B41DEA" w:rsidRDefault="001E1251">
      <w:pPr>
        <w:pStyle w:val="20"/>
        <w:adjustRightInd w:val="0"/>
        <w:snapToGrid w:val="0"/>
        <w:spacing w:line="440" w:lineRule="exact"/>
        <w:jc w:val="left"/>
        <w:rPr>
          <w:sz w:val="24"/>
        </w:rPr>
      </w:pPr>
      <w:r>
        <w:rPr>
          <w:rFonts w:hint="eastAsia"/>
          <w:sz w:val="24"/>
        </w:rPr>
        <w:t>一、收入支出决算总表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二、收入决算表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三、支出决算表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四、财政拨款收入支出决算总表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五、财政拨款支出决算明细表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七、一般公共预算财政拨款支出决算明细表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lastRenderedPageBreak/>
        <w:t>八、一般公共预算财政拨款基本支出决算表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九、一般公共预算财政拨款项目支出决算表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十、一般公共预算财政拨款“三公”经费支出决算表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十一、政府性基金预算财政拨款收入支出决算表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十二、政府性基金预算财政拨款“三公”经费支出决算表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ab/>
        <w:t>25</w:t>
      </w:r>
    </w:p>
    <w:p w:rsidR="00B41DEA" w:rsidRDefault="001E1251">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ab/>
        <w:t>25</w:t>
      </w:r>
    </w:p>
    <w:p w:rsidR="00B41DEA" w:rsidRDefault="001E1251">
      <w:pPr>
        <w:widowControl/>
        <w:spacing w:line="440" w:lineRule="exact"/>
        <w:jc w:val="left"/>
        <w:rPr>
          <w:rFonts w:ascii="仿宋" w:eastAsia="仿宋" w:hAnsi="仿宋"/>
          <w:bCs/>
          <w:kern w:val="44"/>
          <w:sz w:val="24"/>
        </w:rPr>
      </w:pPr>
      <w:bookmarkStart w:id="7" w:name="_Toc15396599"/>
      <w:bookmarkStart w:id="8" w:name="_Toc15377196"/>
      <w:r>
        <w:rPr>
          <w:rFonts w:ascii="仿宋" w:eastAsia="仿宋" w:hAnsi="仿宋"/>
          <w:b/>
          <w:sz w:val="24"/>
        </w:rPr>
        <w:br w:type="page"/>
      </w:r>
    </w:p>
    <w:p w:rsidR="00B41DEA" w:rsidRDefault="001E1251">
      <w:pPr>
        <w:pStyle w:val="1"/>
        <w:spacing w:before="0" w:after="0"/>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7"/>
      <w:bookmarkEnd w:id="8"/>
    </w:p>
    <w:p w:rsidR="00B41DEA" w:rsidRDefault="00B41DEA">
      <w:pPr>
        <w:widowControl/>
        <w:jc w:val="left"/>
        <w:rPr>
          <w:rFonts w:ascii="黑体" w:eastAsia="黑体"/>
          <w:sz w:val="32"/>
          <w:szCs w:val="32"/>
        </w:rPr>
      </w:pPr>
    </w:p>
    <w:p w:rsidR="00B41DEA" w:rsidRDefault="001E1251">
      <w:pPr>
        <w:pStyle w:val="2"/>
        <w:ind w:firstLineChars="200" w:firstLine="640"/>
        <w:rPr>
          <w:rStyle w:val="2Char"/>
          <w:rFonts w:ascii="黑体" w:eastAsia="黑体" w:hAnsi="黑体"/>
        </w:rPr>
      </w:pPr>
      <w:bookmarkStart w:id="9" w:name="_Toc15396600"/>
      <w:bookmarkStart w:id="10" w:name="_Toc15377197"/>
      <w:r>
        <w:rPr>
          <w:rStyle w:val="2Char"/>
          <w:rFonts w:ascii="黑体" w:eastAsia="黑体" w:hAnsi="黑体" w:hint="eastAsia"/>
        </w:rPr>
        <w:t>一、职能简介</w:t>
      </w:r>
    </w:p>
    <w:p w:rsidR="00B41DEA" w:rsidRDefault="001E1251">
      <w:pPr>
        <w:pStyle w:val="2"/>
        <w:ind w:firstLineChars="200" w:firstLine="640"/>
        <w:rPr>
          <w:rFonts w:ascii="仿宋_GB2312" w:eastAsia="仿宋_GB2312" w:hAnsi="仿宋_GB2312" w:cs="仿宋_GB2312"/>
        </w:rPr>
      </w:pPr>
      <w:r>
        <w:rPr>
          <w:rFonts w:ascii="仿宋_GB2312" w:eastAsia="仿宋_GB2312" w:hAnsi="仿宋_GB2312" w:cs="仿宋_GB2312" w:hint="eastAsia"/>
          <w:b w:val="0"/>
          <w:bCs w:val="0"/>
        </w:rPr>
        <w:t>贯彻执行党和国家关于公安工作的路线、方针、政策和法律法规；预防、制止和侦查违法犯罪活动；维护社会治安秩序，制止危害社会治安秩序的行为；指导、检查、监督本辖区公安机关的执法活动；依法管理户口、居民身份证、枪支弹药、管制刀具和易燃易爆、剧毒、放射性等危险物品和特种待业的管理工作；依法管理集会、游行、示威活动；承办政府和上级公安机关交办的其他事项。</w:t>
      </w:r>
    </w:p>
    <w:p w:rsidR="00B41DEA" w:rsidRDefault="001E1251">
      <w:pPr>
        <w:pStyle w:val="2"/>
        <w:ind w:firstLineChars="200" w:firstLine="640"/>
        <w:rPr>
          <w:rFonts w:ascii="黑体" w:eastAsia="黑体" w:hAnsi="黑体"/>
          <w:b w:val="0"/>
        </w:rPr>
      </w:pPr>
      <w:r>
        <w:rPr>
          <w:rFonts w:ascii="黑体" w:eastAsia="黑体" w:hAnsi="黑体" w:hint="eastAsia"/>
          <w:b w:val="0"/>
        </w:rPr>
        <w:t>二、2021年重点工作</w:t>
      </w:r>
      <w:bookmarkEnd w:id="9"/>
      <w:bookmarkEnd w:id="10"/>
      <w:r>
        <w:rPr>
          <w:rFonts w:ascii="黑体" w:eastAsia="黑体" w:hAnsi="黑体" w:hint="eastAsia"/>
          <w:b w:val="0"/>
        </w:rPr>
        <w:t>完成情况</w:t>
      </w:r>
    </w:p>
    <w:p w:rsidR="00B41DEA" w:rsidRDefault="001E125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（一）首抓党建领航向。牢牢把握“公安姓党”根本政治属性和“政治建警”第一要义，扭紧“意识形态引领和党组织建设”总牵引，切实把党的领导融入分局党建大局，并将党建工作置于全局工作首位。</w:t>
      </w:r>
      <w:r>
        <w:rPr>
          <w:rFonts w:ascii="仿宋_GB2312" w:eastAsia="仿宋_GB2312" w:hAnsi="仿宋_GB2312" w:cs="仿宋_GB2312" w:hint="eastAsia"/>
          <w:b/>
          <w:sz w:val="32"/>
          <w:szCs w:val="32"/>
        </w:rPr>
        <w:t>一是抓实意识形态引领</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将意识形态工作纳入党建工作重要安排，结合支部“两化建设”和意识形态工作新形势，组织召开党委（扩大）会议</w:t>
      </w:r>
      <w:r>
        <w:rPr>
          <w:rFonts w:ascii="仿宋_GB2312" w:eastAsia="仿宋_GB2312" w:hAnsi="仿宋_GB2312" w:cs="仿宋_GB2312" w:hint="eastAsia"/>
          <w:sz w:val="32"/>
          <w:szCs w:val="32"/>
        </w:rPr>
        <w:t>52</w:t>
      </w:r>
      <w:r>
        <w:rPr>
          <w:rFonts w:ascii="仿宋_GB2312" w:eastAsia="仿宋_GB2312" w:hAnsi="仿宋_GB2312" w:cs="仿宋_GB2312" w:hint="eastAsia"/>
          <w:kern w:val="0"/>
          <w:sz w:val="32"/>
          <w:szCs w:val="32"/>
        </w:rPr>
        <w:t>次、党委理论学习中心组（扩大）学习会议</w:t>
      </w:r>
      <w:r>
        <w:rPr>
          <w:rFonts w:ascii="仿宋_GB2312" w:eastAsia="仿宋_GB2312" w:hAnsi="仿宋_GB2312" w:cs="仿宋_GB2312" w:hint="eastAsia"/>
          <w:sz w:val="32"/>
          <w:szCs w:val="32"/>
        </w:rPr>
        <w:t>16</w:t>
      </w:r>
      <w:r>
        <w:rPr>
          <w:rFonts w:ascii="仿宋_GB2312" w:eastAsia="仿宋_GB2312" w:hAnsi="仿宋_GB2312" w:cs="仿宋_GB2312" w:hint="eastAsia"/>
          <w:kern w:val="0"/>
          <w:sz w:val="32"/>
          <w:szCs w:val="32"/>
        </w:rPr>
        <w:t>次，党委专题研究意识形态工作</w:t>
      </w: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次，切实增强了意识形态把控和引导能力。将习近平总书记系列重要讲话精神、党的先进理论、中央各</w:t>
      </w:r>
      <w:r>
        <w:rPr>
          <w:rFonts w:ascii="仿宋_GB2312" w:eastAsia="仿宋_GB2312" w:hAnsi="仿宋_GB2312" w:cs="仿宋_GB2312" w:hint="eastAsia"/>
          <w:kern w:val="0"/>
          <w:sz w:val="32"/>
          <w:szCs w:val="32"/>
        </w:rPr>
        <w:lastRenderedPageBreak/>
        <w:t>项大政方针作为学习教育重要内容，不断深化全体民辅警思想引领，确保全体民辅警在思想上、政治上、行动上时刻与以习近平</w:t>
      </w:r>
      <w:r w:rsidR="00AA7C98">
        <w:rPr>
          <w:rFonts w:ascii="仿宋_GB2312" w:eastAsia="仿宋_GB2312" w:hAnsi="仿宋_GB2312" w:cs="仿宋_GB2312" w:hint="eastAsia"/>
          <w:kern w:val="0"/>
          <w:sz w:val="32"/>
          <w:szCs w:val="32"/>
        </w:rPr>
        <w:t>同志</w:t>
      </w:r>
      <w:r>
        <w:rPr>
          <w:rFonts w:ascii="仿宋_GB2312" w:eastAsia="仿宋_GB2312" w:hAnsi="仿宋_GB2312" w:cs="仿宋_GB2312" w:hint="eastAsia"/>
          <w:kern w:val="0"/>
          <w:sz w:val="32"/>
          <w:szCs w:val="32"/>
        </w:rPr>
        <w:t>为核心的党中央保持高度一致。紧紧围绕“庆祝建党</w:t>
      </w:r>
      <w:r>
        <w:rPr>
          <w:rFonts w:ascii="仿宋_GB2312" w:eastAsia="仿宋_GB2312" w:hAnsi="仿宋_GB2312" w:cs="仿宋_GB2312" w:hint="eastAsia"/>
          <w:sz w:val="32"/>
          <w:szCs w:val="32"/>
        </w:rPr>
        <w:t>100</w:t>
      </w:r>
      <w:r>
        <w:rPr>
          <w:rFonts w:ascii="仿宋_GB2312" w:eastAsia="仿宋_GB2312" w:hAnsi="仿宋_GB2312" w:cs="仿宋_GB2312" w:hint="eastAsia"/>
          <w:kern w:val="0"/>
          <w:sz w:val="32"/>
          <w:szCs w:val="32"/>
        </w:rPr>
        <w:t>周年”“我为群众办实事”、政法队伍教育整顿等重点任务，立足公安主业，持续加大外宣力度。</w:t>
      </w:r>
      <w:r>
        <w:rPr>
          <w:rFonts w:ascii="仿宋_GB2312" w:eastAsia="仿宋_GB2312" w:hAnsi="仿宋_GB2312" w:cs="仿宋_GB2312" w:hint="eastAsia"/>
          <w:sz w:val="32"/>
          <w:szCs w:val="32"/>
        </w:rPr>
        <w:t>2021</w:t>
      </w:r>
      <w:r>
        <w:rPr>
          <w:rFonts w:ascii="仿宋_GB2312" w:eastAsia="仿宋_GB2312" w:hAnsi="仿宋_GB2312" w:cs="仿宋_GB2312" w:hint="eastAsia"/>
          <w:kern w:val="0"/>
          <w:sz w:val="32"/>
          <w:szCs w:val="32"/>
        </w:rPr>
        <w:t>年，推送中央媒体报</w:t>
      </w:r>
      <w:r>
        <w:rPr>
          <w:rFonts w:ascii="仿宋_GB2312" w:eastAsia="仿宋_GB2312" w:hAnsi="仿宋_GB2312" w:cs="仿宋_GB2312" w:hint="eastAsia"/>
          <w:sz w:val="32"/>
          <w:szCs w:val="32"/>
        </w:rPr>
        <w:t>道62篇、省级报道185篇、市级报道261</w:t>
      </w:r>
      <w:r>
        <w:rPr>
          <w:rFonts w:ascii="仿宋_GB2312" w:eastAsia="仿宋_GB2312" w:hAnsi="仿宋_GB2312" w:cs="仿宋_GB2312" w:hint="eastAsia"/>
          <w:kern w:val="0"/>
          <w:sz w:val="32"/>
          <w:szCs w:val="32"/>
        </w:rPr>
        <w:t>篇，广泛传播弘扬了主旋律、正能量，有效树立了公安队伍良好气象风貌。</w:t>
      </w:r>
      <w:r>
        <w:rPr>
          <w:rFonts w:ascii="仿宋_GB2312" w:eastAsia="仿宋_GB2312" w:hAnsi="仿宋_GB2312" w:cs="仿宋_GB2312" w:hint="eastAsia"/>
          <w:b/>
          <w:bCs/>
          <w:sz w:val="32"/>
          <w:szCs w:val="32"/>
        </w:rPr>
        <w:t>二是持续深化党组织建设。</w:t>
      </w:r>
      <w:r>
        <w:rPr>
          <w:rFonts w:ascii="仿宋_GB2312" w:eastAsia="仿宋_GB2312" w:hAnsi="仿宋_GB2312" w:cs="仿宋_GB2312" w:hint="eastAsia"/>
          <w:sz w:val="32"/>
          <w:szCs w:val="32"/>
        </w:rPr>
        <w:t>把党建工作同业务工作紧密结合，以党员发展工作和党风廉政建设为抓手，不断增强党建引领统揽力。在落实全年“责任清单”的基础上，结合业务工作，每月分级制定“责任清单”，并严格督导各支部按照清单任务推进各项工作落实。结合党组织建设，进一步壮大了各支部配员，2021年，共发展党员25个，按期转正11个，发展入党积极分子19个，选树优秀共产党员30个，优秀党务工作者6人。</w:t>
      </w:r>
    </w:p>
    <w:p w:rsidR="00B41DEA" w:rsidRDefault="001E125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（二）做强队伍提效能。充分把握政法队伍教育整顿有利契机，坚持严管、提效、厚爱三者结合，实现了队伍纪律作风进一步好转、素质能力进一步提升、暖警保障进一步落实。</w:t>
      </w:r>
      <w:r>
        <w:rPr>
          <w:rFonts w:ascii="仿宋_GB2312" w:eastAsia="仿宋_GB2312" w:hAnsi="仿宋_GB2312" w:cs="仿宋_GB2312" w:hint="eastAsia"/>
          <w:b/>
          <w:sz w:val="32"/>
          <w:szCs w:val="32"/>
        </w:rPr>
        <w:t>一是铁腕治警严明纪律</w:t>
      </w:r>
      <w:r>
        <w:rPr>
          <w:rFonts w:ascii="仿宋_GB2312" w:eastAsia="仿宋_GB2312" w:hAnsi="仿宋_GB2312" w:cs="仿宋_GB2312" w:hint="eastAsia"/>
          <w:sz w:val="32"/>
          <w:szCs w:val="32"/>
        </w:rPr>
        <w:t>，锚定政法队伍教育整顿“纪律作风进一步好转”目标，全面深化队伍纪律作风建设，从严整饬顽瘴痼疾，集中开展3轮“自查从宽、被查从严”谈心谈话，开展违反防止干预司法“三个规定”宣讲20场，全</w:t>
      </w:r>
      <w:r>
        <w:rPr>
          <w:rFonts w:ascii="仿宋_GB2312" w:eastAsia="仿宋_GB2312" w:hAnsi="仿宋_GB2312" w:cs="仿宋_GB2312" w:hint="eastAsia"/>
          <w:sz w:val="32"/>
          <w:szCs w:val="32"/>
        </w:rPr>
        <w:lastRenderedPageBreak/>
        <w:t>覆盖组织民警开展5轮个人自查表填报，涉及“六大顽瘴痼疾”类问题已全部整改销号，切实在全局范围内营造了违规必究、严正守纪警示效应。</w:t>
      </w:r>
      <w:r>
        <w:rPr>
          <w:rFonts w:ascii="仿宋_GB2312" w:eastAsia="仿宋_GB2312" w:hAnsi="仿宋_GB2312" w:cs="仿宋_GB2312" w:hint="eastAsia"/>
          <w:b/>
          <w:bCs/>
          <w:sz w:val="32"/>
          <w:szCs w:val="32"/>
        </w:rPr>
        <w:t>二是实战练兵提质强警</w:t>
      </w:r>
      <w:r>
        <w:rPr>
          <w:rFonts w:ascii="仿宋_GB2312" w:eastAsia="仿宋_GB2312" w:hAnsi="仿宋_GB2312" w:cs="仿宋_GB2312" w:hint="eastAsia"/>
          <w:bCs/>
          <w:sz w:val="32"/>
          <w:szCs w:val="32"/>
        </w:rPr>
        <w:t>，进一步突出警务实战需求导向，着力推进执法规范化、法律知识大讲堂、舆情引导员、大数据分析师、警务战术技能等系统培训，</w:t>
      </w:r>
      <w:r>
        <w:rPr>
          <w:rFonts w:ascii="仿宋_GB2312" w:eastAsia="仿宋_GB2312" w:hAnsi="仿宋_GB2312" w:cs="仿宋_GB2312" w:hint="eastAsia"/>
          <w:sz w:val="32"/>
          <w:szCs w:val="32"/>
        </w:rPr>
        <w:t>在“全市经侦部门实战比武”、“全市公安机关文秘比武”“全市保密知识竞赛”全市第六届“百万岗人”职工职业技能大赛暨全市刑事技术技能大赛等各项比武活动中名列前茅。同时，2021年，全局共培训培训舆情引导员42人，警务大数据分析师15人，1名省厅战术技能教</w:t>
      </w:r>
      <w:r>
        <w:rPr>
          <w:rFonts w:ascii="仿宋_GB2312" w:eastAsia="仿宋_GB2312" w:hAnsi="仿宋_GB2312" w:cs="仿宋_GB2312" w:hint="eastAsia"/>
          <w:bCs/>
          <w:sz w:val="32"/>
          <w:szCs w:val="32"/>
        </w:rPr>
        <w:t>官。</w:t>
      </w:r>
      <w:r>
        <w:rPr>
          <w:rFonts w:ascii="仿宋_GB2312" w:eastAsia="仿宋_GB2312" w:hAnsi="仿宋_GB2312" w:cs="仿宋_GB2312" w:hint="eastAsia"/>
          <w:b/>
          <w:bCs/>
          <w:sz w:val="32"/>
          <w:szCs w:val="32"/>
        </w:rPr>
        <w:t>三是从优待警激发活力</w:t>
      </w:r>
      <w:r>
        <w:rPr>
          <w:rFonts w:ascii="仿宋_GB2312" w:eastAsia="仿宋_GB2312" w:hAnsi="仿宋_GB2312" w:cs="仿宋_GB2312" w:hint="eastAsia"/>
          <w:sz w:val="32"/>
          <w:szCs w:val="32"/>
        </w:rPr>
        <w:t>。着眼警需、警盼，落实先进典型选树、系列表彰奖励、生病民辅警慰问等措施，充分凝聚全局警心、汇聚队伍凝聚力，增强民辅警幸福感、获得感和归属感。2021年，慰问民辅警68人，嘉奖民辅警98人。分局获集体一等奖5个、先进基层党组织6个，获上级表彰集体三等功2个、部省级先进单位4个，民警荣获一等功1人、三等功36人、国家级先进个人1人、省部级先进个人7人。表彰优秀辅警6人。同时，组织开展了系列心理讲座、育儿讲座，丰富警营文化的同时，进一步掌握并调节了民辅警心理健康状态。</w:t>
      </w:r>
    </w:p>
    <w:p w:rsidR="00B41DEA" w:rsidRDefault="001E1251">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（三）扭紧主业护大局。</w:t>
      </w:r>
    </w:p>
    <w:p w:rsidR="00B41DEA" w:rsidRDefault="001E1251">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1.全力捍卫政治安全</w:t>
      </w:r>
      <w:r>
        <w:rPr>
          <w:rFonts w:ascii="仿宋_GB2312" w:eastAsia="仿宋_GB2312" w:hAnsi="仿宋_GB2312" w:cs="仿宋_GB2312" w:hint="eastAsia"/>
          <w:sz w:val="32"/>
          <w:szCs w:val="32"/>
        </w:rPr>
        <w:t>。严密守好“政治领域”第一安全关，聚焦织细织密“线上数据信息+线下人力网格”双情报</w:t>
      </w:r>
      <w:r>
        <w:rPr>
          <w:rFonts w:ascii="仿宋_GB2312" w:eastAsia="仿宋_GB2312" w:hAnsi="仿宋_GB2312" w:cs="仿宋_GB2312" w:hint="eastAsia"/>
          <w:sz w:val="32"/>
          <w:szCs w:val="32"/>
        </w:rPr>
        <w:lastRenderedPageBreak/>
        <w:t>体系，持续强化情报力量建设，建成了全国公安政保战略支撑点，收集上报各类苗头性、倾向性、内幕性情报信息800余条，其中部采167条、省采232条。综合采取“打、防、控”三手段，全力捍卫国家政治安全，在省厅部署的系列专项行动和反邪防渗透、涉疆关注人员侦控方面，主动进攻成效显著，2021年，侦控部督专案2件、省督专案8件，办理0315、0509、0819-1系列部督专案3件；核查线索9条，夯实了全区政治安全根基，有效策应了国家政治安全大局。</w:t>
      </w:r>
    </w:p>
    <w:p w:rsidR="00B41DEA" w:rsidRDefault="001E1251">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2.全力维护社会安定</w:t>
      </w:r>
      <w:r>
        <w:rPr>
          <w:rFonts w:ascii="仿宋_GB2312" w:eastAsia="仿宋_GB2312" w:hAnsi="仿宋_GB2312" w:cs="仿宋_GB2312" w:hint="eastAsia"/>
          <w:sz w:val="32"/>
          <w:szCs w:val="32"/>
        </w:rPr>
        <w:t>。紧扣“庆祝建党100周年，创造安全稳定社会环境”主题，以“平安东区、生态东区、良序东区”建设为引领，实现了主城区经济社会环境持续稳定。</w:t>
      </w:r>
      <w:r>
        <w:rPr>
          <w:rFonts w:ascii="仿宋_GB2312" w:eastAsia="仿宋_GB2312" w:hAnsi="仿宋_GB2312" w:cs="仿宋_GB2312" w:hint="eastAsia"/>
          <w:b/>
          <w:sz w:val="32"/>
          <w:szCs w:val="32"/>
        </w:rPr>
        <w:t>一是“平安东区”创建优</w:t>
      </w:r>
      <w:r>
        <w:rPr>
          <w:rFonts w:ascii="仿宋_GB2312" w:eastAsia="仿宋_GB2312" w:hAnsi="仿宋_GB2312" w:cs="仿宋_GB2312" w:hint="eastAsia"/>
          <w:sz w:val="32"/>
          <w:szCs w:val="32"/>
        </w:rPr>
        <w:t>。统筹安全和稳定两件大事，突出“盯牢人、清隐患、控大局”三导向，依托“情指勤舆”一体化建设，紧盯全年各重要节点、政治任务，系统谋划、提前部署，全年实现了50人以上群体性事件、个人极端暴力事件、公共安全事故、疫情输入反弹事件四个零发生，共核查稳控重点人员1700人次，检查整改各类安全隐患270处，圆满完成了全省巩固拓展脱贫攻坚成果同乡村振兴有效衔接视频会、第五届中国康养产业发展论坛、中高考、市第十一次党代会及各重要节假日等安保维稳任务110次，打赢了庆祝建党100周年安保维稳决战，为市域“阳光康养</w:t>
      </w:r>
      <w:r>
        <w:rPr>
          <w:rFonts w:ascii="仿宋_GB2312" w:eastAsia="仿宋_GB2312" w:hAnsi="仿宋_GB2312" w:cs="仿宋_GB2312" w:hint="eastAsia"/>
          <w:sz w:val="32"/>
          <w:szCs w:val="32"/>
          <w:shd w:val="clear" w:color="auto" w:fill="FFFFFF"/>
        </w:rPr>
        <w:t>攀枝花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发展规划、区委“建设现代化区域中心城区”提供了安全稳定发展环境。</w:t>
      </w:r>
      <w:r>
        <w:rPr>
          <w:rFonts w:ascii="仿宋_GB2312" w:eastAsia="仿宋_GB2312" w:hAnsi="仿宋_GB2312" w:cs="仿宋_GB2312" w:hint="eastAsia"/>
          <w:b/>
          <w:sz w:val="32"/>
          <w:szCs w:val="32"/>
          <w:shd w:val="clear" w:color="auto" w:fill="FFFFFF"/>
        </w:rPr>
        <w:t>二是“生态东区”建设优</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深度领会融合习近平法治思想和习近平生态文明思想，立足公安职能，依法严</w:t>
      </w:r>
      <w:r>
        <w:rPr>
          <w:rFonts w:ascii="仿宋_GB2312" w:eastAsia="仿宋_GB2312" w:hAnsi="仿宋_GB2312" w:cs="仿宋_GB2312" w:hint="eastAsia"/>
          <w:sz w:val="32"/>
          <w:szCs w:val="32"/>
        </w:rPr>
        <w:lastRenderedPageBreak/>
        <w:t>打环境污染及野生动物违法犯罪，斩断3条由重庆、云南、河南辐射我省的违法运输、销售野生动物的黑色产业链，收缴活体国家二级保护动物35只，破获“7.23”环境污染案和“7.16”破坏环境案，有力维护了辖区生态环境、生物多样性安</w:t>
      </w:r>
      <w:r>
        <w:rPr>
          <w:rFonts w:ascii="仿宋_GB2312" w:eastAsia="仿宋_GB2312" w:hAnsi="仿宋_GB2312" w:cs="仿宋_GB2312" w:hint="eastAsia"/>
          <w:sz w:val="32"/>
          <w:szCs w:val="32"/>
          <w:shd w:val="clear" w:color="auto" w:fill="FFFFFF"/>
        </w:rPr>
        <w:t>全。</w:t>
      </w:r>
      <w:r>
        <w:rPr>
          <w:rFonts w:ascii="仿宋_GB2312" w:eastAsia="仿宋_GB2312" w:hAnsi="仿宋_GB2312" w:cs="仿宋_GB2312" w:hint="eastAsia"/>
          <w:sz w:val="32"/>
          <w:szCs w:val="32"/>
        </w:rPr>
        <w:t>聚焦“水、火”双重点领域，广</w:t>
      </w:r>
      <w:r>
        <w:rPr>
          <w:rFonts w:ascii="仿宋_GB2312" w:eastAsia="仿宋_GB2312" w:hAnsi="仿宋_GB2312" w:cs="仿宋_GB2312" w:hint="eastAsia"/>
          <w:sz w:val="32"/>
          <w:szCs w:val="32"/>
          <w:shd w:val="clear" w:color="auto" w:fill="FFFFFF"/>
        </w:rPr>
        <w:t>泛对接</w:t>
      </w:r>
      <w:r>
        <w:rPr>
          <w:rFonts w:ascii="仿宋_GB2312" w:eastAsia="仿宋_GB2312" w:hAnsi="仿宋_GB2312" w:cs="仿宋_GB2312" w:hint="eastAsia"/>
          <w:sz w:val="32"/>
          <w:szCs w:val="32"/>
        </w:rPr>
        <w:t>区农水局、环保局、街办（乡镇）等部门，进一步</w:t>
      </w:r>
      <w:r>
        <w:rPr>
          <w:rFonts w:ascii="仿宋_GB2312" w:eastAsia="仿宋_GB2312" w:hAnsi="仿宋_GB2312" w:cs="仿宋_GB2312" w:hint="eastAsia"/>
          <w:sz w:val="32"/>
          <w:szCs w:val="32"/>
          <w:shd w:val="clear" w:color="auto" w:fill="FFFFFF"/>
        </w:rPr>
        <w:t>打破部门管理和地域界限，</w:t>
      </w:r>
      <w:r>
        <w:rPr>
          <w:rFonts w:ascii="仿宋_GB2312" w:eastAsia="仿宋_GB2312" w:hAnsi="仿宋_GB2312" w:cs="仿宋_GB2312" w:hint="eastAsia"/>
          <w:sz w:val="32"/>
          <w:szCs w:val="32"/>
        </w:rPr>
        <w:t>合力推进“长江上游禁渔禁捕、森林草原防灭火”工作，</w:t>
      </w:r>
      <w:r>
        <w:rPr>
          <w:rFonts w:ascii="仿宋_GB2312" w:eastAsia="仿宋_GB2312" w:hAnsi="仿宋_GB2312" w:cs="仿宋_GB2312" w:hint="eastAsia"/>
          <w:sz w:val="32"/>
          <w:szCs w:val="32"/>
          <w:shd w:val="clear" w:color="auto" w:fill="FFFFFF"/>
        </w:rPr>
        <w:t>全年未发生森林火灾火情，长江上游生态环境持续改善。</w:t>
      </w:r>
      <w:r>
        <w:rPr>
          <w:rFonts w:ascii="仿宋_GB2312" w:eastAsia="仿宋_GB2312" w:hAnsi="仿宋_GB2312" w:cs="仿宋_GB2312" w:hint="eastAsia"/>
          <w:b/>
          <w:sz w:val="32"/>
          <w:szCs w:val="32"/>
          <w:shd w:val="clear" w:color="auto" w:fill="FFFFFF"/>
        </w:rPr>
        <w:t>三是“良序东区”护航优</w:t>
      </w:r>
      <w:r>
        <w:rPr>
          <w:rFonts w:ascii="仿宋_GB2312" w:eastAsia="仿宋_GB2312" w:hAnsi="仿宋_GB2312" w:cs="仿宋_GB2312" w:hint="eastAsia"/>
          <w:sz w:val="32"/>
          <w:szCs w:val="32"/>
          <w:shd w:val="clear" w:color="auto" w:fill="FFFFFF"/>
        </w:rPr>
        <w:t>，聚焦护航辖区经济社会发展大局，以严打各类经济违法犯罪为抓手，助力推动经济持续健康发展，侦破东区首例“串通投标案”以及全市首例“假冒注册商标”</w:t>
      </w:r>
      <w:r>
        <w:rPr>
          <w:rFonts w:ascii="仿宋_GB2312" w:eastAsia="仿宋_GB2312" w:hAnsi="仿宋_GB2312" w:cs="仿宋_GB2312" w:hint="eastAsia"/>
          <w:sz w:val="32"/>
          <w:szCs w:val="32"/>
        </w:rPr>
        <w:t>知识产权案，有力维护了企业合法权益和市场公平竞争良性秩序，辖区经商营商环境持续优化。着眼服务企业高质量发展，进一步深化警企共建，系牢警企安全合作纽带，为企业开展各类技能培训70余场，排查并整改企业安全隐患49处，有力筑牢了企业安全生产红线。</w:t>
      </w:r>
    </w:p>
    <w:p w:rsidR="00B41DEA" w:rsidRDefault="001E1251">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3.全力保障人民安宁</w:t>
      </w:r>
      <w:r>
        <w:rPr>
          <w:rFonts w:ascii="仿宋_GB2312" w:eastAsia="仿宋_GB2312" w:hAnsi="仿宋_GB2312" w:cs="仿宋_GB2312" w:hint="eastAsia"/>
          <w:sz w:val="32"/>
          <w:szCs w:val="32"/>
        </w:rPr>
        <w:t>。坚持“人民至上”理念，以深化“违法犯罪打击、基层社会治理”作为践行“全心全意为人民服务”宗旨的实际举措，倾力提升人民群众安全感、幸福感。</w:t>
      </w:r>
      <w:r>
        <w:rPr>
          <w:rFonts w:ascii="仿宋_GB2312" w:eastAsia="仿宋_GB2312" w:hAnsi="仿宋_GB2312" w:cs="仿宋_GB2312" w:hint="eastAsia"/>
          <w:b/>
          <w:sz w:val="32"/>
          <w:szCs w:val="32"/>
        </w:rPr>
        <w:t>一是重拳严打违法犯罪</w:t>
      </w:r>
      <w:r>
        <w:rPr>
          <w:rFonts w:ascii="仿宋_GB2312" w:eastAsia="仿宋_GB2312" w:hAnsi="仿宋_GB2312" w:cs="仿宋_GB2312" w:hint="eastAsia"/>
          <w:sz w:val="32"/>
          <w:szCs w:val="32"/>
        </w:rPr>
        <w:t>。2021年，破获各类刑事案件442起，同比上升97%，侦破了涉案1.3亿的“3.16”帮助信息网络犯罪活动案、“3.12”非法控制计算机信息系统案、全市首例非法处置查封扣押财产案等一批大案要案，侦办的“牟金全盗窃案”成为全国西南地区唯一入选的“全国15</w:t>
      </w:r>
      <w:r>
        <w:rPr>
          <w:rFonts w:ascii="仿宋_GB2312" w:eastAsia="仿宋_GB2312" w:hAnsi="仿宋_GB2312" w:cs="仿宋_GB2312" w:hint="eastAsia"/>
          <w:sz w:val="32"/>
          <w:szCs w:val="32"/>
        </w:rPr>
        <w:lastRenderedPageBreak/>
        <w:t>起打击传统盗抢犯罪优秀案例”，同时，电诈警情自4月迎来拐点，呈持续下降趋势。</w:t>
      </w:r>
      <w:r>
        <w:rPr>
          <w:rFonts w:ascii="仿宋_GB2312" w:eastAsia="仿宋_GB2312" w:hAnsi="仿宋_GB2312" w:cs="仿宋_GB2312" w:hint="eastAsia"/>
          <w:b/>
          <w:sz w:val="32"/>
          <w:szCs w:val="32"/>
        </w:rPr>
        <w:t>二是持续深化基层治理</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勇担主城区分局主责职能，高质量完成了中央环督信访件办理，扫清了创文工作前期血脉堵点，辖区噪音扰民问题得到有效整治，群众生活质量进一步提高。</w:t>
      </w:r>
      <w:r>
        <w:rPr>
          <w:rFonts w:ascii="仿宋_GB2312" w:eastAsia="仿宋_GB2312" w:hAnsi="仿宋_GB2312" w:cs="仿宋_GB2312" w:hint="eastAsia"/>
          <w:sz w:val="32"/>
          <w:szCs w:val="32"/>
        </w:rPr>
        <w:t>严格落实区委区政府指示要求，深化推进辖区“不文明养犬专项整治”工作，依法处置各类不文明养犬行为300余次，配合街办、社区整治各类流浪犬只30余只，办理各类犬证300余张，集中开展规范文明养犬宣传活动二十余次，发放文明养犬宣传资料3000余份，城市市容市貌、居民生活环境得到极大改善。</w:t>
      </w:r>
    </w:p>
    <w:p w:rsidR="00B41DEA" w:rsidRDefault="001E1251">
      <w:pPr>
        <w:adjustRightInd w:val="0"/>
        <w:snapToGrid w:val="0"/>
        <w:spacing w:line="560" w:lineRule="exact"/>
        <w:ind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（四）深化改革促发展。把握公安工作现代化和信息化发展新趋势，以改革促发展、向科技要警力，深度挖掘开发“改革强警、科技兴警”原生动力，2021年实现了系列重点改革、警务科技建设双丰收。</w:t>
      </w:r>
      <w:r>
        <w:rPr>
          <w:rFonts w:ascii="仿宋_GB2312" w:eastAsia="仿宋_GB2312" w:hAnsi="仿宋_GB2312" w:cs="仿宋_GB2312" w:hint="eastAsia"/>
          <w:b/>
          <w:sz w:val="32"/>
          <w:szCs w:val="32"/>
        </w:rPr>
        <w:t>一是重点改革成效显著</w:t>
      </w:r>
      <w:r>
        <w:rPr>
          <w:rFonts w:ascii="仿宋_GB2312" w:eastAsia="仿宋_GB2312" w:hAnsi="仿宋_GB2312" w:cs="仿宋_GB2312" w:hint="eastAsia"/>
          <w:sz w:val="32"/>
          <w:szCs w:val="32"/>
        </w:rPr>
        <w:t>，“情指勤舆”一体化实战化试点改革工作全面提速，投入150余万元，完成各类硬件配设，成功搭建集“情报收集研判、实战指挥调度”双职能为一体的“情指中心”，培训并组建了辅警视频侦查专班与舆情导控专班，设置三大城区快反点，并增购20辆机动摩托车、10辆红旗越野车用于增强城区快反能力，“135”快反机制进一步落实，警情处置首批警力平均到达时间缩短50%。将图像围栏、“狼烟”系统、“云控”模块等科技手段运用于实战，协助抓获现行案件犯罪嫌疑人13名、在逃人员10名，</w:t>
      </w:r>
      <w:r>
        <w:rPr>
          <w:rFonts w:ascii="仿宋_GB2312" w:eastAsia="仿宋_GB2312" w:hAnsi="仿宋_GB2312" w:cs="仿宋_GB2312" w:hint="eastAsia"/>
          <w:sz w:val="32"/>
          <w:szCs w:val="32"/>
          <w:shd w:val="clear" w:color="auto" w:fill="FFFFFF"/>
        </w:rPr>
        <w:t>抓获一名20年命案逃犯。妥善处置十余起敏感案事件，</w:t>
      </w:r>
      <w:r>
        <w:rPr>
          <w:rFonts w:ascii="仿宋_GB2312" w:eastAsia="仿宋_GB2312" w:hAnsi="仿宋_GB2312" w:cs="仿宋_GB2312" w:hint="eastAsia"/>
          <w:sz w:val="32"/>
          <w:szCs w:val="32"/>
        </w:rPr>
        <w:t>救助走失、轻生人员31人，</w:t>
      </w:r>
      <w:r>
        <w:rPr>
          <w:rFonts w:ascii="仿宋_GB2312" w:eastAsia="仿宋_GB2312" w:hAnsi="仿宋_GB2312" w:cs="仿宋_GB2312" w:hint="eastAsia"/>
          <w:sz w:val="32"/>
          <w:szCs w:val="32"/>
          <w:shd w:val="clear" w:color="auto" w:fill="FFFFFF"/>
        </w:rPr>
        <w:t>接</w:t>
      </w:r>
      <w:r>
        <w:rPr>
          <w:rFonts w:ascii="仿宋_GB2312" w:eastAsia="仿宋_GB2312" w:hAnsi="仿宋_GB2312" w:cs="仿宋_GB2312" w:hint="eastAsia"/>
          <w:sz w:val="32"/>
          <w:szCs w:val="32"/>
          <w:shd w:val="clear" w:color="auto" w:fill="FFFFFF"/>
        </w:rPr>
        <w:lastRenderedPageBreak/>
        <w:t>处警群众满意度持续提升。</w:t>
      </w:r>
      <w:r w:rsidR="00AA7C98">
        <w:rPr>
          <w:rFonts w:ascii="仿宋_GB2312" w:eastAsia="仿宋_GB2312" w:hAnsi="仿宋_GB2312" w:cs="仿宋_GB2312"/>
          <w:sz w:val="32"/>
          <w:szCs w:val="32"/>
          <w:shd w:val="clear" w:color="auto" w:fill="FFFFFF"/>
        </w:rPr>
        <w:t>“</w:t>
      </w:r>
      <w:r w:rsidR="00AA7C98">
        <w:rPr>
          <w:rFonts w:ascii="仿宋_GB2312" w:eastAsia="仿宋_GB2312" w:hAnsi="仿宋_GB2312" w:cs="仿宋_GB2312" w:hint="eastAsia"/>
          <w:sz w:val="32"/>
          <w:szCs w:val="32"/>
          <w:shd w:val="clear" w:color="auto" w:fill="FFFFFF"/>
        </w:rPr>
        <w:t>放管服</w:t>
      </w:r>
      <w:r w:rsidR="00AA7C98">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改革稳步推进，制定出台了《攀枝花市公安局东区分局便民利民十条措施》，实现边境通行证办理权限下放至派出所、户籍迁移全流程网上办理、特种行业办理材料容缺受理等便民利民措施全部落地；严格落实省、市、区关于“一网通办”系列工作部署，</w:t>
      </w:r>
      <w:r>
        <w:rPr>
          <w:rFonts w:ascii="仿宋_GB2312" w:eastAsia="仿宋_GB2312" w:hAnsi="仿宋_GB2312" w:cs="仿宋_GB2312" w:hint="eastAsia"/>
          <w:sz w:val="32"/>
          <w:szCs w:val="32"/>
        </w:rPr>
        <w:t>按照“互联网＋政务服务和应接尽接原则”</w:t>
      </w:r>
      <w:r>
        <w:rPr>
          <w:rFonts w:ascii="仿宋_GB2312" w:eastAsia="仿宋_GB2312" w:hAnsi="仿宋_GB2312" w:cs="仿宋_GB2312" w:hint="eastAsia"/>
          <w:sz w:val="32"/>
          <w:szCs w:val="32"/>
          <w:shd w:val="clear" w:color="auto" w:fill="FFFFFF"/>
        </w:rPr>
        <w:t>，实现</w:t>
      </w:r>
      <w:r>
        <w:rPr>
          <w:rFonts w:ascii="仿宋_GB2312" w:eastAsia="仿宋_GB2312" w:hAnsi="仿宋_GB2312" w:cs="仿宋_GB2312" w:hint="eastAsia"/>
          <w:sz w:val="32"/>
          <w:szCs w:val="32"/>
        </w:rPr>
        <w:t>37项</w:t>
      </w:r>
      <w:r>
        <w:rPr>
          <w:rFonts w:ascii="仿宋_GB2312" w:eastAsia="仿宋_GB2312" w:hAnsi="仿宋_GB2312" w:cs="仿宋_GB2312" w:hint="eastAsia"/>
          <w:sz w:val="32"/>
          <w:szCs w:val="32"/>
          <w:shd w:val="clear" w:color="auto" w:fill="FFFFFF"/>
        </w:rPr>
        <w:t>公安政务服务线上办理端口全部接入“</w:t>
      </w:r>
      <w:r>
        <w:rPr>
          <w:rFonts w:ascii="仿宋_GB2312" w:eastAsia="仿宋_GB2312" w:hAnsi="仿宋_GB2312" w:cs="仿宋_GB2312" w:hint="eastAsia"/>
          <w:sz w:val="32"/>
          <w:szCs w:val="32"/>
        </w:rPr>
        <w:t>四川省政务服务网</w:t>
      </w:r>
      <w:r>
        <w:rPr>
          <w:rFonts w:ascii="仿宋_GB2312" w:eastAsia="仿宋_GB2312" w:hAnsi="仿宋_GB2312" w:cs="仿宋_GB2312" w:hint="eastAsia"/>
          <w:sz w:val="32"/>
          <w:szCs w:val="32"/>
          <w:shd w:val="clear" w:color="auto" w:fill="FFFFFF"/>
        </w:rPr>
        <w:t>”，群众业务办理质效、速率进一步提高。</w:t>
      </w:r>
      <w:r>
        <w:rPr>
          <w:rFonts w:ascii="仿宋_GB2312" w:eastAsia="仿宋_GB2312" w:hAnsi="仿宋_GB2312" w:cs="仿宋_GB2312" w:hint="eastAsia"/>
          <w:b/>
          <w:sz w:val="32"/>
          <w:szCs w:val="32"/>
          <w:shd w:val="clear" w:color="auto" w:fill="FFFFFF"/>
        </w:rPr>
        <w:t>二是科技建设亮点突出</w:t>
      </w:r>
      <w:r>
        <w:rPr>
          <w:rFonts w:ascii="仿宋_GB2312" w:eastAsia="仿宋_GB2312" w:hAnsi="仿宋_GB2312" w:cs="仿宋_GB2312" w:hint="eastAsia"/>
          <w:sz w:val="32"/>
          <w:szCs w:val="32"/>
          <w:shd w:val="clear" w:color="auto" w:fill="FFFFFF"/>
        </w:rPr>
        <w:t>，以实战需求为导向，纵深推进公安信息化、专业化建设，进一步强大公安科技树支撑、信息化运用和硬件技术配置，</w:t>
      </w:r>
      <w:r>
        <w:rPr>
          <w:rFonts w:ascii="仿宋_GB2312" w:eastAsia="仿宋_GB2312" w:hAnsi="仿宋_GB2312" w:cs="仿宋_GB2312" w:hint="eastAsia"/>
          <w:sz w:val="32"/>
          <w:szCs w:val="32"/>
        </w:rPr>
        <w:t>建成了一级刑事科学技术室，</w:t>
      </w:r>
      <w:r>
        <w:rPr>
          <w:rFonts w:ascii="仿宋_GB2312" w:eastAsia="仿宋_GB2312" w:hAnsi="仿宋_GB2312" w:cs="仿宋_GB2312" w:hint="eastAsia"/>
          <w:sz w:val="32"/>
          <w:szCs w:val="32"/>
          <w:shd w:val="clear" w:color="auto" w:fill="FFFFFF"/>
        </w:rPr>
        <w:t>建</w:t>
      </w:r>
      <w:r>
        <w:rPr>
          <w:rFonts w:ascii="仿宋_GB2312" w:eastAsia="仿宋_GB2312" w:hAnsi="仿宋_GB2312" w:cs="仿宋_GB2312" w:hint="eastAsia"/>
          <w:sz w:val="32"/>
          <w:szCs w:val="32"/>
        </w:rPr>
        <w:t>成的全市唯一、全省领先“三级网安实验室”，已于8月通过公安部验收，建成“智慧平安小区”73个，覆盖实有人口8.3万余人。</w:t>
      </w:r>
    </w:p>
    <w:p w:rsidR="00B41DEA" w:rsidRDefault="001E1251">
      <w:pPr>
        <w:pStyle w:val="2"/>
        <w:ind w:firstLineChars="200" w:firstLine="640"/>
        <w:rPr>
          <w:rFonts w:ascii="黑体" w:eastAsia="黑体" w:hAnsi="黑体"/>
          <w:b w:val="0"/>
        </w:rPr>
      </w:pPr>
      <w:r>
        <w:rPr>
          <w:rFonts w:ascii="黑体" w:eastAsia="黑体" w:hAnsi="黑体" w:hint="eastAsia"/>
          <w:b w:val="0"/>
        </w:rPr>
        <w:t>三、机构设置情况</w:t>
      </w:r>
    </w:p>
    <w:p w:rsidR="00B41DEA" w:rsidRDefault="001E125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攀枝花市公安局东区分局属于攀枝花市公安局部门下属的二级预算单位，下设独立编制机构1个，其中行政机构1个，参照公务员法管理的事业机构0个，其他事业机构0个。纳入2021年度单位决算编制范围的独立编制机构：无。</w:t>
      </w:r>
    </w:p>
    <w:p w:rsidR="00B41DEA" w:rsidRDefault="00B41DEA"/>
    <w:p w:rsidR="00B41DEA" w:rsidRDefault="001E1251">
      <w:pPr>
        <w:widowControl/>
        <w:jc w:val="left"/>
        <w:rPr>
          <w:rFonts w:ascii="仿宋" w:eastAsia="仿宋" w:hAnsi="仿宋"/>
          <w:kern w:val="0"/>
          <w:sz w:val="32"/>
          <w:szCs w:val="32"/>
        </w:rPr>
      </w:pPr>
      <w:r>
        <w:rPr>
          <w:rFonts w:ascii="仿宋" w:eastAsia="仿宋" w:hAnsi="仿宋"/>
          <w:sz w:val="32"/>
          <w:szCs w:val="32"/>
        </w:rPr>
        <w:br w:type="page"/>
      </w:r>
    </w:p>
    <w:p w:rsidR="00B41DEA" w:rsidRPr="00A32738" w:rsidRDefault="001E1251" w:rsidP="00A32738">
      <w:pPr>
        <w:pStyle w:val="1"/>
        <w:numPr>
          <w:ilvl w:val="0"/>
          <w:numId w:val="1"/>
        </w:numPr>
        <w:spacing w:before="0" w:after="0"/>
        <w:ind w:right="440"/>
        <w:jc w:val="center"/>
        <w:rPr>
          <w:rFonts w:ascii="黑体" w:eastAsia="黑体" w:hAnsi="黑体"/>
          <w:b w:val="0"/>
        </w:rPr>
      </w:pPr>
      <w:bookmarkStart w:id="11" w:name="_Toc15377204"/>
      <w:bookmarkStart w:id="12" w:name="_Toc15396602"/>
      <w:r>
        <w:rPr>
          <w:rFonts w:ascii="黑体" w:eastAsia="黑体" w:hAnsi="黑体" w:hint="eastAsia"/>
          <w:b w:val="0"/>
        </w:rPr>
        <w:lastRenderedPageBreak/>
        <w:t>2021年度</w:t>
      </w:r>
      <w:r>
        <w:rPr>
          <w:rStyle w:val="1Char"/>
          <w:rFonts w:ascii="黑体" w:eastAsia="黑体" w:hAnsi="黑体" w:hint="eastAsia"/>
          <w:bCs/>
        </w:rPr>
        <w:t>单位决算情况说明</w:t>
      </w:r>
      <w:bookmarkEnd w:id="11"/>
      <w:bookmarkEnd w:id="12"/>
    </w:p>
    <w:p w:rsidR="00B41DEA" w:rsidRDefault="001E1251">
      <w:pPr>
        <w:spacing w:line="600" w:lineRule="exact"/>
        <w:ind w:firstLineChars="200" w:firstLine="640"/>
        <w:outlineLvl w:val="1"/>
        <w:rPr>
          <w:rFonts w:ascii="黑体" w:eastAsia="黑体" w:hAnsi="黑体"/>
          <w:sz w:val="32"/>
          <w:szCs w:val="32"/>
        </w:rPr>
      </w:pPr>
      <w:bookmarkStart w:id="13" w:name="_Toc15396603"/>
      <w:bookmarkStart w:id="14" w:name="_Toc15377205"/>
      <w:r>
        <w:rPr>
          <w:rFonts w:ascii="黑体" w:eastAsia="黑体" w:hAnsi="黑体" w:hint="eastAsia"/>
          <w:sz w:val="32"/>
          <w:szCs w:val="32"/>
        </w:rPr>
        <w:t>一、收入支出决算总体情况说明</w:t>
      </w:r>
      <w:bookmarkEnd w:id="13"/>
      <w:bookmarkEnd w:id="14"/>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2021年度收、支总计12448.19万元。与2020年相比，收、支总计各增加207.65万元，增长1.7%。主要变动原因是</w:t>
      </w:r>
      <w:r>
        <w:rPr>
          <w:rFonts w:ascii="仿宋_GB2312" w:eastAsia="仿宋_GB2312" w:hAnsi="仿宋_GB2312" w:cs="仿宋_GB2312" w:hint="eastAsia"/>
          <w:color w:val="000000"/>
          <w:sz w:val="32"/>
          <w:szCs w:val="32"/>
        </w:rPr>
        <w:t>主要变动原因是</w:t>
      </w:r>
      <w:r>
        <w:rPr>
          <w:rFonts w:ascii="仿宋_GB2312" w:eastAsia="仿宋_GB2312" w:hAnsi="仿宋_GB2312" w:cs="仿宋_GB2312" w:hint="eastAsia"/>
          <w:sz w:val="32"/>
          <w:szCs w:val="32"/>
        </w:rPr>
        <w:t>人员经费增加</w:t>
      </w:r>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（图1：收、支决算总计变动情况图）（柱状图）</w:t>
      </w:r>
    </w:p>
    <w:p w:rsidR="00B41DEA" w:rsidRDefault="001E1251">
      <w:pPr>
        <w:spacing w:line="600" w:lineRule="exact"/>
        <w:ind w:firstLineChars="200" w:firstLine="640"/>
        <w:rPr>
          <w:rFonts w:ascii="仿宋_GB2312" w:eastAsia="仿宋_GB2312"/>
          <w:sz w:val="32"/>
          <w:szCs w:val="32"/>
        </w:rPr>
      </w:pPr>
      <w:r>
        <w:rPr>
          <w:rFonts w:ascii="仿宋_GB2312" w:eastAsia="仿宋_GB2312"/>
          <w:noProof/>
          <w:color w:val="000000"/>
          <w:sz w:val="32"/>
          <w:szCs w:val="32"/>
        </w:rPr>
        <w:drawing>
          <wp:anchor distT="0" distB="0" distL="114300" distR="114300" simplePos="0" relativeHeight="251659264" behindDoc="0" locked="0" layoutInCell="1" allowOverlap="1">
            <wp:simplePos x="0" y="0"/>
            <wp:positionH relativeFrom="column">
              <wp:posOffset>746125</wp:posOffset>
            </wp:positionH>
            <wp:positionV relativeFrom="paragraph">
              <wp:posOffset>176530</wp:posOffset>
            </wp:positionV>
            <wp:extent cx="3629025" cy="2482850"/>
            <wp:effectExtent l="0" t="0" r="8890" b="0"/>
            <wp:wrapTight wrapText="bothSides">
              <wp:wrapPolygon edited="0">
                <wp:start x="13153" y="497"/>
                <wp:lineTo x="1134" y="1160"/>
                <wp:lineTo x="907" y="2320"/>
                <wp:lineTo x="3628" y="3149"/>
                <wp:lineTo x="1020" y="4143"/>
                <wp:lineTo x="1020" y="4972"/>
                <wp:lineTo x="3628" y="5801"/>
                <wp:lineTo x="1020" y="6795"/>
                <wp:lineTo x="1020" y="7624"/>
                <wp:lineTo x="3628" y="8452"/>
                <wp:lineTo x="1020" y="9447"/>
                <wp:lineTo x="1020" y="10275"/>
                <wp:lineTo x="3628" y="11104"/>
                <wp:lineTo x="1020" y="12098"/>
                <wp:lineTo x="1020" y="12927"/>
                <wp:lineTo x="3628" y="13755"/>
                <wp:lineTo x="1020" y="14750"/>
                <wp:lineTo x="1020" y="15579"/>
                <wp:lineTo x="3628" y="16407"/>
                <wp:lineTo x="1020" y="17402"/>
                <wp:lineTo x="1020" y="18230"/>
                <wp:lineTo x="5443" y="19059"/>
                <wp:lineTo x="5443" y="19722"/>
                <wp:lineTo x="5783" y="19887"/>
                <wp:lineTo x="7597" y="20219"/>
                <wp:lineTo x="14400" y="20219"/>
                <wp:lineTo x="14740" y="19059"/>
                <wp:lineTo x="15647" y="19059"/>
                <wp:lineTo x="16781" y="17567"/>
                <wp:lineTo x="16668" y="13755"/>
                <wp:lineTo x="17802" y="13755"/>
                <wp:lineTo x="21543" y="11767"/>
                <wp:lineTo x="21543" y="7955"/>
                <wp:lineTo x="16668" y="5801"/>
                <wp:lineTo x="16781" y="1989"/>
                <wp:lineTo x="15194" y="497"/>
                <wp:lineTo x="13720" y="497"/>
                <wp:lineTo x="13153" y="497"/>
              </wp:wrapPolygon>
            </wp:wrapTight>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41DEA" w:rsidRDefault="00B41DEA">
      <w:pPr>
        <w:spacing w:line="600" w:lineRule="exact"/>
        <w:ind w:firstLineChars="200" w:firstLine="640"/>
        <w:jc w:val="left"/>
        <w:rPr>
          <w:rFonts w:ascii="仿宋_GB2312" w:eastAsia="仿宋_GB2312"/>
          <w:sz w:val="32"/>
          <w:szCs w:val="32"/>
        </w:rPr>
      </w:pPr>
    </w:p>
    <w:p w:rsidR="00B41DEA" w:rsidRDefault="00B41DEA">
      <w:pPr>
        <w:spacing w:line="600" w:lineRule="exact"/>
        <w:ind w:firstLineChars="200" w:firstLine="640"/>
        <w:jc w:val="left"/>
        <w:rPr>
          <w:rFonts w:ascii="仿宋_GB2312" w:eastAsia="仿宋_GB2312"/>
          <w:sz w:val="32"/>
          <w:szCs w:val="32"/>
        </w:rPr>
      </w:pPr>
    </w:p>
    <w:p w:rsidR="00B41DEA" w:rsidRDefault="00B41DEA">
      <w:pPr>
        <w:spacing w:line="600" w:lineRule="exact"/>
        <w:ind w:firstLineChars="200" w:firstLine="640"/>
        <w:jc w:val="left"/>
        <w:rPr>
          <w:rFonts w:ascii="仿宋_GB2312" w:eastAsia="仿宋_GB2312"/>
          <w:sz w:val="32"/>
          <w:szCs w:val="32"/>
        </w:rPr>
      </w:pPr>
    </w:p>
    <w:p w:rsidR="00B41DEA" w:rsidRDefault="00B41DEA">
      <w:pPr>
        <w:spacing w:line="600" w:lineRule="exact"/>
        <w:ind w:firstLineChars="200" w:firstLine="640"/>
        <w:jc w:val="left"/>
        <w:rPr>
          <w:rFonts w:ascii="仿宋_GB2312" w:eastAsia="仿宋_GB2312"/>
          <w:sz w:val="32"/>
          <w:szCs w:val="32"/>
        </w:rPr>
      </w:pPr>
    </w:p>
    <w:p w:rsidR="00B41DEA" w:rsidRDefault="00B41DEA">
      <w:pPr>
        <w:pStyle w:val="a9"/>
        <w:spacing w:line="600" w:lineRule="exact"/>
        <w:ind w:firstLineChars="0" w:firstLine="0"/>
        <w:outlineLvl w:val="1"/>
        <w:rPr>
          <w:rStyle w:val="2Char"/>
          <w:rFonts w:ascii="黑体" w:eastAsia="黑体" w:hAnsi="黑体"/>
          <w:b w:val="0"/>
        </w:rPr>
      </w:pPr>
      <w:bookmarkStart w:id="15" w:name="_Toc15377206"/>
      <w:bookmarkStart w:id="16" w:name="_Toc15396604"/>
    </w:p>
    <w:p w:rsidR="00B41DEA" w:rsidRDefault="00B41DEA">
      <w:pPr>
        <w:pStyle w:val="a9"/>
        <w:spacing w:line="600" w:lineRule="exact"/>
        <w:ind w:firstLineChars="0" w:firstLine="0"/>
        <w:outlineLvl w:val="1"/>
        <w:rPr>
          <w:rStyle w:val="2Char"/>
          <w:rFonts w:ascii="黑体" w:eastAsia="黑体" w:hAnsi="黑体"/>
          <w:b w:val="0"/>
        </w:rPr>
      </w:pPr>
    </w:p>
    <w:p w:rsidR="00B41DEA" w:rsidRDefault="001E1251">
      <w:pPr>
        <w:spacing w:line="600" w:lineRule="exact"/>
        <w:ind w:firstLineChars="200" w:firstLine="640"/>
        <w:outlineLvl w:val="1"/>
        <w:rPr>
          <w:rFonts w:ascii="黑体" w:eastAsia="黑体" w:hAnsi="黑体"/>
          <w:sz w:val="32"/>
          <w:szCs w:val="32"/>
        </w:rPr>
      </w:pPr>
      <w:r>
        <w:rPr>
          <w:rFonts w:ascii="黑体" w:eastAsia="黑体" w:hAnsi="黑体" w:hint="eastAsia"/>
          <w:sz w:val="32"/>
          <w:szCs w:val="32"/>
        </w:rPr>
        <w:t>二、收入决算情况说明</w:t>
      </w:r>
      <w:bookmarkEnd w:id="15"/>
      <w:bookmarkEnd w:id="16"/>
    </w:p>
    <w:p w:rsidR="00B41DEA" w:rsidRDefault="001E1251">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2021年本年收入合计12448.19万元，其中：一般公共预算财政拨款收入12448.19万元，占100%。</w:t>
      </w:r>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color w:val="FF0000"/>
          <w:sz w:val="32"/>
          <w:szCs w:val="32"/>
        </w:rPr>
        <w:drawing>
          <wp:anchor distT="0" distB="0" distL="114300" distR="114300" simplePos="0" relativeHeight="251660288" behindDoc="0" locked="0" layoutInCell="1" allowOverlap="1">
            <wp:simplePos x="0" y="0"/>
            <wp:positionH relativeFrom="column">
              <wp:posOffset>819785</wp:posOffset>
            </wp:positionH>
            <wp:positionV relativeFrom="paragraph">
              <wp:posOffset>466090</wp:posOffset>
            </wp:positionV>
            <wp:extent cx="3035935" cy="1432560"/>
            <wp:effectExtent l="0" t="0" r="0" b="15240"/>
            <wp:wrapTight wrapText="bothSides">
              <wp:wrapPolygon edited="0">
                <wp:start x="1355" y="1723"/>
                <wp:lineTo x="1355" y="21255"/>
                <wp:lineTo x="11114" y="21255"/>
                <wp:lineTo x="11114" y="20106"/>
                <wp:lineTo x="19788" y="20106"/>
                <wp:lineTo x="20602" y="19819"/>
                <wp:lineTo x="20602" y="4596"/>
                <wp:lineTo x="19924" y="4021"/>
                <wp:lineTo x="11114" y="1723"/>
                <wp:lineTo x="1355" y="1723"/>
              </wp:wrapPolygon>
            </wp:wrapTight>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_GB2312" w:eastAsia="仿宋_GB2312" w:hAnsi="仿宋_GB2312" w:cs="仿宋_GB2312" w:hint="eastAsia"/>
          <w:sz w:val="32"/>
          <w:szCs w:val="32"/>
        </w:rPr>
        <w:t>（图2：收入决算结构图）（饼状图）</w:t>
      </w: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spacing w:line="600" w:lineRule="exact"/>
        <w:ind w:firstLineChars="200" w:firstLine="640"/>
        <w:rPr>
          <w:rFonts w:ascii="仿宋_GB2312" w:eastAsia="仿宋_GB2312"/>
          <w:sz w:val="32"/>
          <w:szCs w:val="32"/>
        </w:rPr>
      </w:pPr>
    </w:p>
    <w:p w:rsidR="00B41DEA" w:rsidRDefault="001E1251">
      <w:pPr>
        <w:spacing w:line="600" w:lineRule="exact"/>
        <w:ind w:firstLineChars="200" w:firstLine="640"/>
        <w:outlineLvl w:val="1"/>
        <w:rPr>
          <w:rFonts w:ascii="黑体" w:eastAsia="黑体" w:hAnsi="黑体"/>
          <w:sz w:val="32"/>
          <w:szCs w:val="32"/>
        </w:rPr>
      </w:pPr>
      <w:bookmarkStart w:id="17" w:name="_Toc15396605"/>
      <w:bookmarkStart w:id="18" w:name="_Toc15377207"/>
      <w:r>
        <w:rPr>
          <w:rFonts w:ascii="黑体" w:eastAsia="黑体" w:hAnsi="黑体" w:hint="eastAsia"/>
          <w:sz w:val="32"/>
          <w:szCs w:val="32"/>
        </w:rPr>
        <w:t>三、支出决算情况说明</w:t>
      </w:r>
      <w:bookmarkEnd w:id="17"/>
      <w:bookmarkEnd w:id="18"/>
    </w:p>
    <w:p w:rsidR="00B41DEA" w:rsidRDefault="001E1251">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2021年本年支出合计12448.19万元，其中：基本支出11874.45万元，占95.39%；项目支出573.75万元，占4.61%。</w:t>
      </w:r>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（图3：支出决算结构图）（饼状图）</w:t>
      </w:r>
    </w:p>
    <w:p w:rsidR="00B41DEA" w:rsidRDefault="001E1251">
      <w:pPr>
        <w:pStyle w:val="a4"/>
        <w:spacing w:before="93"/>
        <w:rPr>
          <w:rFonts w:ascii="仿宋" w:eastAsia="仿宋" w:hAnsi="仿宋"/>
          <w:sz w:val="32"/>
          <w:szCs w:val="32"/>
        </w:rPr>
      </w:pPr>
      <w:r>
        <w:rPr>
          <w:rFonts w:ascii="仿宋" w:eastAsia="仿宋" w:hAnsi="仿宋"/>
          <w:noProof/>
          <w:color w:val="000000"/>
          <w:sz w:val="32"/>
          <w:szCs w:val="32"/>
        </w:rPr>
        <w:drawing>
          <wp:anchor distT="0" distB="0" distL="114300" distR="114300" simplePos="0" relativeHeight="251661312" behindDoc="0" locked="0" layoutInCell="1" allowOverlap="1">
            <wp:simplePos x="0" y="0"/>
            <wp:positionH relativeFrom="column">
              <wp:posOffset>474345</wp:posOffset>
            </wp:positionH>
            <wp:positionV relativeFrom="paragraph">
              <wp:posOffset>236855</wp:posOffset>
            </wp:positionV>
            <wp:extent cx="3749040" cy="2043430"/>
            <wp:effectExtent l="0" t="0" r="3175" b="0"/>
            <wp:wrapTight wrapText="bothSides">
              <wp:wrapPolygon edited="0">
                <wp:start x="6915" y="1410"/>
                <wp:lineTo x="5159" y="3423"/>
                <wp:lineTo x="4720" y="4229"/>
                <wp:lineTo x="4829" y="17519"/>
                <wp:lineTo x="8012" y="20741"/>
                <wp:lineTo x="8122" y="21144"/>
                <wp:lineTo x="11085" y="21144"/>
                <wp:lineTo x="12622" y="17519"/>
                <wp:lineTo x="12622" y="14297"/>
                <wp:lineTo x="21512" y="13693"/>
                <wp:lineTo x="21512" y="8256"/>
                <wp:lineTo x="21073" y="8055"/>
                <wp:lineTo x="12622" y="7853"/>
                <wp:lineTo x="12841" y="4027"/>
                <wp:lineTo x="9220" y="1410"/>
                <wp:lineTo x="6915" y="1410"/>
              </wp:wrapPolygon>
            </wp:wrapTight>
            <wp:docPr id="9"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spacing w:line="600" w:lineRule="exact"/>
        <w:ind w:firstLineChars="200" w:firstLine="640"/>
        <w:rPr>
          <w:rFonts w:ascii="仿宋_GB2312" w:eastAsia="仿宋_GB2312"/>
          <w:sz w:val="32"/>
          <w:szCs w:val="32"/>
        </w:rPr>
      </w:pPr>
    </w:p>
    <w:p w:rsidR="00B41DEA" w:rsidRDefault="001E1251">
      <w:pPr>
        <w:spacing w:line="600" w:lineRule="exact"/>
        <w:ind w:firstLineChars="200" w:firstLine="640"/>
        <w:outlineLvl w:val="1"/>
        <w:rPr>
          <w:rStyle w:val="2Char"/>
          <w:rFonts w:ascii="黑体" w:eastAsia="黑体" w:hAnsi="黑体"/>
          <w:b w:val="0"/>
        </w:rPr>
      </w:pPr>
      <w:bookmarkStart w:id="19" w:name="_Toc15377208"/>
      <w:bookmarkStart w:id="20"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19"/>
      <w:bookmarkEnd w:id="20"/>
    </w:p>
    <w:p w:rsidR="00B41DEA" w:rsidRDefault="001E125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2021年财政拨款收、支总计12448.19万元。与2020年相比，财政拨款收、支总计增加207.65万元，增长1.7%。主要变动原因是人员经费增加。</w:t>
      </w:r>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（图4：财政拨款收、支决算总计变动情况）（柱状图）</w:t>
      </w:r>
    </w:p>
    <w:p w:rsidR="00B41DEA" w:rsidRDefault="001E1251">
      <w:pPr>
        <w:pStyle w:val="a4"/>
        <w:spacing w:before="93"/>
        <w:rPr>
          <w:rFonts w:ascii="仿宋" w:eastAsia="仿宋" w:hAnsi="仿宋"/>
          <w:sz w:val="32"/>
          <w:szCs w:val="32"/>
        </w:rPr>
      </w:pPr>
      <w:r>
        <w:rPr>
          <w:rFonts w:ascii="仿宋" w:eastAsia="仿宋" w:hAnsi="仿宋"/>
          <w:b/>
          <w:noProof/>
          <w:color w:val="00B050"/>
          <w:sz w:val="32"/>
          <w:szCs w:val="32"/>
        </w:rPr>
        <w:drawing>
          <wp:anchor distT="0" distB="0" distL="114300" distR="114300" simplePos="0" relativeHeight="251662336" behindDoc="0" locked="0" layoutInCell="1" allowOverlap="1">
            <wp:simplePos x="0" y="0"/>
            <wp:positionH relativeFrom="column">
              <wp:posOffset>921385</wp:posOffset>
            </wp:positionH>
            <wp:positionV relativeFrom="paragraph">
              <wp:posOffset>156845</wp:posOffset>
            </wp:positionV>
            <wp:extent cx="3560445" cy="2438400"/>
            <wp:effectExtent l="0" t="0" r="1905" b="0"/>
            <wp:wrapTight wrapText="bothSides">
              <wp:wrapPolygon edited="0">
                <wp:start x="462" y="1519"/>
                <wp:lineTo x="347" y="6244"/>
                <wp:lineTo x="1156" y="6919"/>
                <wp:lineTo x="347" y="7763"/>
                <wp:lineTo x="347" y="14344"/>
                <wp:lineTo x="1156" y="15019"/>
                <wp:lineTo x="347" y="15863"/>
                <wp:lineTo x="462" y="18563"/>
                <wp:lineTo x="5432" y="20250"/>
                <wp:lineTo x="7628" y="20588"/>
                <wp:lineTo x="15255" y="20588"/>
                <wp:lineTo x="17913" y="18056"/>
                <wp:lineTo x="17913" y="12319"/>
                <wp:lineTo x="21496" y="11813"/>
                <wp:lineTo x="21496" y="7763"/>
                <wp:lineTo x="17913" y="6919"/>
                <wp:lineTo x="18144" y="2025"/>
                <wp:lineTo x="17220" y="1856"/>
                <wp:lineTo x="3005" y="1519"/>
                <wp:lineTo x="462" y="1519"/>
              </wp:wrapPolygon>
            </wp:wrapTight>
            <wp:docPr id="10" name="对象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spacing w:line="600" w:lineRule="exact"/>
        <w:ind w:firstLine="640"/>
        <w:rPr>
          <w:rFonts w:ascii="仿宋" w:eastAsia="仿宋" w:hAnsi="仿宋"/>
          <w:b/>
          <w:sz w:val="32"/>
          <w:szCs w:val="32"/>
        </w:rPr>
      </w:pPr>
    </w:p>
    <w:p w:rsidR="00B41DEA" w:rsidRDefault="001E1251">
      <w:pPr>
        <w:spacing w:line="600" w:lineRule="exact"/>
        <w:ind w:firstLineChars="200" w:firstLine="640"/>
        <w:outlineLvl w:val="1"/>
        <w:rPr>
          <w:rStyle w:val="2Char"/>
          <w:rFonts w:ascii="黑体" w:eastAsia="黑体" w:hAnsi="黑体"/>
          <w:b w:val="0"/>
        </w:rPr>
      </w:pPr>
      <w:bookmarkStart w:id="21" w:name="_Toc15377209"/>
      <w:bookmarkStart w:id="22"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1"/>
      <w:bookmarkEnd w:id="22"/>
    </w:p>
    <w:p w:rsidR="00B41DEA" w:rsidRDefault="001E1251">
      <w:pPr>
        <w:spacing w:line="600" w:lineRule="exact"/>
        <w:ind w:firstLineChars="200" w:firstLine="643"/>
        <w:outlineLvl w:val="2"/>
        <w:rPr>
          <w:rFonts w:ascii="仿宋_GB2312" w:eastAsia="仿宋_GB2312" w:hAnsi="仿宋_GB2312" w:cs="仿宋_GB2312"/>
          <w:b/>
          <w:sz w:val="32"/>
          <w:szCs w:val="32"/>
        </w:rPr>
      </w:pPr>
      <w:bookmarkStart w:id="23" w:name="_Toc15377210"/>
      <w:r>
        <w:rPr>
          <w:rFonts w:ascii="仿宋_GB2312" w:eastAsia="仿宋_GB2312" w:hAnsi="仿宋_GB2312" w:cs="仿宋_GB2312" w:hint="eastAsia"/>
          <w:b/>
          <w:sz w:val="32"/>
          <w:szCs w:val="32"/>
        </w:rPr>
        <w:t>（一）一般公共预算财政拨款支出决算总体情况</w:t>
      </w:r>
      <w:bookmarkEnd w:id="23"/>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2021年一般公共预算财政拨款支出12448.19万元，占本年支出合计的100%。与2020年相比，一般公共预算财政拨款支出增加479.17万元，增长4%。主要变动原因是人员经费增加。</w:t>
      </w:r>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（图5：一般公共预算财政拨款支出决算变动情况）（柱状图）</w:t>
      </w:r>
    </w:p>
    <w:p w:rsidR="00B41DEA" w:rsidRDefault="001E1251">
      <w:pPr>
        <w:pStyle w:val="a4"/>
        <w:spacing w:before="93"/>
        <w:rPr>
          <w:rFonts w:ascii="仿宋" w:eastAsia="仿宋" w:hAnsi="仿宋"/>
          <w:sz w:val="32"/>
          <w:szCs w:val="32"/>
        </w:rPr>
      </w:pPr>
      <w:r>
        <w:rPr>
          <w:rFonts w:ascii="仿宋" w:eastAsia="仿宋" w:hAnsi="仿宋"/>
          <w:noProof/>
          <w:color w:val="000000"/>
          <w:sz w:val="32"/>
          <w:szCs w:val="32"/>
        </w:rPr>
        <w:drawing>
          <wp:anchor distT="0" distB="0" distL="114300" distR="114300" simplePos="0" relativeHeight="251663360" behindDoc="0" locked="0" layoutInCell="1" allowOverlap="1">
            <wp:simplePos x="0" y="0"/>
            <wp:positionH relativeFrom="column">
              <wp:posOffset>975360</wp:posOffset>
            </wp:positionH>
            <wp:positionV relativeFrom="paragraph">
              <wp:posOffset>249555</wp:posOffset>
            </wp:positionV>
            <wp:extent cx="3580765" cy="2133600"/>
            <wp:effectExtent l="0" t="0" r="635" b="0"/>
            <wp:wrapTight wrapText="bothSides">
              <wp:wrapPolygon edited="0">
                <wp:start x="11491" y="1543"/>
                <wp:lineTo x="804" y="2121"/>
                <wp:lineTo x="345" y="2314"/>
                <wp:lineTo x="345" y="6943"/>
                <wp:lineTo x="919" y="7714"/>
                <wp:lineTo x="345" y="8293"/>
                <wp:lineTo x="345" y="12921"/>
                <wp:lineTo x="1149" y="13886"/>
                <wp:lineTo x="460" y="13886"/>
                <wp:lineTo x="460" y="16971"/>
                <wp:lineTo x="2873" y="16971"/>
                <wp:lineTo x="460" y="18129"/>
                <wp:lineTo x="460" y="19093"/>
                <wp:lineTo x="5171" y="20057"/>
                <wp:lineTo x="5056" y="20443"/>
                <wp:lineTo x="5401" y="20636"/>
                <wp:lineTo x="7010" y="21021"/>
                <wp:lineTo x="14364" y="21021"/>
                <wp:lineTo x="15628" y="20057"/>
                <wp:lineTo x="17007" y="18321"/>
                <wp:lineTo x="16892" y="13886"/>
                <wp:lineTo x="18501" y="13886"/>
                <wp:lineTo x="21489" y="11957"/>
                <wp:lineTo x="21489" y="7907"/>
                <wp:lineTo x="21259" y="7714"/>
                <wp:lineTo x="16892" y="7714"/>
                <wp:lineTo x="17122" y="3471"/>
                <wp:lineTo x="16663" y="2700"/>
                <wp:lineTo x="15054" y="1543"/>
                <wp:lineTo x="11491" y="1543"/>
              </wp:wrapPolygon>
            </wp:wrapTight>
            <wp:docPr id="11" name="对象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spacing w:line="600" w:lineRule="exact"/>
        <w:ind w:firstLineChars="200" w:firstLine="640"/>
        <w:rPr>
          <w:rFonts w:ascii="仿宋" w:eastAsia="仿宋" w:hAnsi="仿宋"/>
          <w:sz w:val="32"/>
          <w:szCs w:val="32"/>
        </w:rPr>
      </w:pPr>
    </w:p>
    <w:p w:rsidR="00B41DEA" w:rsidRDefault="001E1251">
      <w:pPr>
        <w:spacing w:line="600" w:lineRule="exact"/>
        <w:ind w:firstLineChars="200" w:firstLine="643"/>
        <w:outlineLvl w:val="2"/>
        <w:rPr>
          <w:rFonts w:ascii="仿宋_GB2312" w:eastAsia="仿宋_GB2312" w:hAnsi="仿宋_GB2312" w:cs="仿宋_GB2312"/>
          <w:b/>
          <w:sz w:val="32"/>
          <w:szCs w:val="32"/>
        </w:rPr>
      </w:pPr>
      <w:bookmarkStart w:id="24" w:name="_Toc15377211"/>
      <w:r>
        <w:rPr>
          <w:rFonts w:ascii="仿宋_GB2312" w:eastAsia="仿宋_GB2312" w:hAnsi="仿宋_GB2312" w:cs="仿宋_GB2312" w:hint="eastAsia"/>
          <w:b/>
          <w:sz w:val="32"/>
          <w:szCs w:val="32"/>
        </w:rPr>
        <w:t>（二）一般公共预算财政拨款支出决算结构情况</w:t>
      </w:r>
      <w:bookmarkEnd w:id="24"/>
    </w:p>
    <w:p w:rsidR="00B41DEA" w:rsidRDefault="001E1251">
      <w:pPr>
        <w:spacing w:line="600" w:lineRule="exact"/>
        <w:ind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2021年一般公共预算财政拨款支出12448.19万元，主要用于以下方面:</w:t>
      </w:r>
      <w:r>
        <w:rPr>
          <w:rFonts w:ascii="仿宋_GB2312" w:eastAsia="仿宋_GB2312" w:hAnsi="仿宋_GB2312" w:cs="仿宋_GB2312" w:hint="eastAsia"/>
          <w:b/>
          <w:sz w:val="32"/>
          <w:szCs w:val="32"/>
        </w:rPr>
        <w:t>一般公共服务（类）</w:t>
      </w:r>
      <w:r>
        <w:rPr>
          <w:rFonts w:ascii="仿宋_GB2312" w:eastAsia="仿宋_GB2312" w:hAnsi="仿宋_GB2312" w:cs="仿宋_GB2312" w:hint="eastAsia"/>
          <w:sz w:val="32"/>
          <w:szCs w:val="32"/>
        </w:rPr>
        <w:t>支出3.49万元，占0.03%；</w:t>
      </w:r>
      <w:r>
        <w:rPr>
          <w:rFonts w:ascii="仿宋_GB2312" w:eastAsia="仿宋_GB2312" w:hAnsi="仿宋_GB2312" w:cs="仿宋_GB2312" w:hint="eastAsia"/>
          <w:b/>
          <w:color w:val="000000"/>
          <w:sz w:val="32"/>
          <w:szCs w:val="32"/>
        </w:rPr>
        <w:t>公共安全支出（类）</w:t>
      </w:r>
      <w:r>
        <w:rPr>
          <w:rFonts w:ascii="仿宋_GB2312" w:eastAsia="仿宋_GB2312" w:hAnsi="仿宋_GB2312" w:cs="仿宋_GB2312" w:hint="eastAsia"/>
          <w:color w:val="000000"/>
          <w:sz w:val="32"/>
          <w:szCs w:val="32"/>
        </w:rPr>
        <w:t>10294.61万元，占82.7%；</w:t>
      </w:r>
      <w:r>
        <w:rPr>
          <w:rFonts w:ascii="仿宋_GB2312" w:eastAsia="仿宋_GB2312" w:hAnsi="仿宋_GB2312" w:cs="仿宋_GB2312" w:hint="eastAsia"/>
          <w:b/>
          <w:color w:val="000000"/>
          <w:sz w:val="32"/>
          <w:szCs w:val="32"/>
        </w:rPr>
        <w:t>社会保障和就业（类）</w:t>
      </w:r>
      <w:r>
        <w:rPr>
          <w:rFonts w:ascii="仿宋_GB2312" w:eastAsia="仿宋_GB2312" w:hAnsi="仿宋_GB2312" w:cs="仿宋_GB2312" w:hint="eastAsia"/>
          <w:color w:val="000000"/>
          <w:sz w:val="32"/>
          <w:szCs w:val="32"/>
        </w:rPr>
        <w:t>支出1421.73万元，占11.42%；</w:t>
      </w:r>
      <w:r>
        <w:rPr>
          <w:rFonts w:ascii="仿宋_GB2312" w:eastAsia="仿宋_GB2312" w:hAnsi="仿宋_GB2312" w:cs="仿宋_GB2312" w:hint="eastAsia"/>
          <w:b/>
          <w:bCs/>
          <w:color w:val="000000"/>
          <w:sz w:val="32"/>
          <w:szCs w:val="32"/>
        </w:rPr>
        <w:t>住房保障支出</w:t>
      </w:r>
      <w:r>
        <w:rPr>
          <w:rFonts w:ascii="仿宋_GB2312" w:eastAsia="仿宋_GB2312" w:hAnsi="仿宋_GB2312" w:cs="仿宋_GB2312" w:hint="eastAsia"/>
          <w:color w:val="000000"/>
          <w:sz w:val="32"/>
          <w:szCs w:val="32"/>
        </w:rPr>
        <w:t>728.36万元，占5.85%。</w:t>
      </w:r>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（图6：一般公共预算财政拨款支出决算结构）（饼状图）</w:t>
      </w:r>
    </w:p>
    <w:p w:rsidR="00B41DEA" w:rsidRDefault="001E1251">
      <w:pPr>
        <w:pStyle w:val="a4"/>
        <w:spacing w:before="93"/>
        <w:rPr>
          <w:rFonts w:hAnsi="仿宋_GB2312" w:cs="仿宋_GB2312"/>
          <w:sz w:val="32"/>
          <w:szCs w:val="32"/>
        </w:rPr>
      </w:pPr>
      <w:r>
        <w:rPr>
          <w:rFonts w:hAnsi="仿宋_GB2312" w:cs="仿宋_GB2312" w:hint="eastAsia"/>
          <w:noProof/>
          <w:color w:val="000000"/>
          <w:sz w:val="32"/>
          <w:szCs w:val="32"/>
        </w:rPr>
        <w:drawing>
          <wp:anchor distT="0" distB="0" distL="114300" distR="114300" simplePos="0" relativeHeight="251664384" behindDoc="0" locked="0" layoutInCell="1" allowOverlap="1">
            <wp:simplePos x="0" y="0"/>
            <wp:positionH relativeFrom="column">
              <wp:posOffset>531495</wp:posOffset>
            </wp:positionH>
            <wp:positionV relativeFrom="paragraph">
              <wp:posOffset>271145</wp:posOffset>
            </wp:positionV>
            <wp:extent cx="3788410" cy="2462530"/>
            <wp:effectExtent l="0" t="0" r="0" b="0"/>
            <wp:wrapSquare wrapText="bothSides"/>
            <wp:docPr id="12" name="对象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spacing w:line="600" w:lineRule="exact"/>
        <w:ind w:firstLineChars="200" w:firstLine="640"/>
        <w:rPr>
          <w:rFonts w:ascii="仿宋" w:eastAsia="仿宋" w:hAnsi="仿宋"/>
          <w:sz w:val="32"/>
          <w:szCs w:val="32"/>
        </w:rPr>
      </w:pPr>
    </w:p>
    <w:p w:rsidR="00B41DEA" w:rsidRDefault="001E1251">
      <w:pPr>
        <w:spacing w:line="600" w:lineRule="exact"/>
        <w:ind w:firstLineChars="200" w:firstLine="643"/>
        <w:outlineLvl w:val="2"/>
        <w:rPr>
          <w:rFonts w:ascii="仿宋_GB2312" w:eastAsia="仿宋_GB2312" w:hAnsi="仿宋_GB2312" w:cs="仿宋_GB2312"/>
          <w:b/>
          <w:sz w:val="32"/>
          <w:szCs w:val="32"/>
        </w:rPr>
      </w:pPr>
      <w:bookmarkStart w:id="25" w:name="_Toc15377212"/>
      <w:r>
        <w:rPr>
          <w:rFonts w:ascii="仿宋_GB2312" w:eastAsia="仿宋_GB2312" w:hAnsi="仿宋_GB2312" w:cs="仿宋_GB2312" w:hint="eastAsia"/>
          <w:b/>
          <w:sz w:val="32"/>
          <w:szCs w:val="32"/>
        </w:rPr>
        <w:t>（三）一般公共预算财政拨款支出决算具体情况</w:t>
      </w:r>
      <w:bookmarkEnd w:id="25"/>
    </w:p>
    <w:p w:rsidR="00B41DEA" w:rsidRDefault="001E1251">
      <w:pPr>
        <w:spacing w:line="600" w:lineRule="exact"/>
        <w:ind w:firstLineChars="200" w:firstLine="643"/>
        <w:outlineLvl w:val="2"/>
        <w:rPr>
          <w:rFonts w:ascii="仿宋_GB2312" w:eastAsia="仿宋_GB2312" w:hAnsi="仿宋_GB2312" w:cs="仿宋_GB2312"/>
          <w:sz w:val="32"/>
          <w:szCs w:val="32"/>
        </w:rPr>
      </w:pPr>
      <w:bookmarkStart w:id="26" w:name="_Toc15377444"/>
      <w:bookmarkStart w:id="27" w:name="_Toc15377213"/>
      <w:bookmarkStart w:id="28" w:name="_Toc15378460"/>
      <w:r>
        <w:rPr>
          <w:rFonts w:ascii="仿宋_GB2312" w:eastAsia="仿宋_GB2312" w:hAnsi="仿宋_GB2312" w:cs="仿宋_GB2312" w:hint="eastAsia"/>
          <w:b/>
          <w:sz w:val="32"/>
          <w:szCs w:val="32"/>
        </w:rPr>
        <w:t>2021年一般公共预算支出决算数为12448.19万元</w:t>
      </w:r>
      <w:r>
        <w:rPr>
          <w:rFonts w:ascii="仿宋_GB2312" w:eastAsia="仿宋_GB2312" w:hAnsi="仿宋_GB2312" w:cs="仿宋_GB2312" w:hint="eastAsia"/>
          <w:sz w:val="32"/>
          <w:szCs w:val="32"/>
        </w:rPr>
        <w:t>，</w:t>
      </w:r>
      <w:r>
        <w:rPr>
          <w:rStyle w:val="a7"/>
          <w:rFonts w:ascii="仿宋_GB2312" w:eastAsia="仿宋_GB2312" w:hAnsi="仿宋_GB2312" w:cs="仿宋_GB2312" w:hint="eastAsia"/>
          <w:bCs/>
          <w:sz w:val="32"/>
          <w:szCs w:val="32"/>
        </w:rPr>
        <w:t>完成预算100%。其中：</w:t>
      </w:r>
      <w:bookmarkEnd w:id="26"/>
      <w:bookmarkEnd w:id="27"/>
      <w:bookmarkEnd w:id="28"/>
    </w:p>
    <w:p w:rsidR="00B41DEA" w:rsidRDefault="001E1251">
      <w:pPr>
        <w:spacing w:line="600" w:lineRule="exact"/>
        <w:ind w:firstLineChars="200" w:firstLine="643"/>
        <w:rPr>
          <w:rStyle w:val="a7"/>
          <w:rFonts w:ascii="仿宋_GB2312" w:eastAsia="仿宋_GB2312" w:hAnsi="仿宋_GB2312" w:cs="仿宋_GB2312"/>
          <w:b w:val="0"/>
          <w:bCs/>
          <w:color w:val="000000"/>
          <w:sz w:val="32"/>
          <w:szCs w:val="32"/>
        </w:rPr>
      </w:pPr>
      <w:r>
        <w:rPr>
          <w:rStyle w:val="a7"/>
          <w:rFonts w:ascii="仿宋_GB2312" w:eastAsia="仿宋_GB2312" w:hAnsi="仿宋_GB2312" w:cs="仿宋_GB2312" w:hint="eastAsia"/>
          <w:bCs/>
          <w:color w:val="000000"/>
          <w:sz w:val="32"/>
          <w:szCs w:val="32"/>
        </w:rPr>
        <w:t>1.一般公共服务（类）组织事务（款）其他组织事务支出（项）:</w:t>
      </w:r>
      <w:r>
        <w:rPr>
          <w:rStyle w:val="a7"/>
          <w:rFonts w:ascii="仿宋_GB2312" w:eastAsia="仿宋_GB2312" w:hAnsi="仿宋_GB2312" w:cs="仿宋_GB2312" w:hint="eastAsia"/>
          <w:b w:val="0"/>
          <w:bCs/>
          <w:color w:val="000000"/>
          <w:sz w:val="32"/>
          <w:szCs w:val="32"/>
        </w:rPr>
        <w:t>支出决算为3.49万元，完成预算100%，决算数等于预算数。</w:t>
      </w:r>
    </w:p>
    <w:p w:rsidR="00B41DEA" w:rsidRDefault="001E1251">
      <w:pPr>
        <w:spacing w:line="600" w:lineRule="exact"/>
        <w:ind w:firstLineChars="200" w:firstLine="643"/>
        <w:rPr>
          <w:rStyle w:val="a7"/>
          <w:rFonts w:ascii="仿宋_GB2312" w:eastAsia="仿宋_GB2312" w:hAnsi="仿宋_GB2312" w:cs="仿宋_GB2312"/>
          <w:b w:val="0"/>
          <w:bCs/>
          <w:sz w:val="32"/>
          <w:szCs w:val="32"/>
        </w:rPr>
      </w:pPr>
      <w:r>
        <w:rPr>
          <w:rStyle w:val="a7"/>
          <w:rFonts w:ascii="仿宋_GB2312" w:eastAsia="仿宋_GB2312" w:hAnsi="仿宋_GB2312" w:cs="仿宋_GB2312" w:hint="eastAsia"/>
          <w:bCs/>
          <w:color w:val="000000"/>
          <w:sz w:val="32"/>
          <w:szCs w:val="32"/>
        </w:rPr>
        <w:t>2.公共安全支出（类）公安（款）行政运行（项）:</w:t>
      </w:r>
      <w:r>
        <w:rPr>
          <w:rStyle w:val="a7"/>
          <w:rFonts w:ascii="仿宋_GB2312" w:eastAsia="仿宋_GB2312" w:hAnsi="仿宋_GB2312" w:cs="仿宋_GB2312" w:hint="eastAsia"/>
          <w:b w:val="0"/>
          <w:bCs/>
          <w:color w:val="000000"/>
          <w:sz w:val="32"/>
          <w:szCs w:val="32"/>
        </w:rPr>
        <w:t>支出决算为9724.35万元，完成预算100%，决算数等于预算数</w:t>
      </w:r>
      <w:r>
        <w:rPr>
          <w:rStyle w:val="a7"/>
          <w:rFonts w:ascii="仿宋_GB2312" w:eastAsia="仿宋_GB2312" w:hAnsi="仿宋_GB2312" w:cs="仿宋_GB2312" w:hint="eastAsia"/>
          <w:b w:val="0"/>
          <w:bCs/>
          <w:sz w:val="32"/>
          <w:szCs w:val="32"/>
        </w:rPr>
        <w:t>。</w:t>
      </w:r>
    </w:p>
    <w:p w:rsidR="00B41DEA" w:rsidRDefault="001E1251">
      <w:pPr>
        <w:spacing w:line="600" w:lineRule="exact"/>
        <w:ind w:firstLineChars="200" w:firstLine="643"/>
        <w:rPr>
          <w:rStyle w:val="a7"/>
          <w:rFonts w:ascii="仿宋_GB2312" w:eastAsia="仿宋_GB2312" w:hAnsi="仿宋_GB2312" w:cs="仿宋_GB2312"/>
          <w:b w:val="0"/>
          <w:bCs/>
          <w:sz w:val="32"/>
          <w:szCs w:val="32"/>
        </w:rPr>
      </w:pPr>
      <w:r>
        <w:rPr>
          <w:rStyle w:val="a7"/>
          <w:rFonts w:ascii="仿宋_GB2312" w:eastAsia="仿宋_GB2312" w:hAnsi="仿宋_GB2312" w:cs="仿宋_GB2312" w:hint="eastAsia"/>
          <w:bCs/>
          <w:sz w:val="32"/>
          <w:szCs w:val="32"/>
        </w:rPr>
        <w:t>3.公共安全支出（类）公安（款）一般行政管理事务（项）:</w:t>
      </w:r>
      <w:r>
        <w:rPr>
          <w:rStyle w:val="a7"/>
          <w:rFonts w:ascii="仿宋_GB2312" w:eastAsia="仿宋_GB2312" w:hAnsi="仿宋_GB2312" w:cs="仿宋_GB2312" w:hint="eastAsia"/>
          <w:b w:val="0"/>
          <w:bCs/>
          <w:sz w:val="32"/>
          <w:szCs w:val="32"/>
        </w:rPr>
        <w:t>支出决算为535.25万元，完成预算100%，决算数等于预算数</w:t>
      </w:r>
      <w:r>
        <w:rPr>
          <w:rFonts w:ascii="仿宋_GB2312" w:eastAsia="仿宋_GB2312" w:hAnsi="仿宋_GB2312" w:cs="仿宋_GB2312" w:hint="eastAsia"/>
          <w:sz w:val="32"/>
          <w:szCs w:val="32"/>
        </w:rPr>
        <w:t>。</w:t>
      </w:r>
    </w:p>
    <w:p w:rsidR="00B41DEA" w:rsidRDefault="001E1251">
      <w:pPr>
        <w:spacing w:line="600" w:lineRule="exact"/>
        <w:ind w:firstLineChars="200" w:firstLine="643"/>
        <w:rPr>
          <w:rStyle w:val="a7"/>
          <w:rFonts w:ascii="仿宋_GB2312" w:eastAsia="仿宋_GB2312" w:hAnsi="仿宋_GB2312" w:cs="仿宋_GB2312"/>
          <w:b w:val="0"/>
          <w:bCs/>
          <w:sz w:val="32"/>
          <w:szCs w:val="32"/>
        </w:rPr>
      </w:pPr>
      <w:r>
        <w:rPr>
          <w:rStyle w:val="a7"/>
          <w:rFonts w:ascii="仿宋_GB2312" w:eastAsia="仿宋_GB2312" w:hAnsi="仿宋_GB2312" w:cs="仿宋_GB2312" w:hint="eastAsia"/>
          <w:bCs/>
          <w:sz w:val="32"/>
          <w:szCs w:val="32"/>
        </w:rPr>
        <w:t>4.公共安全支出（类）公安（款）其他公共安全支出（项）:</w:t>
      </w:r>
      <w:r>
        <w:rPr>
          <w:rStyle w:val="a7"/>
          <w:rFonts w:ascii="仿宋_GB2312" w:eastAsia="仿宋_GB2312" w:hAnsi="仿宋_GB2312" w:cs="仿宋_GB2312" w:hint="eastAsia"/>
          <w:b w:val="0"/>
          <w:bCs/>
          <w:sz w:val="32"/>
          <w:szCs w:val="32"/>
        </w:rPr>
        <w:t>支出决算为35万元，完成预算0%，决算数等于预算数</w:t>
      </w:r>
      <w:r>
        <w:rPr>
          <w:rFonts w:ascii="仿宋_GB2312" w:eastAsia="仿宋_GB2312" w:hAnsi="仿宋_GB2312" w:cs="仿宋_GB2312" w:hint="eastAsia"/>
          <w:sz w:val="32"/>
          <w:szCs w:val="32"/>
        </w:rPr>
        <w:t>。</w:t>
      </w:r>
    </w:p>
    <w:p w:rsidR="00B41DEA" w:rsidRDefault="001E1251">
      <w:pPr>
        <w:spacing w:line="600" w:lineRule="exact"/>
        <w:ind w:firstLineChars="200" w:firstLine="643"/>
        <w:rPr>
          <w:rFonts w:ascii="仿宋_GB2312" w:eastAsia="仿宋_GB2312" w:hAnsi="仿宋_GB2312" w:cs="仿宋_GB2312"/>
          <w:b/>
          <w:color w:val="000000"/>
          <w:sz w:val="32"/>
          <w:szCs w:val="32"/>
        </w:rPr>
      </w:pPr>
      <w:r>
        <w:rPr>
          <w:rStyle w:val="a7"/>
          <w:rFonts w:ascii="仿宋_GB2312" w:eastAsia="仿宋_GB2312" w:hAnsi="仿宋_GB2312" w:cs="仿宋_GB2312" w:hint="eastAsia"/>
          <w:bCs/>
          <w:color w:val="000000"/>
          <w:sz w:val="32"/>
          <w:szCs w:val="32"/>
        </w:rPr>
        <w:lastRenderedPageBreak/>
        <w:t>5.社会保障和就业（类）行政事业单位养老支出（款）行政单位离退休（项）:</w:t>
      </w:r>
      <w:r>
        <w:rPr>
          <w:rStyle w:val="a7"/>
          <w:rFonts w:ascii="仿宋_GB2312" w:eastAsia="仿宋_GB2312" w:hAnsi="仿宋_GB2312" w:cs="仿宋_GB2312" w:hint="eastAsia"/>
          <w:b w:val="0"/>
          <w:bCs/>
          <w:color w:val="000000"/>
          <w:sz w:val="32"/>
          <w:szCs w:val="32"/>
        </w:rPr>
        <w:t>支出决算为729.49万元，完成预算100%，决算数等于预算数。</w:t>
      </w:r>
    </w:p>
    <w:p w:rsidR="00B41DEA" w:rsidRDefault="001E1251">
      <w:pPr>
        <w:spacing w:line="600" w:lineRule="exact"/>
        <w:ind w:firstLineChars="200" w:firstLine="643"/>
        <w:rPr>
          <w:rFonts w:ascii="仿宋_GB2312" w:eastAsia="仿宋_GB2312" w:hAnsi="仿宋_GB2312" w:cs="仿宋_GB2312"/>
          <w:b/>
          <w:color w:val="000000"/>
          <w:sz w:val="32"/>
          <w:szCs w:val="32"/>
        </w:rPr>
      </w:pPr>
      <w:r>
        <w:rPr>
          <w:rStyle w:val="a7"/>
          <w:rFonts w:ascii="仿宋_GB2312" w:eastAsia="仿宋_GB2312" w:hAnsi="仿宋_GB2312" w:cs="仿宋_GB2312" w:hint="eastAsia"/>
          <w:bCs/>
          <w:color w:val="000000"/>
          <w:sz w:val="32"/>
          <w:szCs w:val="32"/>
        </w:rPr>
        <w:t>6.社会保障和就业（类）行政事业单位养老支出（款）机关事业单位基本养老保险缴费支出（项）:</w:t>
      </w:r>
      <w:r>
        <w:rPr>
          <w:rStyle w:val="a7"/>
          <w:rFonts w:ascii="仿宋_GB2312" w:eastAsia="仿宋_GB2312" w:hAnsi="仿宋_GB2312" w:cs="仿宋_GB2312" w:hint="eastAsia"/>
          <w:b w:val="0"/>
          <w:bCs/>
          <w:color w:val="000000"/>
          <w:sz w:val="32"/>
          <w:szCs w:val="32"/>
        </w:rPr>
        <w:t>支出决算为681.92万元，完成预算100%，决算数等于预算数。</w:t>
      </w:r>
    </w:p>
    <w:p w:rsidR="00B41DEA" w:rsidRDefault="001E1251">
      <w:pPr>
        <w:spacing w:line="600" w:lineRule="exact"/>
        <w:ind w:firstLineChars="200" w:firstLine="643"/>
        <w:rPr>
          <w:rStyle w:val="a7"/>
          <w:rFonts w:ascii="仿宋_GB2312" w:eastAsia="仿宋_GB2312" w:hAnsi="仿宋_GB2312" w:cs="仿宋_GB2312"/>
          <w:b w:val="0"/>
          <w:bCs/>
          <w:color w:val="000000"/>
          <w:sz w:val="32"/>
          <w:szCs w:val="32"/>
        </w:rPr>
      </w:pPr>
      <w:r>
        <w:rPr>
          <w:rStyle w:val="a7"/>
          <w:rFonts w:ascii="仿宋_GB2312" w:eastAsia="仿宋_GB2312" w:hAnsi="仿宋_GB2312" w:cs="仿宋_GB2312" w:hint="eastAsia"/>
          <w:bCs/>
          <w:color w:val="000000"/>
          <w:sz w:val="32"/>
          <w:szCs w:val="32"/>
        </w:rPr>
        <w:t>7.社会保障和就业（类）抚恤（款）死亡抚恤（项）:</w:t>
      </w:r>
      <w:r>
        <w:rPr>
          <w:rStyle w:val="a7"/>
          <w:rFonts w:ascii="仿宋_GB2312" w:eastAsia="仿宋_GB2312" w:hAnsi="仿宋_GB2312" w:cs="仿宋_GB2312" w:hint="eastAsia"/>
          <w:b w:val="0"/>
          <w:bCs/>
          <w:color w:val="000000"/>
          <w:sz w:val="32"/>
          <w:szCs w:val="32"/>
        </w:rPr>
        <w:t>支出决算为10.32万元，完成预算100%，决算数等于预算数。</w:t>
      </w:r>
    </w:p>
    <w:p w:rsidR="00B41DEA" w:rsidRDefault="001E1251">
      <w:pPr>
        <w:spacing w:line="600" w:lineRule="exact"/>
        <w:ind w:firstLineChars="200" w:firstLine="643"/>
        <w:rPr>
          <w:rFonts w:ascii="仿宋_GB2312" w:eastAsia="仿宋_GB2312" w:hAnsi="仿宋_GB2312" w:cs="仿宋_GB2312"/>
          <w:b/>
          <w:sz w:val="32"/>
          <w:szCs w:val="32"/>
        </w:rPr>
      </w:pPr>
      <w:r>
        <w:rPr>
          <w:rStyle w:val="a7"/>
          <w:rFonts w:ascii="仿宋_GB2312" w:eastAsia="仿宋_GB2312" w:hAnsi="仿宋_GB2312" w:cs="仿宋_GB2312" w:hint="eastAsia"/>
          <w:bCs/>
          <w:color w:val="000000"/>
          <w:sz w:val="32"/>
          <w:szCs w:val="32"/>
        </w:rPr>
        <w:t>8.</w:t>
      </w:r>
      <w:r>
        <w:rPr>
          <w:rFonts w:ascii="仿宋_GB2312" w:eastAsia="仿宋_GB2312" w:hAnsi="仿宋_GB2312" w:cs="仿宋_GB2312" w:hint="eastAsia"/>
          <w:b/>
          <w:bCs/>
          <w:color w:val="000000"/>
          <w:sz w:val="32"/>
          <w:szCs w:val="32"/>
        </w:rPr>
        <w:t>住房保障支出</w:t>
      </w:r>
      <w:r>
        <w:rPr>
          <w:rStyle w:val="a7"/>
          <w:rFonts w:ascii="仿宋_GB2312" w:eastAsia="仿宋_GB2312" w:hAnsi="仿宋_GB2312" w:cs="仿宋_GB2312" w:hint="eastAsia"/>
          <w:bCs/>
          <w:color w:val="000000"/>
          <w:sz w:val="32"/>
          <w:szCs w:val="32"/>
        </w:rPr>
        <w:t>（类）住房改革支出（款）住房公积金（项）:</w:t>
      </w:r>
      <w:r>
        <w:rPr>
          <w:rStyle w:val="a7"/>
          <w:rFonts w:ascii="仿宋_GB2312" w:eastAsia="仿宋_GB2312" w:hAnsi="仿宋_GB2312" w:cs="仿宋_GB2312" w:hint="eastAsia"/>
          <w:b w:val="0"/>
          <w:bCs/>
          <w:color w:val="000000"/>
          <w:sz w:val="32"/>
          <w:szCs w:val="32"/>
        </w:rPr>
        <w:t>支出决算为728.36万元，完成预算100%，决算数等于预算数。</w:t>
      </w:r>
    </w:p>
    <w:p w:rsidR="00B41DEA" w:rsidRDefault="001E1251">
      <w:pPr>
        <w:tabs>
          <w:tab w:val="right" w:pos="8306"/>
        </w:tabs>
        <w:spacing w:line="600" w:lineRule="exact"/>
        <w:ind w:firstLine="640"/>
        <w:outlineLvl w:val="1"/>
        <w:rPr>
          <w:rStyle w:val="2Char"/>
          <w:rFonts w:ascii="仿宋_GB2312" w:eastAsia="仿宋_GB2312" w:hAnsi="仿宋_GB2312" w:cs="仿宋_GB2312"/>
        </w:rPr>
      </w:pPr>
      <w:bookmarkStart w:id="29" w:name="_Toc15396608"/>
      <w:bookmarkStart w:id="30" w:name="_Toc15377214"/>
      <w:r>
        <w:rPr>
          <w:rFonts w:ascii="仿宋_GB2312" w:eastAsia="仿宋_GB2312" w:hAnsi="仿宋_GB2312" w:cs="仿宋_GB2312" w:hint="eastAsia"/>
          <w:sz w:val="32"/>
          <w:szCs w:val="32"/>
        </w:rPr>
        <w:t>六</w:t>
      </w:r>
      <w:r>
        <w:rPr>
          <w:rFonts w:ascii="仿宋_GB2312" w:eastAsia="仿宋_GB2312" w:hAnsi="仿宋_GB2312" w:cs="仿宋_GB2312" w:hint="eastAsia"/>
          <w:b/>
          <w:sz w:val="32"/>
          <w:szCs w:val="32"/>
        </w:rPr>
        <w:t>、一</w:t>
      </w:r>
      <w:r>
        <w:rPr>
          <w:rStyle w:val="2Char"/>
          <w:rFonts w:ascii="仿宋_GB2312" w:eastAsia="仿宋_GB2312" w:hAnsi="仿宋_GB2312" w:cs="仿宋_GB2312" w:hint="eastAsia"/>
          <w:b w:val="0"/>
        </w:rPr>
        <w:t>般公共预算财政拨款基本支出决算情况说明</w:t>
      </w:r>
      <w:bookmarkEnd w:id="29"/>
      <w:bookmarkEnd w:id="30"/>
      <w:r>
        <w:rPr>
          <w:rStyle w:val="2Char"/>
          <w:rFonts w:ascii="仿宋_GB2312" w:eastAsia="仿宋_GB2312" w:hAnsi="仿宋_GB2312" w:cs="仿宋_GB2312" w:hint="eastAsia"/>
          <w:b w:val="0"/>
        </w:rPr>
        <w:tab/>
      </w:r>
    </w:p>
    <w:p w:rsidR="00B41DEA" w:rsidRDefault="001E1251">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2021年一般公共预算财政拨款基本支出11874.45万元，其中：</w:t>
      </w:r>
    </w:p>
    <w:p w:rsidR="00B41DEA" w:rsidRDefault="001E1251">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10264.02万元，主要包括：基本工资1882.12万元、津贴补贴5023.53万元、奖金149.14万元、机关事业单位基本养老保险缴费681.92万元、职工基本医疗保险缴费505.73万元、住房公积金728.36万元、其他工资福利支出632.42万元、离休费13.98万元、抚恤金10.32万元、生活补助611.99万元、医疗费补助23.27万元、其他对个人和家庭的补助支出1.23万元。</w:t>
      </w:r>
      <w:r>
        <w:rPr>
          <w:rFonts w:ascii="仿宋_GB2312" w:eastAsia="仿宋_GB2312" w:hAnsi="仿宋_GB2312" w:cs="仿宋_GB2312" w:hint="eastAsia"/>
          <w:sz w:val="32"/>
          <w:szCs w:val="32"/>
        </w:rPr>
        <w:br/>
        <w:t xml:space="preserve">　　日常公用经费1610.43万元，主要包括：办公费32.88万元、印刷费29.79万元、手续费0.29万元、水费22.57</w:t>
      </w:r>
      <w:r>
        <w:rPr>
          <w:rFonts w:ascii="仿宋_GB2312" w:eastAsia="仿宋_GB2312" w:hAnsi="仿宋_GB2312" w:cs="仿宋_GB2312" w:hint="eastAsia"/>
          <w:sz w:val="32"/>
          <w:szCs w:val="32"/>
        </w:rPr>
        <w:lastRenderedPageBreak/>
        <w:t>万元、电费118.1万元、邮电费73.08万元、物业管理费30.91万元、差旅费22.91万元、维修（护）费65.89万元、租赁费36.96万元、会议费0.1万元、培训费7.14万元、公务接待费0.07万元、委托业务费284.22万元、工会经费72.49万元、福利费25.65万元、公务用车运行维护费123.95万元、其他交通费414.49万元、其他商品和服务支出248.03万元、办公设备购置0.91万元。</w:t>
      </w:r>
    </w:p>
    <w:p w:rsidR="00B41DEA" w:rsidRDefault="001E1251">
      <w:pPr>
        <w:spacing w:line="600" w:lineRule="exact"/>
        <w:ind w:firstLine="640"/>
        <w:outlineLvl w:val="1"/>
        <w:rPr>
          <w:rStyle w:val="2Char"/>
          <w:rFonts w:ascii="黑体" w:eastAsia="黑体" w:hAnsi="黑体"/>
          <w:b w:val="0"/>
        </w:rPr>
      </w:pPr>
      <w:bookmarkStart w:id="31" w:name="_Toc15396609"/>
      <w:bookmarkStart w:id="32"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1"/>
      <w:bookmarkEnd w:id="32"/>
    </w:p>
    <w:p w:rsidR="00B41DEA" w:rsidRDefault="001E1251">
      <w:pPr>
        <w:spacing w:line="600" w:lineRule="exact"/>
        <w:ind w:firstLine="640"/>
        <w:outlineLvl w:val="2"/>
        <w:rPr>
          <w:rFonts w:ascii="仿宋_GB2312" w:eastAsia="仿宋_GB2312" w:hAnsi="仿宋_GB2312" w:cs="仿宋_GB2312"/>
          <w:b/>
          <w:sz w:val="32"/>
          <w:szCs w:val="32"/>
        </w:rPr>
      </w:pPr>
      <w:bookmarkStart w:id="33" w:name="_Toc15377216"/>
      <w:r>
        <w:rPr>
          <w:rFonts w:ascii="仿宋_GB2312" w:eastAsia="仿宋_GB2312" w:hAnsi="仿宋_GB2312" w:cs="仿宋_GB2312" w:hint="eastAsia"/>
          <w:b/>
          <w:sz w:val="32"/>
          <w:szCs w:val="32"/>
        </w:rPr>
        <w:t>（一）“三公”经费财政拨款支出决算总体情况说明</w:t>
      </w:r>
      <w:bookmarkEnd w:id="33"/>
    </w:p>
    <w:p w:rsidR="00B41DEA" w:rsidRDefault="001E125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2021年“三公”经费财政拨款支出决算为267.66万元，完成预算2.15%，决算数等于预算数。</w:t>
      </w:r>
    </w:p>
    <w:p w:rsidR="00B41DEA" w:rsidRDefault="001E1251">
      <w:pPr>
        <w:spacing w:line="600" w:lineRule="exact"/>
        <w:ind w:firstLine="640"/>
        <w:outlineLvl w:val="2"/>
        <w:rPr>
          <w:rFonts w:ascii="仿宋_GB2312" w:eastAsia="仿宋_GB2312" w:hAnsi="仿宋_GB2312" w:cs="仿宋_GB2312"/>
          <w:b/>
          <w:sz w:val="32"/>
          <w:szCs w:val="32"/>
        </w:rPr>
      </w:pPr>
      <w:bookmarkStart w:id="34" w:name="_Toc15377217"/>
      <w:r>
        <w:rPr>
          <w:rFonts w:ascii="仿宋_GB2312" w:eastAsia="仿宋_GB2312" w:hAnsi="仿宋_GB2312" w:cs="仿宋_GB2312" w:hint="eastAsia"/>
          <w:b/>
          <w:sz w:val="32"/>
          <w:szCs w:val="32"/>
        </w:rPr>
        <w:t>（二）“三公”经费财政拨款支出决算具体情况说明</w:t>
      </w:r>
      <w:bookmarkEnd w:id="34"/>
    </w:p>
    <w:p w:rsidR="00B41DEA" w:rsidRDefault="001E125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2021年“三公”经费财政拨款支出决算中，因公出国（境）费支出决算0万元，占0%；公务用车购置及运行维护费支出决算267.59万元，占99.97%；公务接待费支出决算0.07万元，占0.03%。具体情况如下：</w:t>
      </w:r>
    </w:p>
    <w:p w:rsidR="00B41DEA" w:rsidRDefault="001E125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（图7：“三公”经费财政拨款支出结构）（饼状图）</w:t>
      </w:r>
    </w:p>
    <w:p w:rsidR="00B41DEA" w:rsidRDefault="001E1251">
      <w:pPr>
        <w:pStyle w:val="a4"/>
        <w:spacing w:before="93"/>
        <w:rPr>
          <w:rFonts w:hAnsi="仿宋_GB2312" w:cs="仿宋_GB2312"/>
          <w:sz w:val="32"/>
          <w:szCs w:val="32"/>
        </w:rPr>
      </w:pPr>
      <w:r>
        <w:rPr>
          <w:rFonts w:hAnsi="仿宋_GB2312" w:cs="仿宋_GB2312" w:hint="eastAsia"/>
          <w:noProof/>
          <w:color w:val="000000"/>
          <w:sz w:val="32"/>
          <w:szCs w:val="32"/>
        </w:rPr>
        <w:drawing>
          <wp:anchor distT="0" distB="0" distL="114300" distR="114300" simplePos="0" relativeHeight="251665408" behindDoc="1" locked="0" layoutInCell="1" allowOverlap="1">
            <wp:simplePos x="0" y="0"/>
            <wp:positionH relativeFrom="column">
              <wp:posOffset>227965</wp:posOffset>
            </wp:positionH>
            <wp:positionV relativeFrom="paragraph">
              <wp:posOffset>292100</wp:posOffset>
            </wp:positionV>
            <wp:extent cx="4790440" cy="2047875"/>
            <wp:effectExtent l="0" t="0" r="12065" b="0"/>
            <wp:wrapTight wrapText="bothSides">
              <wp:wrapPolygon edited="0">
                <wp:start x="16492" y="201"/>
                <wp:lineTo x="9019" y="2210"/>
                <wp:lineTo x="9019" y="3215"/>
                <wp:lineTo x="16492" y="3416"/>
                <wp:lineTo x="7817" y="5224"/>
                <wp:lineTo x="6099" y="5827"/>
                <wp:lineTo x="6099" y="6631"/>
                <wp:lineTo x="5669" y="7836"/>
                <wp:lineTo x="5154" y="9645"/>
                <wp:lineTo x="5154" y="13060"/>
                <wp:lineTo x="5927" y="16275"/>
                <wp:lineTo x="6013" y="17481"/>
                <wp:lineTo x="8246" y="17682"/>
                <wp:lineTo x="16492" y="18084"/>
                <wp:lineTo x="21474" y="18084"/>
                <wp:lineTo x="21474" y="201"/>
                <wp:lineTo x="16492" y="201"/>
              </wp:wrapPolygon>
            </wp:wrapTight>
            <wp:docPr id="13" name="对象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B41DEA">
      <w:pPr>
        <w:pStyle w:val="a4"/>
        <w:spacing w:before="93"/>
        <w:rPr>
          <w:rFonts w:ascii="仿宋" w:eastAsia="仿宋" w:hAnsi="仿宋"/>
          <w:sz w:val="32"/>
          <w:szCs w:val="32"/>
        </w:rPr>
      </w:pPr>
    </w:p>
    <w:p w:rsidR="00B41DEA" w:rsidRDefault="001E1251">
      <w:pPr>
        <w:spacing w:line="600" w:lineRule="exact"/>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1.因公出国（境）经费支出</w:t>
      </w:r>
      <w:r>
        <w:rPr>
          <w:rFonts w:ascii="仿宋_GB2312" w:eastAsia="仿宋_GB2312" w:hAnsi="仿宋_GB2312" w:cs="仿宋_GB2312" w:hint="eastAsia"/>
          <w:sz w:val="32"/>
          <w:szCs w:val="32"/>
        </w:rPr>
        <w:t>0万元，</w:t>
      </w:r>
      <w:r>
        <w:rPr>
          <w:rStyle w:val="a7"/>
          <w:rFonts w:ascii="仿宋_GB2312" w:eastAsia="仿宋_GB2312" w:hAnsi="仿宋_GB2312" w:cs="仿宋_GB2312" w:hint="eastAsia"/>
          <w:b w:val="0"/>
          <w:bCs/>
          <w:sz w:val="32"/>
          <w:szCs w:val="32"/>
        </w:rPr>
        <w:t>完成预算0%。</w:t>
      </w:r>
      <w:r>
        <w:rPr>
          <w:rFonts w:ascii="仿宋_GB2312" w:eastAsia="仿宋_GB2312" w:hAnsi="仿宋_GB2312" w:cs="仿宋_GB2312" w:hint="eastAsia"/>
          <w:sz w:val="32"/>
          <w:szCs w:val="32"/>
        </w:rPr>
        <w:t>全年安排因公出国（境）团组0次，出国（境）0人。因公出国（境）支出决算与2020年持平。</w:t>
      </w:r>
    </w:p>
    <w:p w:rsidR="00B41DEA" w:rsidRDefault="001E1251">
      <w:pPr>
        <w:spacing w:line="600" w:lineRule="exact"/>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2.公务用车购置及运行维护费支出</w:t>
      </w:r>
      <w:r>
        <w:rPr>
          <w:rFonts w:ascii="仿宋_GB2312" w:eastAsia="仿宋_GB2312" w:hAnsi="仿宋_GB2312" w:cs="仿宋_GB2312" w:hint="eastAsia"/>
          <w:sz w:val="32"/>
          <w:szCs w:val="32"/>
        </w:rPr>
        <w:t>267.59万元,</w:t>
      </w:r>
      <w:r>
        <w:rPr>
          <w:rStyle w:val="a7"/>
          <w:rFonts w:ascii="仿宋_GB2312" w:eastAsia="仿宋_GB2312" w:hAnsi="仿宋_GB2312" w:cs="仿宋_GB2312" w:hint="eastAsia"/>
          <w:b w:val="0"/>
          <w:bCs/>
          <w:sz w:val="32"/>
          <w:szCs w:val="32"/>
        </w:rPr>
        <w:t>完成预算100%。</w:t>
      </w:r>
      <w:r>
        <w:rPr>
          <w:rFonts w:ascii="仿宋_GB2312" w:eastAsia="仿宋_GB2312" w:hAnsi="仿宋_GB2312" w:cs="仿宋_GB2312" w:hint="eastAsia"/>
          <w:sz w:val="32"/>
          <w:szCs w:val="32"/>
        </w:rPr>
        <w:t>公务用车购置及运行维护费支出决算比2020年减少10.43万元，下降3.75%。主要原因是2021年用于公务用车购置的费用少于2020年。</w:t>
      </w:r>
    </w:p>
    <w:p w:rsidR="00B41DEA" w:rsidRDefault="001E1251">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其中：</w:t>
      </w:r>
      <w:r>
        <w:rPr>
          <w:rFonts w:ascii="仿宋_GB2312" w:eastAsia="仿宋_GB2312" w:hAnsi="仿宋_GB2312" w:cs="仿宋_GB2312" w:hint="eastAsia"/>
          <w:b/>
          <w:sz w:val="32"/>
          <w:szCs w:val="32"/>
        </w:rPr>
        <w:t>公务用车购置支出</w:t>
      </w:r>
      <w:r>
        <w:rPr>
          <w:rFonts w:ascii="仿宋_GB2312" w:eastAsia="仿宋_GB2312" w:hAnsi="仿宋_GB2312" w:cs="仿宋_GB2312" w:hint="eastAsia"/>
          <w:sz w:val="32"/>
          <w:szCs w:val="32"/>
        </w:rPr>
        <w:t>100万元。全年按规定更新购置公务用车辆，其中：轿车11辆、金额100万元，主要用于执勤执法。截至2021年12月底，单位共有公务用车103辆，其中：轿车103辆。</w:t>
      </w:r>
    </w:p>
    <w:p w:rsidR="00B41DEA" w:rsidRDefault="001E125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公务用车运行维护费支出167.59</w:t>
      </w:r>
      <w:r>
        <w:rPr>
          <w:rFonts w:ascii="仿宋_GB2312" w:eastAsia="仿宋_GB2312" w:hAnsi="仿宋_GB2312" w:cs="仿宋_GB2312" w:hint="eastAsia"/>
          <w:sz w:val="32"/>
          <w:szCs w:val="32"/>
        </w:rPr>
        <w:t>万元。主要用于</w:t>
      </w:r>
      <w:r>
        <w:rPr>
          <w:rFonts w:ascii="仿宋_GB2312" w:eastAsia="仿宋_GB2312" w:hAnsi="仿宋_GB2312" w:cs="仿宋_GB2312" w:hint="eastAsia"/>
          <w:color w:val="000000"/>
          <w:sz w:val="32"/>
          <w:szCs w:val="32"/>
        </w:rPr>
        <w:t>主要用于公安办案出差、勘察现场等所需的公务用车燃料费、维修费、过路过桥费、保险费等支出</w:t>
      </w:r>
      <w:r>
        <w:rPr>
          <w:rFonts w:ascii="仿宋_GB2312" w:eastAsia="仿宋_GB2312" w:hAnsi="仿宋_GB2312" w:cs="仿宋_GB2312" w:hint="eastAsia"/>
          <w:sz w:val="32"/>
          <w:szCs w:val="32"/>
        </w:rPr>
        <w:t>。</w:t>
      </w:r>
    </w:p>
    <w:p w:rsidR="00B41DEA" w:rsidRDefault="001E125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3.公务接待费支出</w:t>
      </w:r>
      <w:r>
        <w:rPr>
          <w:rFonts w:ascii="仿宋_GB2312" w:eastAsia="仿宋_GB2312" w:hAnsi="仿宋_GB2312" w:cs="仿宋_GB2312" w:hint="eastAsia"/>
          <w:sz w:val="32"/>
          <w:szCs w:val="32"/>
        </w:rPr>
        <w:t>0.07万元，</w:t>
      </w:r>
      <w:r>
        <w:rPr>
          <w:rStyle w:val="a7"/>
          <w:rFonts w:ascii="仿宋_GB2312" w:eastAsia="仿宋_GB2312" w:hAnsi="仿宋_GB2312" w:cs="仿宋_GB2312" w:hint="eastAsia"/>
          <w:b w:val="0"/>
          <w:bCs/>
          <w:sz w:val="32"/>
          <w:szCs w:val="32"/>
        </w:rPr>
        <w:t>完成预算100%。</w:t>
      </w:r>
      <w:r>
        <w:rPr>
          <w:rFonts w:ascii="仿宋_GB2312" w:eastAsia="仿宋_GB2312" w:hAnsi="仿宋_GB2312" w:cs="仿宋_GB2312" w:hint="eastAsia"/>
          <w:sz w:val="32"/>
          <w:szCs w:val="32"/>
        </w:rPr>
        <w:t>公务接待费支出决算比2020年减少0.04万元，下降36.36%。主要原因是公务接待减少。其中：</w:t>
      </w:r>
    </w:p>
    <w:p w:rsidR="00B41DEA" w:rsidRDefault="001E125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国内公务接待支出</w:t>
      </w:r>
      <w:r>
        <w:rPr>
          <w:rFonts w:ascii="仿宋_GB2312" w:eastAsia="仿宋_GB2312" w:hAnsi="仿宋_GB2312" w:cs="仿宋_GB2312" w:hint="eastAsia"/>
          <w:sz w:val="32"/>
          <w:szCs w:val="32"/>
        </w:rPr>
        <w:t>0.07万元，</w:t>
      </w:r>
      <w:r>
        <w:rPr>
          <w:rFonts w:ascii="仿宋_GB2312" w:eastAsia="仿宋_GB2312" w:hAnsi="仿宋_GB2312" w:cs="仿宋_GB2312" w:hint="eastAsia"/>
          <w:color w:val="000000"/>
          <w:sz w:val="32"/>
          <w:szCs w:val="32"/>
        </w:rPr>
        <w:t>主要</w:t>
      </w:r>
      <w:r>
        <w:rPr>
          <w:rFonts w:ascii="仿宋_GB2312" w:eastAsia="仿宋_GB2312" w:hAnsi="仿宋_GB2312" w:cs="仿宋_GB2312" w:hint="eastAsia"/>
          <w:sz w:val="32"/>
          <w:szCs w:val="32"/>
        </w:rPr>
        <w:t>用于执行公务、开展业务活动开支的用餐费。国内公务接待1批次6人次，共计支出0.07万元，具体内容为餐费。</w:t>
      </w:r>
    </w:p>
    <w:p w:rsidR="00B41DEA" w:rsidRDefault="001E1251">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外事接待支出</w:t>
      </w:r>
      <w:r>
        <w:rPr>
          <w:rFonts w:ascii="仿宋_GB2312" w:eastAsia="仿宋_GB2312" w:hAnsi="仿宋_GB2312" w:cs="仿宋_GB2312" w:hint="eastAsia"/>
          <w:sz w:val="32"/>
          <w:szCs w:val="32"/>
        </w:rPr>
        <w:t>0万元，外事接待0批次，0人，共计支出0万元。</w:t>
      </w:r>
      <w:bookmarkStart w:id="35" w:name="_Toc15396610"/>
      <w:bookmarkStart w:id="36" w:name="_Toc15377218"/>
    </w:p>
    <w:p w:rsidR="00B41DEA" w:rsidRDefault="001E1251">
      <w:pPr>
        <w:spacing w:line="600" w:lineRule="exact"/>
        <w:ind w:firstLine="640"/>
        <w:outlineLvl w:val="1"/>
        <w:rPr>
          <w:rStyle w:val="2Char"/>
          <w:rFonts w:ascii="黑体" w:eastAsia="黑体" w:hAnsi="黑体"/>
        </w:rPr>
      </w:pPr>
      <w:r>
        <w:rPr>
          <w:rFonts w:ascii="黑体" w:eastAsia="黑体" w:hint="eastAsia"/>
          <w:sz w:val="32"/>
          <w:szCs w:val="32"/>
        </w:rPr>
        <w:lastRenderedPageBreak/>
        <w:t>八、</w:t>
      </w:r>
      <w:r>
        <w:rPr>
          <w:rStyle w:val="2Char"/>
          <w:rFonts w:ascii="黑体" w:eastAsia="黑体" w:hAnsi="黑体" w:hint="eastAsia"/>
          <w:b w:val="0"/>
        </w:rPr>
        <w:t>政府性基金预算支出决算情况说明</w:t>
      </w:r>
      <w:bookmarkEnd w:id="35"/>
      <w:bookmarkEnd w:id="36"/>
    </w:p>
    <w:p w:rsidR="00B41DEA" w:rsidRDefault="001E125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B41DEA" w:rsidRDefault="001E1251">
      <w:pPr>
        <w:spacing w:line="600" w:lineRule="exact"/>
        <w:ind w:firstLine="640"/>
        <w:outlineLvl w:val="1"/>
        <w:rPr>
          <w:rFonts w:ascii="黑体" w:eastAsia="黑体"/>
          <w:sz w:val="32"/>
          <w:szCs w:val="32"/>
        </w:rPr>
      </w:pPr>
      <w:bookmarkStart w:id="37" w:name="_Toc15396611"/>
      <w:bookmarkStart w:id="38" w:name="_Toc15377219"/>
      <w:r>
        <w:rPr>
          <w:rFonts w:ascii="黑体" w:eastAsia="黑体" w:hint="eastAsia"/>
          <w:sz w:val="32"/>
          <w:szCs w:val="32"/>
        </w:rPr>
        <w:t>九、国有资本经营预算支出决算情况说明</w:t>
      </w:r>
      <w:bookmarkEnd w:id="37"/>
      <w:bookmarkEnd w:id="38"/>
    </w:p>
    <w:p w:rsidR="00B41DEA" w:rsidRDefault="001E1251">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B41DEA" w:rsidRDefault="001E1251">
      <w:pPr>
        <w:spacing w:line="600" w:lineRule="exact"/>
        <w:ind w:firstLine="640"/>
        <w:outlineLvl w:val="1"/>
        <w:rPr>
          <w:rFonts w:ascii="黑体" w:eastAsia="黑体"/>
          <w:sz w:val="32"/>
          <w:szCs w:val="32"/>
        </w:rPr>
      </w:pPr>
      <w:bookmarkStart w:id="39" w:name="_Toc15396612"/>
      <w:bookmarkStart w:id="40" w:name="_Toc15377221"/>
      <w:r>
        <w:rPr>
          <w:rFonts w:ascii="黑体" w:eastAsia="黑体" w:hint="eastAsia"/>
          <w:sz w:val="32"/>
          <w:szCs w:val="32"/>
        </w:rPr>
        <w:t>十、其他重要事项的情况说明</w:t>
      </w:r>
      <w:bookmarkEnd w:id="39"/>
      <w:bookmarkEnd w:id="40"/>
    </w:p>
    <w:p w:rsidR="00B41DEA" w:rsidRDefault="001E1251">
      <w:pPr>
        <w:spacing w:line="600" w:lineRule="exact"/>
        <w:ind w:firstLineChars="200" w:firstLine="643"/>
        <w:outlineLvl w:val="2"/>
        <w:rPr>
          <w:rFonts w:ascii="仿宋_GB2312" w:eastAsia="仿宋_GB2312" w:hAnsi="仿宋_GB2312" w:cs="仿宋_GB2312"/>
          <w:sz w:val="32"/>
          <w:szCs w:val="32"/>
        </w:rPr>
      </w:pPr>
      <w:bookmarkStart w:id="41" w:name="_Toc15377222"/>
      <w:r>
        <w:rPr>
          <w:rFonts w:ascii="仿宋_GB2312" w:eastAsia="仿宋_GB2312" w:hAnsi="仿宋_GB2312" w:cs="仿宋_GB2312" w:hint="eastAsia"/>
          <w:b/>
          <w:sz w:val="32"/>
          <w:szCs w:val="32"/>
        </w:rPr>
        <w:t>（一）机关运行经费支出情况</w:t>
      </w:r>
      <w:bookmarkEnd w:id="41"/>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w:t>
      </w:r>
      <w:r>
        <w:rPr>
          <w:rFonts w:ascii="仿宋_GB2312" w:eastAsia="仿宋_GB2312" w:hAnsi="仿宋_GB2312" w:cs="仿宋_GB2312" w:hint="eastAsia"/>
          <w:color w:val="000000"/>
          <w:sz w:val="32"/>
          <w:szCs w:val="32"/>
        </w:rPr>
        <w:t>攀枝花市公安局东区分局</w:t>
      </w:r>
      <w:r>
        <w:rPr>
          <w:rFonts w:ascii="仿宋_GB2312" w:eastAsia="仿宋_GB2312" w:hAnsi="仿宋_GB2312" w:cs="仿宋_GB2312" w:hint="eastAsia"/>
          <w:sz w:val="32"/>
          <w:szCs w:val="32"/>
        </w:rPr>
        <w:t>机关运行经费支出</w:t>
      </w:r>
      <w:r>
        <w:rPr>
          <w:rFonts w:ascii="仿宋_GB2312" w:eastAsia="仿宋_GB2312" w:hAnsi="仿宋_GB2312" w:cs="仿宋_GB2312" w:hint="eastAsia"/>
          <w:color w:val="000000"/>
          <w:sz w:val="32"/>
          <w:szCs w:val="32"/>
        </w:rPr>
        <w:t>1610.43万元，比2020年的1178.13万元增加432.3万元，增长36.69%。主要原因</w:t>
      </w:r>
      <w:r>
        <w:rPr>
          <w:rFonts w:ascii="仿宋_GB2312" w:eastAsia="仿宋_GB2312" w:hAnsi="仿宋_GB2312" w:cs="仿宋_GB2312" w:hint="eastAsia"/>
          <w:sz w:val="32"/>
          <w:szCs w:val="32"/>
        </w:rPr>
        <w:t>是按照《攀枝花市财政局关于2021年市级部门预算的批复》攀财资预【2021】1号文件精神，市财政局将公安业务保障经费下达在办公费中，导致年度办公费同比增加了333.42万元，增加了攀枝花市公安局东区分局部门全年机关运行经费。</w:t>
      </w:r>
    </w:p>
    <w:p w:rsidR="00B41DEA" w:rsidRDefault="001E1251">
      <w:pPr>
        <w:autoSpaceDE w:val="0"/>
        <w:autoSpaceDN w:val="0"/>
        <w:adjustRightInd w:val="0"/>
        <w:spacing w:line="600" w:lineRule="exact"/>
        <w:ind w:firstLineChars="200" w:firstLine="643"/>
        <w:jc w:val="left"/>
        <w:outlineLvl w:val="2"/>
        <w:rPr>
          <w:rFonts w:ascii="仿宋_GB2312" w:eastAsia="仿宋_GB2312" w:hAnsi="仿宋_GB2312" w:cs="仿宋_GB2312"/>
          <w:b/>
          <w:sz w:val="32"/>
          <w:szCs w:val="32"/>
        </w:rPr>
      </w:pPr>
      <w:bookmarkStart w:id="42" w:name="_Toc15377223"/>
      <w:r>
        <w:rPr>
          <w:rFonts w:ascii="仿宋_GB2312" w:eastAsia="仿宋_GB2312" w:hAnsi="仿宋_GB2312" w:cs="仿宋_GB2312" w:hint="eastAsia"/>
          <w:b/>
          <w:sz w:val="32"/>
          <w:szCs w:val="32"/>
        </w:rPr>
        <w:t>（二）政府采购支出情况</w:t>
      </w:r>
      <w:bookmarkEnd w:id="42"/>
    </w:p>
    <w:p w:rsidR="00B41DEA" w:rsidRDefault="001E125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2021年，不涉及政府采购。</w:t>
      </w:r>
    </w:p>
    <w:p w:rsidR="00B41DEA" w:rsidRDefault="001E1251">
      <w:pPr>
        <w:autoSpaceDE w:val="0"/>
        <w:autoSpaceDN w:val="0"/>
        <w:adjustRightInd w:val="0"/>
        <w:spacing w:line="600" w:lineRule="exact"/>
        <w:ind w:firstLineChars="200" w:firstLine="643"/>
        <w:jc w:val="left"/>
        <w:outlineLvl w:val="2"/>
        <w:rPr>
          <w:rFonts w:ascii="仿宋_GB2312" w:eastAsia="仿宋_GB2312" w:hAnsi="仿宋_GB2312" w:cs="仿宋_GB2312"/>
          <w:b/>
          <w:sz w:val="32"/>
          <w:szCs w:val="32"/>
        </w:rPr>
      </w:pPr>
      <w:bookmarkStart w:id="43" w:name="_Toc15377224"/>
      <w:r>
        <w:rPr>
          <w:rFonts w:ascii="仿宋_GB2312" w:eastAsia="仿宋_GB2312" w:hAnsi="仿宋_GB2312" w:cs="仿宋_GB2312" w:hint="eastAsia"/>
          <w:b/>
          <w:sz w:val="32"/>
          <w:szCs w:val="32"/>
        </w:rPr>
        <w:t>（三）国有资产占有使用情况</w:t>
      </w:r>
      <w:bookmarkEnd w:id="43"/>
    </w:p>
    <w:p w:rsidR="00B41DEA" w:rsidRDefault="001E1251">
      <w:pPr>
        <w:autoSpaceDE w:val="0"/>
        <w:autoSpaceDN w:val="0"/>
        <w:adjustRightIn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截至2021年12月31日，攀枝花市公安局东区分局共有车辆103辆，其中：执法勤务用车103辆。</w:t>
      </w:r>
    </w:p>
    <w:p w:rsidR="00B41DEA" w:rsidRDefault="001E1251">
      <w:pPr>
        <w:autoSpaceDE w:val="0"/>
        <w:autoSpaceDN w:val="0"/>
        <w:adjustRightInd w:val="0"/>
        <w:spacing w:line="600" w:lineRule="exact"/>
        <w:ind w:firstLineChars="200" w:firstLine="643"/>
        <w:jc w:val="left"/>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（四）预算绩效管理情况</w:t>
      </w:r>
    </w:p>
    <w:p w:rsidR="00B41DEA" w:rsidRDefault="001E125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2021年市级挂职干部人才补助、援藏援彝干部补助等2个项目开展了预算事前绩效评估，对该两个项目编制了绩效目标，预算执行过程中，选取2个项目开展绩效</w:t>
      </w:r>
      <w:r>
        <w:rPr>
          <w:rFonts w:ascii="仿宋_GB2312" w:eastAsia="仿宋_GB2312" w:hAnsi="仿宋_GB2312" w:cs="仿宋_GB2312" w:hint="eastAsia"/>
          <w:sz w:val="32"/>
          <w:szCs w:val="32"/>
        </w:rPr>
        <w:lastRenderedPageBreak/>
        <w:t>监控，年终执行完毕后，对2个项目开展了绩效自评，2021年特定目标类部门预算项目绩效目标自评表见附件（第四部分）。</w:t>
      </w:r>
    </w:p>
    <w:p w:rsidR="00B41DEA" w:rsidRDefault="001E1251">
      <w:pPr>
        <w:widowControl/>
        <w:jc w:val="left"/>
        <w:rPr>
          <w:rFonts w:ascii="仿宋_GB2312" w:eastAsia="仿宋_GB2312"/>
          <w:b/>
          <w:sz w:val="32"/>
          <w:szCs w:val="32"/>
        </w:rPr>
      </w:pPr>
      <w:r>
        <w:rPr>
          <w:rFonts w:ascii="仿宋_GB2312" w:eastAsia="仿宋_GB2312"/>
          <w:b/>
          <w:sz w:val="32"/>
          <w:szCs w:val="32"/>
        </w:rPr>
        <w:br w:type="page"/>
      </w:r>
    </w:p>
    <w:p w:rsidR="00B41DEA" w:rsidRDefault="001E1251">
      <w:pPr>
        <w:pStyle w:val="1"/>
        <w:spacing w:before="0" w:after="0"/>
        <w:jc w:val="center"/>
        <w:rPr>
          <w:rFonts w:ascii="黑体" w:eastAsia="黑体" w:hAnsi="黑体"/>
          <w:b w:val="0"/>
        </w:rPr>
      </w:pPr>
      <w:bookmarkStart w:id="44" w:name="_Toc15396613"/>
      <w:bookmarkStart w:id="45" w:name="_Toc15377225"/>
      <w:r>
        <w:rPr>
          <w:rFonts w:ascii="黑体" w:eastAsia="黑体" w:hAnsi="黑体" w:hint="eastAsia"/>
          <w:b w:val="0"/>
        </w:rPr>
        <w:lastRenderedPageBreak/>
        <w:t>第三部分  名词解释</w:t>
      </w:r>
      <w:bookmarkEnd w:id="44"/>
      <w:bookmarkEnd w:id="45"/>
    </w:p>
    <w:p w:rsidR="00B41DEA" w:rsidRDefault="00B41DEA">
      <w:pPr>
        <w:spacing w:line="600" w:lineRule="exact"/>
        <w:jc w:val="left"/>
        <w:rPr>
          <w:rFonts w:ascii="宋体"/>
          <w:b/>
          <w:sz w:val="44"/>
          <w:szCs w:val="44"/>
        </w:rPr>
      </w:pPr>
    </w:p>
    <w:p w:rsidR="00B41DEA" w:rsidRDefault="001E1251">
      <w:pPr>
        <w:pStyle w:val="Default"/>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1.财政拨款收入：指单位从同级财政部门取得的财政预算资金。</w:t>
      </w:r>
    </w:p>
    <w:p w:rsidR="00B41DEA" w:rsidRDefault="001E12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2.一般公共服务支出-组织事务-其他组织事务支出：反映除上述项目以外其他用于中国共产党组织部门的事务支出。</w:t>
      </w:r>
    </w:p>
    <w:p w:rsidR="00B41DEA" w:rsidRDefault="001E12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3.公共安全支出-公安-行政运行：指行政单位（包括实行公务员管理的事业单位）的基本支出。</w:t>
      </w:r>
    </w:p>
    <w:p w:rsidR="00B41DEA" w:rsidRDefault="001E12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Style w:val="a7"/>
          <w:rFonts w:ascii="仿宋_GB2312" w:eastAsia="仿宋_GB2312" w:hAnsi="仿宋_GB2312" w:cs="仿宋_GB2312" w:hint="eastAsia"/>
          <w:b w:val="0"/>
          <w:color w:val="000000"/>
          <w:sz w:val="32"/>
          <w:szCs w:val="32"/>
        </w:rPr>
        <w:t xml:space="preserve"> 公共安全支出-公安-一般行政管理事务</w:t>
      </w:r>
      <w:r>
        <w:rPr>
          <w:rFonts w:ascii="仿宋_GB2312" w:eastAsia="仿宋_GB2312" w:hAnsi="仿宋_GB2312" w:cs="仿宋_GB2312" w:hint="eastAsia"/>
          <w:color w:val="000000"/>
          <w:sz w:val="32"/>
          <w:szCs w:val="32"/>
        </w:rPr>
        <w:t>：指行政单位（包括实行公务员管理的事业单位）未单独设置项级科目的其他项目支出。</w:t>
      </w:r>
    </w:p>
    <w:p w:rsidR="00B41DEA" w:rsidRDefault="001E1251">
      <w:pPr>
        <w:ind w:firstLineChars="200" w:firstLine="640"/>
        <w:rPr>
          <w:rStyle w:val="a7"/>
          <w:rFonts w:ascii="仿宋_GB2312" w:eastAsia="仿宋_GB2312" w:hAnsi="仿宋_GB2312" w:cs="仿宋_GB2312"/>
          <w:b w:val="0"/>
          <w:color w:val="000000"/>
          <w:sz w:val="32"/>
          <w:szCs w:val="32"/>
        </w:rPr>
      </w:pPr>
      <w:r>
        <w:rPr>
          <w:rFonts w:ascii="仿宋_GB2312" w:eastAsia="仿宋_GB2312" w:hAnsi="仿宋_GB2312" w:cs="仿宋_GB2312" w:hint="eastAsia"/>
          <w:color w:val="000000"/>
          <w:sz w:val="32"/>
          <w:szCs w:val="32"/>
        </w:rPr>
        <w:t>5.</w:t>
      </w:r>
      <w:r>
        <w:rPr>
          <w:rStyle w:val="a7"/>
          <w:rFonts w:ascii="仿宋_GB2312" w:eastAsia="仿宋_GB2312" w:hAnsi="仿宋_GB2312" w:cs="仿宋_GB2312" w:hint="eastAsia"/>
          <w:b w:val="0"/>
          <w:color w:val="000000"/>
          <w:sz w:val="32"/>
          <w:szCs w:val="32"/>
        </w:rPr>
        <w:t>社会保障和就业支出-行政事业单位离退休：反映实行归口管理的行政单位开支的离退休支出。</w:t>
      </w:r>
    </w:p>
    <w:p w:rsidR="00B41DEA" w:rsidRDefault="001E1251">
      <w:pPr>
        <w:ind w:firstLineChars="200" w:firstLine="640"/>
        <w:rPr>
          <w:rStyle w:val="a7"/>
          <w:rFonts w:ascii="仿宋_GB2312" w:eastAsia="仿宋_GB2312" w:hAnsi="仿宋_GB2312" w:cs="仿宋_GB2312"/>
          <w:b w:val="0"/>
          <w:color w:val="000000"/>
          <w:sz w:val="32"/>
          <w:szCs w:val="32"/>
        </w:rPr>
      </w:pPr>
      <w:r>
        <w:rPr>
          <w:rFonts w:ascii="仿宋_GB2312" w:eastAsia="仿宋_GB2312" w:hAnsi="仿宋_GB2312" w:cs="仿宋_GB2312" w:hint="eastAsia"/>
          <w:color w:val="000000"/>
          <w:sz w:val="32"/>
          <w:szCs w:val="32"/>
        </w:rPr>
        <w:t xml:space="preserve">6. </w:t>
      </w:r>
      <w:r>
        <w:rPr>
          <w:rStyle w:val="a7"/>
          <w:rFonts w:ascii="仿宋_GB2312" w:eastAsia="仿宋_GB2312" w:hAnsi="仿宋_GB2312" w:cs="仿宋_GB2312" w:hint="eastAsia"/>
          <w:b w:val="0"/>
          <w:color w:val="000000"/>
          <w:sz w:val="32"/>
          <w:szCs w:val="32"/>
        </w:rPr>
        <w:t>社会保障和就业支出-机关事业单位基本养老保险费支出：反映机关事业单位实施养老保险制度由单位缴纳的基本养老保险费支出。</w:t>
      </w:r>
    </w:p>
    <w:p w:rsidR="00B41DEA" w:rsidRDefault="001E1251">
      <w:pPr>
        <w:ind w:firstLineChars="200" w:firstLine="640"/>
        <w:rPr>
          <w:rStyle w:val="a7"/>
          <w:rFonts w:ascii="仿宋_GB2312" w:eastAsia="仿宋_GB2312" w:hAnsi="仿宋_GB2312" w:cs="仿宋_GB2312"/>
          <w:b w:val="0"/>
          <w:color w:val="000000"/>
          <w:sz w:val="32"/>
          <w:szCs w:val="32"/>
        </w:rPr>
      </w:pPr>
      <w:r>
        <w:rPr>
          <w:rFonts w:ascii="仿宋_GB2312" w:eastAsia="仿宋_GB2312" w:hAnsi="仿宋_GB2312" w:cs="仿宋_GB2312" w:hint="eastAsia"/>
          <w:color w:val="000000"/>
          <w:sz w:val="32"/>
          <w:szCs w:val="32"/>
        </w:rPr>
        <w:t>7</w:t>
      </w:r>
      <w:r>
        <w:rPr>
          <w:rStyle w:val="a7"/>
          <w:rFonts w:ascii="仿宋_GB2312" w:eastAsia="仿宋_GB2312" w:hAnsi="仿宋_GB2312" w:cs="仿宋_GB2312" w:hint="eastAsia"/>
          <w:b w:val="0"/>
          <w:color w:val="000000"/>
          <w:sz w:val="32"/>
          <w:szCs w:val="32"/>
        </w:rPr>
        <w:t>. 社会保障和就业支出-抚恤-死亡抚恤：反映按规定用于烈士和牺牲、病故人员家属的一次性和定期抚恤金以及丧葬补助费。</w:t>
      </w:r>
    </w:p>
    <w:p w:rsidR="00B41DEA" w:rsidRDefault="001E12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Style w:val="a7"/>
          <w:rFonts w:ascii="仿宋_GB2312" w:eastAsia="仿宋_GB2312" w:hAnsi="仿宋_GB2312" w:cs="仿宋_GB2312" w:hint="eastAsia"/>
          <w:b w:val="0"/>
          <w:color w:val="000000"/>
          <w:sz w:val="32"/>
          <w:szCs w:val="32"/>
        </w:rPr>
        <w:t>住房保障支出-住房改革支出-住房公积金：反映行政事业单位按人力资源和社会保障部、财政部规定的基本工资</w:t>
      </w:r>
      <w:r>
        <w:rPr>
          <w:rStyle w:val="a7"/>
          <w:rFonts w:ascii="仿宋_GB2312" w:eastAsia="仿宋_GB2312" w:hAnsi="仿宋_GB2312" w:cs="仿宋_GB2312" w:hint="eastAsia"/>
          <w:b w:val="0"/>
          <w:color w:val="000000"/>
          <w:sz w:val="32"/>
          <w:szCs w:val="32"/>
        </w:rPr>
        <w:lastRenderedPageBreak/>
        <w:t>和津补贴以及规定比例为职工缴纳的住房公积金</w:t>
      </w:r>
      <w:r>
        <w:rPr>
          <w:rFonts w:ascii="仿宋_GB2312" w:eastAsia="仿宋_GB2312" w:hAnsi="仿宋_GB2312" w:cs="仿宋_GB2312" w:hint="eastAsia"/>
          <w:b/>
          <w:color w:val="000000"/>
          <w:sz w:val="32"/>
          <w:szCs w:val="32"/>
        </w:rPr>
        <w:t>。</w:t>
      </w:r>
    </w:p>
    <w:p w:rsidR="00B41DEA" w:rsidRDefault="001E12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9.基本支出：指为保障机构正常运转、完成日常工作任务而发生的人员支出和公用支出。</w:t>
      </w:r>
    </w:p>
    <w:p w:rsidR="00B41DEA" w:rsidRDefault="001E12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10.项目支出：指在基本支出之外为完成特定行政任务和事业发展目标所发生的支出。</w:t>
      </w:r>
    </w:p>
    <w:p w:rsidR="00B41DEA" w:rsidRDefault="001E1251">
      <w:pPr>
        <w:pStyle w:val="Defaul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41DEA" w:rsidRDefault="001E1251">
      <w:pPr>
        <w:pStyle w:val="Default"/>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41DEA" w:rsidRDefault="00B41DEA">
      <w:pPr>
        <w:pStyle w:val="Default"/>
        <w:spacing w:line="560" w:lineRule="exact"/>
        <w:ind w:firstLineChars="200" w:firstLine="640"/>
        <w:rPr>
          <w:rFonts w:ascii="仿宋_GB2312" w:eastAsia="仿宋_GB2312" w:hAnsi="仿宋_GB2312" w:cs="仿宋_GB2312"/>
          <w:color w:val="auto"/>
          <w:sz w:val="32"/>
          <w:szCs w:val="32"/>
        </w:rPr>
      </w:pPr>
    </w:p>
    <w:p w:rsidR="00B41DEA" w:rsidRDefault="001E1251">
      <w:pPr>
        <w:spacing w:line="600" w:lineRule="exact"/>
        <w:jc w:val="center"/>
        <w:outlineLvl w:val="0"/>
        <w:rPr>
          <w:rStyle w:val="1Char"/>
          <w:rFonts w:ascii="黑体" w:eastAsia="黑体" w:hAnsi="黑体"/>
          <w:b w:val="0"/>
        </w:rPr>
      </w:pPr>
      <w:bookmarkStart w:id="46" w:name="_Toc15377226"/>
      <w:r>
        <w:rPr>
          <w:rFonts w:ascii="仿宋_GB2312" w:eastAsia="仿宋_GB2312" w:hAnsi="仿宋_GB2312" w:cs="仿宋_GB2312" w:hint="eastAsia"/>
          <w:b/>
          <w:sz w:val="44"/>
          <w:szCs w:val="44"/>
        </w:rPr>
        <w:br w:type="page"/>
      </w:r>
      <w:bookmarkStart w:id="47"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47"/>
    </w:p>
    <w:p w:rsidR="00B41DEA" w:rsidRDefault="001E1251">
      <w:pPr>
        <w:spacing w:line="572" w:lineRule="exact"/>
        <w:jc w:val="left"/>
        <w:outlineLvl w:val="0"/>
        <w:rPr>
          <w:rFonts w:ascii="仿宋_GB2312" w:eastAsia="仿宋_GB2312" w:hAnsi="仿宋_GB2312" w:cs="仿宋_GB2312"/>
          <w:sz w:val="30"/>
          <w:szCs w:val="30"/>
        </w:rPr>
      </w:pPr>
      <w:r>
        <w:rPr>
          <w:rFonts w:ascii="黑体" w:eastAsia="黑体" w:hAnsi="黑体" w:cs="黑体" w:hint="eastAsia"/>
          <w:sz w:val="30"/>
          <w:szCs w:val="30"/>
        </w:rPr>
        <w:t>附件1</w:t>
      </w:r>
    </w:p>
    <w:tbl>
      <w:tblPr>
        <w:tblpPr w:leftFromText="180" w:rightFromText="180" w:vertAnchor="text" w:horzAnchor="page" w:tblpX="1281" w:tblpY="660"/>
        <w:tblOverlap w:val="never"/>
        <w:tblW w:w="9811" w:type="dxa"/>
        <w:tblLayout w:type="fixed"/>
        <w:tblLook w:val="04A0"/>
      </w:tblPr>
      <w:tblGrid>
        <w:gridCol w:w="1976"/>
        <w:gridCol w:w="1141"/>
        <w:gridCol w:w="1238"/>
        <w:gridCol w:w="1202"/>
        <w:gridCol w:w="1963"/>
        <w:gridCol w:w="2055"/>
        <w:gridCol w:w="236"/>
      </w:tblGrid>
      <w:tr w:rsidR="00B41DEA">
        <w:trPr>
          <w:trHeight w:val="675"/>
        </w:trPr>
        <w:tc>
          <w:tcPr>
            <w:tcW w:w="9575" w:type="dxa"/>
            <w:gridSpan w:val="6"/>
            <w:tcBorders>
              <w:top w:val="nil"/>
              <w:left w:val="nil"/>
              <w:bottom w:val="nil"/>
              <w:right w:val="nil"/>
            </w:tcBorders>
            <w:shd w:val="clear" w:color="auto" w:fill="auto"/>
            <w:vAlign w:val="center"/>
          </w:tcPr>
          <w:p w:rsidR="00B41DEA" w:rsidRDefault="001E1251">
            <w:pPr>
              <w:widowControl/>
              <w:ind w:firstLineChars="200" w:firstLine="643"/>
              <w:textAlignment w:val="center"/>
              <w:rPr>
                <w:rFonts w:ascii="宋体" w:hAnsi="宋体" w:cs="宋体"/>
                <w:b/>
                <w:sz w:val="32"/>
                <w:szCs w:val="32"/>
              </w:rPr>
            </w:pPr>
            <w:bookmarkStart w:id="48" w:name="_Toc15396618"/>
            <w:r>
              <w:rPr>
                <w:rFonts w:ascii="宋体" w:hAnsi="宋体" w:cs="宋体" w:hint="eastAsia"/>
                <w:b/>
                <w:sz w:val="32"/>
                <w:szCs w:val="32"/>
              </w:rPr>
              <w:t>2021年市级挂职干部（人才）补助预算项目绩效目标自评</w:t>
            </w:r>
          </w:p>
        </w:tc>
        <w:tc>
          <w:tcPr>
            <w:tcW w:w="236" w:type="dxa"/>
            <w:tcBorders>
              <w:top w:val="nil"/>
              <w:left w:val="nil"/>
              <w:bottom w:val="nil"/>
              <w:right w:val="nil"/>
            </w:tcBorders>
            <w:shd w:val="clear" w:color="auto" w:fill="auto"/>
            <w:vAlign w:val="center"/>
          </w:tcPr>
          <w:p w:rsidR="00B41DEA" w:rsidRDefault="00B41DEA">
            <w:pPr>
              <w:widowControl/>
              <w:jc w:val="center"/>
              <w:textAlignment w:val="center"/>
              <w:rPr>
                <w:rFonts w:ascii="宋体" w:hAnsi="宋体" w:cs="宋体"/>
                <w:b/>
                <w:kern w:val="0"/>
                <w:sz w:val="32"/>
                <w:szCs w:val="32"/>
              </w:rPr>
            </w:pPr>
          </w:p>
        </w:tc>
      </w:tr>
      <w:tr w:rsidR="00B41DEA">
        <w:trPr>
          <w:gridAfter w:val="1"/>
          <w:wAfter w:w="236" w:type="dxa"/>
          <w:trHeight w:val="254"/>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主管部门及代码</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ind w:left="520" w:hangingChars="400" w:hanging="520"/>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攀枝花市公安局东区分局128002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实施单位</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ind w:left="390" w:hangingChars="300" w:hanging="390"/>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攀枝花市公安局             东区公安分局</w:t>
            </w:r>
          </w:p>
        </w:tc>
      </w:tr>
      <w:tr w:rsidR="00B41DEA">
        <w:trPr>
          <w:gridAfter w:val="1"/>
          <w:wAfter w:w="236" w:type="dxa"/>
          <w:trHeight w:val="341"/>
        </w:trPr>
        <w:tc>
          <w:tcPr>
            <w:tcW w:w="31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项目预算</w:t>
            </w:r>
            <w:r>
              <w:rPr>
                <w:rFonts w:asciiTheme="minorEastAsia" w:eastAsiaTheme="minorEastAsia" w:hAnsiTheme="minorEastAsia" w:cstheme="minorEastAsia" w:hint="eastAsia"/>
                <w:kern w:val="0"/>
                <w:sz w:val="13"/>
                <w:szCs w:val="13"/>
              </w:rPr>
              <w:br/>
              <w:t>执行情况</w:t>
            </w:r>
            <w:r>
              <w:rPr>
                <w:rFonts w:asciiTheme="minorEastAsia" w:eastAsiaTheme="minorEastAsia" w:hAnsiTheme="minorEastAsia" w:cstheme="minorEastAsia" w:hint="eastAsia"/>
                <w:kern w:val="0"/>
                <w:sz w:val="13"/>
                <w:szCs w:val="13"/>
              </w:rPr>
              <w:br/>
              <w:t>（万元）</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 xml:space="preserve"> 预算数：</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0.44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 xml:space="preserve"> 执行数：</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0.44</w:t>
            </w:r>
          </w:p>
        </w:tc>
      </w:tr>
      <w:tr w:rsidR="00B41DEA">
        <w:trPr>
          <w:gridAfter w:val="1"/>
          <w:wAfter w:w="236" w:type="dxa"/>
          <w:trHeight w:val="555"/>
        </w:trPr>
        <w:tc>
          <w:tcPr>
            <w:tcW w:w="31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其中：</w:t>
            </w:r>
          </w:p>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财政拨款</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0.44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其中：</w:t>
            </w:r>
          </w:p>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财政拨款</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0.44</w:t>
            </w:r>
          </w:p>
        </w:tc>
      </w:tr>
      <w:tr w:rsidR="00B41DEA">
        <w:trPr>
          <w:gridAfter w:val="1"/>
          <w:wAfter w:w="236" w:type="dxa"/>
          <w:trHeight w:val="341"/>
        </w:trPr>
        <w:tc>
          <w:tcPr>
            <w:tcW w:w="31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其他资金</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widowControl/>
              <w:spacing w:line="320" w:lineRule="exact"/>
              <w:jc w:val="left"/>
              <w:textAlignment w:val="center"/>
              <w:rPr>
                <w:rFonts w:asciiTheme="minorEastAsia" w:eastAsiaTheme="minorEastAsia" w:hAnsiTheme="minorEastAsia" w:cstheme="minorEastAsia"/>
                <w:sz w:val="13"/>
                <w:szCs w:val="13"/>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其他资金</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widowControl/>
              <w:spacing w:line="320" w:lineRule="exact"/>
              <w:jc w:val="center"/>
              <w:textAlignment w:val="center"/>
              <w:rPr>
                <w:rFonts w:asciiTheme="minorEastAsia" w:eastAsiaTheme="minorEastAsia" w:hAnsiTheme="minorEastAsia" w:cstheme="minorEastAsia"/>
                <w:sz w:val="13"/>
                <w:szCs w:val="13"/>
              </w:rPr>
            </w:pPr>
          </w:p>
        </w:tc>
      </w:tr>
      <w:tr w:rsidR="00B41DEA">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年度总体目标</w:t>
            </w:r>
          </w:p>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完成情况</w:t>
            </w: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预期目标</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目标实际完成情况</w:t>
            </w:r>
          </w:p>
        </w:tc>
      </w:tr>
      <w:tr w:rsidR="00B41DEA">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tcPr>
          <w:p w:rsidR="00B41DEA" w:rsidRDefault="001E1251">
            <w:pPr>
              <w:widowControl/>
              <w:spacing w:line="320" w:lineRule="exact"/>
              <w:jc w:val="left"/>
              <w:textAlignment w:val="top"/>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掌握信访工作主动权，提高工作效率，做好群众工作，解决合理诉求，确保社会稳定。</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Pr>
          <w:p w:rsidR="00B41DEA" w:rsidRDefault="001E1251">
            <w:pPr>
              <w:widowControl/>
              <w:spacing w:line="320" w:lineRule="exact"/>
              <w:jc w:val="left"/>
              <w:textAlignment w:val="top"/>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充分发挥了信访工作人员的作用，对于社会稳定起到了重要作用。</w:t>
            </w:r>
          </w:p>
        </w:tc>
      </w:tr>
      <w:tr w:rsidR="00B41DEA">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年度绩效指标完成情况</w:t>
            </w:r>
          </w:p>
        </w:tc>
        <w:tc>
          <w:tcPr>
            <w:tcW w:w="1141" w:type="dxa"/>
            <w:tcBorders>
              <w:top w:val="single" w:sz="4" w:space="0" w:color="000000"/>
              <w:left w:val="nil"/>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一级</w:t>
            </w:r>
          </w:p>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二级</w:t>
            </w:r>
          </w:p>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三级</w:t>
            </w:r>
          </w:p>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预期指标值</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实际完成指标值</w:t>
            </w:r>
          </w:p>
        </w:tc>
      </w:tr>
      <w:tr w:rsidR="00B41DEA">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bottom"/>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完成</w:t>
            </w:r>
          </w:p>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数量指标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省驻京信访工作</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干部1名</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干部1名</w:t>
            </w:r>
          </w:p>
        </w:tc>
      </w:tr>
      <w:tr w:rsidR="00B41DEA">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质量指标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选派要求</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选派具有应对紧急事态、处理复杂问题和做群众工作能力的干部</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选派民警较好地完成了该项任务</w:t>
            </w:r>
          </w:p>
        </w:tc>
      </w:tr>
      <w:tr w:rsidR="00B41DEA">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时效指标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时间</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2021.5.6-2021.6.30</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2021.5.6-2021.6.30</w:t>
            </w:r>
          </w:p>
        </w:tc>
      </w:tr>
      <w:tr w:rsidR="00B41DEA">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238" w:type="dxa"/>
            <w:vMerge w:val="restart"/>
            <w:tcBorders>
              <w:top w:val="single" w:sz="4" w:space="0" w:color="000000"/>
              <w:left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成本指标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生活补贴</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60元/天</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补贴天数40天，合计2400元</w:t>
            </w:r>
          </w:p>
        </w:tc>
      </w:tr>
      <w:tr w:rsidR="00B41DEA">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238" w:type="dxa"/>
            <w:vMerge/>
            <w:tcBorders>
              <w:left w:val="single" w:sz="4" w:space="0" w:color="000000"/>
              <w:bottom w:val="single" w:sz="4" w:space="0" w:color="000000"/>
              <w:right w:val="single" w:sz="4" w:space="0" w:color="000000"/>
            </w:tcBorders>
            <w:shd w:val="clear" w:color="auto" w:fill="auto"/>
            <w:vAlign w:val="bottom"/>
          </w:tcPr>
          <w:p w:rsidR="00B41DEA" w:rsidRDefault="00B41DEA">
            <w:pPr>
              <w:widowControl/>
              <w:spacing w:line="320" w:lineRule="exact"/>
              <w:jc w:val="center"/>
              <w:textAlignment w:val="bottom"/>
              <w:rPr>
                <w:rFonts w:asciiTheme="minorEastAsia" w:eastAsiaTheme="minorEastAsia" w:hAnsiTheme="minorEastAsia" w:cstheme="minorEastAsia"/>
                <w:sz w:val="13"/>
                <w:szCs w:val="13"/>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一次性补助</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2000元</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一次性划拨2000元</w:t>
            </w:r>
          </w:p>
        </w:tc>
      </w:tr>
      <w:tr w:rsidR="00B41DEA">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效益</w:t>
            </w:r>
            <w:r>
              <w:rPr>
                <w:rFonts w:asciiTheme="minorEastAsia" w:eastAsiaTheme="minorEastAsia" w:hAnsiTheme="minorEastAsia" w:cstheme="minorEastAsia" w:hint="eastAsia"/>
                <w:kern w:val="0"/>
                <w:sz w:val="13"/>
                <w:szCs w:val="13"/>
              </w:rPr>
              <w:br/>
              <w:t>指标</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经济效益  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工作成效</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最大化提高资金利用率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所起作用达到了预期目标</w:t>
            </w:r>
          </w:p>
        </w:tc>
      </w:tr>
      <w:tr w:rsidR="00B41DEA">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社会效益  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工作成效</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做好群众工作，解决合理诉求，确保社会稳定</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所起作用达到了预期目标</w:t>
            </w:r>
          </w:p>
        </w:tc>
      </w:tr>
      <w:tr w:rsidR="00B41DEA">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ind w:leftChars="87" w:left="313" w:hangingChars="100" w:hanging="130"/>
              <w:jc w:val="left"/>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生态效益  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工作成效</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促进形成良好的社会生态</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所起作用达到了预期目标</w:t>
            </w:r>
          </w:p>
        </w:tc>
      </w:tr>
      <w:tr w:rsidR="00B41DEA">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可持续影响 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持续性</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挂职锻炼时间从2021.5.6到2022.5.5</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2021年已经完成了挂职锻炼工作</w:t>
            </w:r>
          </w:p>
        </w:tc>
      </w:tr>
      <w:tr w:rsidR="00B41DEA">
        <w:trPr>
          <w:gridAfter w:val="1"/>
          <w:wAfter w:w="236" w:type="dxa"/>
          <w:trHeight w:val="53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满意</w:t>
            </w:r>
            <w:r>
              <w:rPr>
                <w:rFonts w:asciiTheme="minorEastAsia" w:eastAsiaTheme="minorEastAsia" w:hAnsiTheme="minorEastAsia" w:cstheme="minorEastAsia" w:hint="eastAsia"/>
                <w:kern w:val="0"/>
                <w:sz w:val="13"/>
                <w:szCs w:val="13"/>
              </w:rPr>
              <w:br/>
              <w:t>度指标</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满意度</w:t>
            </w:r>
          </w:p>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满意度评价</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挂职单位评价满意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得到挂职单位的满意评价</w:t>
            </w:r>
          </w:p>
        </w:tc>
      </w:tr>
    </w:tbl>
    <w:p w:rsidR="00B41DEA" w:rsidRDefault="00B41DEA">
      <w:pPr>
        <w:spacing w:line="600" w:lineRule="exact"/>
        <w:jc w:val="center"/>
        <w:outlineLvl w:val="0"/>
        <w:rPr>
          <w:rFonts w:ascii="黑体" w:eastAsia="黑体" w:hAnsi="黑体"/>
          <w:sz w:val="13"/>
          <w:szCs w:val="13"/>
        </w:rPr>
      </w:pPr>
    </w:p>
    <w:p w:rsidR="00B41DEA" w:rsidRDefault="00B41DEA">
      <w:pPr>
        <w:pStyle w:val="a0"/>
        <w:rPr>
          <w:rFonts w:ascii="黑体" w:eastAsia="黑体" w:hAnsi="黑体"/>
          <w:sz w:val="13"/>
          <w:szCs w:val="13"/>
        </w:rPr>
      </w:pPr>
    </w:p>
    <w:p w:rsidR="00B41DEA" w:rsidRDefault="00B41DEA">
      <w:pPr>
        <w:pStyle w:val="a0"/>
        <w:rPr>
          <w:rFonts w:ascii="黑体" w:eastAsia="黑体" w:hAnsi="黑体"/>
          <w:sz w:val="44"/>
          <w:szCs w:val="44"/>
        </w:rPr>
      </w:pPr>
    </w:p>
    <w:p w:rsidR="00B41DEA" w:rsidRDefault="00B41DEA">
      <w:pPr>
        <w:pStyle w:val="a0"/>
        <w:rPr>
          <w:rFonts w:ascii="黑体" w:eastAsia="黑体" w:hAnsi="黑体"/>
          <w:sz w:val="44"/>
          <w:szCs w:val="44"/>
        </w:rPr>
      </w:pPr>
    </w:p>
    <w:p w:rsidR="00B41DEA" w:rsidRDefault="001E1251">
      <w:pPr>
        <w:pStyle w:val="a0"/>
        <w:rPr>
          <w:rFonts w:ascii="黑体" w:eastAsia="黑体" w:hAnsi="黑体"/>
          <w:sz w:val="44"/>
          <w:szCs w:val="44"/>
        </w:rPr>
      </w:pPr>
      <w:r>
        <w:rPr>
          <w:rFonts w:ascii="黑体" w:eastAsia="黑体" w:hAnsi="黑体" w:hint="eastAsia"/>
          <w:sz w:val="44"/>
          <w:szCs w:val="44"/>
        </w:rPr>
        <w:lastRenderedPageBreak/>
        <w:t xml:space="preserve">附件2  </w:t>
      </w:r>
    </w:p>
    <w:tbl>
      <w:tblPr>
        <w:tblpPr w:leftFromText="180" w:rightFromText="180" w:vertAnchor="text" w:horzAnchor="page" w:tblpX="1281" w:tblpY="660"/>
        <w:tblOverlap w:val="never"/>
        <w:tblW w:w="9811" w:type="dxa"/>
        <w:tblLayout w:type="fixed"/>
        <w:tblLook w:val="04A0"/>
      </w:tblPr>
      <w:tblGrid>
        <w:gridCol w:w="1976"/>
        <w:gridCol w:w="1141"/>
        <w:gridCol w:w="1475"/>
        <w:gridCol w:w="948"/>
        <w:gridCol w:w="199"/>
        <w:gridCol w:w="202"/>
        <w:gridCol w:w="2125"/>
        <w:gridCol w:w="364"/>
        <w:gridCol w:w="1145"/>
        <w:gridCol w:w="236"/>
      </w:tblGrid>
      <w:tr w:rsidR="00B41DEA">
        <w:trPr>
          <w:trHeight w:val="675"/>
        </w:trPr>
        <w:tc>
          <w:tcPr>
            <w:tcW w:w="9575" w:type="dxa"/>
            <w:gridSpan w:val="9"/>
            <w:tcBorders>
              <w:top w:val="nil"/>
              <w:left w:val="nil"/>
              <w:bottom w:val="nil"/>
              <w:right w:val="nil"/>
            </w:tcBorders>
            <w:shd w:val="clear" w:color="auto" w:fill="auto"/>
            <w:vAlign w:val="center"/>
          </w:tcPr>
          <w:p w:rsidR="00B41DEA" w:rsidRDefault="001E1251">
            <w:pPr>
              <w:widowControl/>
              <w:ind w:firstLineChars="500" w:firstLine="1606"/>
              <w:textAlignment w:val="center"/>
              <w:rPr>
                <w:rFonts w:ascii="宋体" w:hAnsi="宋体" w:cs="宋体"/>
                <w:b/>
                <w:sz w:val="32"/>
                <w:szCs w:val="32"/>
              </w:rPr>
            </w:pPr>
            <w:r>
              <w:rPr>
                <w:rFonts w:ascii="宋体" w:hAnsi="宋体" w:cs="宋体" w:hint="eastAsia"/>
                <w:b/>
                <w:sz w:val="32"/>
                <w:szCs w:val="32"/>
              </w:rPr>
              <w:t>援藏援彝干部补助预算项目绩效目标自评</w:t>
            </w:r>
          </w:p>
        </w:tc>
        <w:tc>
          <w:tcPr>
            <w:tcW w:w="236" w:type="dxa"/>
            <w:tcBorders>
              <w:top w:val="nil"/>
              <w:left w:val="nil"/>
              <w:bottom w:val="nil"/>
              <w:right w:val="nil"/>
            </w:tcBorders>
            <w:shd w:val="clear" w:color="auto" w:fill="auto"/>
            <w:vAlign w:val="center"/>
          </w:tcPr>
          <w:p w:rsidR="00B41DEA" w:rsidRDefault="00B41DEA">
            <w:pPr>
              <w:widowControl/>
              <w:jc w:val="center"/>
              <w:textAlignment w:val="center"/>
              <w:rPr>
                <w:rFonts w:ascii="宋体" w:hAnsi="宋体" w:cs="宋体"/>
                <w:b/>
                <w:kern w:val="0"/>
                <w:sz w:val="32"/>
                <w:szCs w:val="32"/>
              </w:rPr>
            </w:pPr>
          </w:p>
        </w:tc>
      </w:tr>
      <w:tr w:rsidR="00B41DEA">
        <w:trPr>
          <w:gridAfter w:val="1"/>
          <w:wAfter w:w="236" w:type="dxa"/>
          <w:trHeight w:val="254"/>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主管部门及代码</w:t>
            </w: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ind w:left="650" w:hangingChars="500" w:hanging="650"/>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攀枝花市公安局东区分局128002</w:t>
            </w:r>
          </w:p>
        </w:tc>
        <w:tc>
          <w:tcPr>
            <w:tcW w:w="25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实施单位</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攀枝花市公安局     东区公安分局</w:t>
            </w:r>
          </w:p>
        </w:tc>
      </w:tr>
      <w:tr w:rsidR="00B41DEA">
        <w:trPr>
          <w:gridAfter w:val="1"/>
          <w:wAfter w:w="236" w:type="dxa"/>
          <w:trHeight w:val="341"/>
        </w:trPr>
        <w:tc>
          <w:tcPr>
            <w:tcW w:w="31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项目预算</w:t>
            </w:r>
            <w:r>
              <w:rPr>
                <w:rFonts w:asciiTheme="minorEastAsia" w:eastAsiaTheme="minorEastAsia" w:hAnsiTheme="minorEastAsia" w:cstheme="minorEastAsia" w:hint="eastAsia"/>
                <w:kern w:val="0"/>
                <w:sz w:val="13"/>
                <w:szCs w:val="13"/>
              </w:rPr>
              <w:br/>
              <w:t>执行情况</w:t>
            </w:r>
            <w:r>
              <w:rPr>
                <w:rFonts w:asciiTheme="minorEastAsia" w:eastAsiaTheme="minorEastAsia" w:hAnsiTheme="minorEastAsia" w:cstheme="minorEastAsia" w:hint="eastAsia"/>
                <w:kern w:val="0"/>
                <w:sz w:val="13"/>
                <w:szCs w:val="13"/>
              </w:rPr>
              <w:br/>
              <w:t>（万元）</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 xml:space="preserve"> 预算数：</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3.053</w:t>
            </w:r>
          </w:p>
        </w:tc>
        <w:tc>
          <w:tcPr>
            <w:tcW w:w="25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 xml:space="preserve"> 执行数：</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ind w:firstLineChars="200" w:firstLine="260"/>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3.053</w:t>
            </w:r>
          </w:p>
        </w:tc>
      </w:tr>
      <w:tr w:rsidR="00B41DEA">
        <w:trPr>
          <w:gridAfter w:val="1"/>
          <w:wAfter w:w="236" w:type="dxa"/>
          <w:trHeight w:val="555"/>
        </w:trPr>
        <w:tc>
          <w:tcPr>
            <w:tcW w:w="31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其中：</w:t>
            </w:r>
          </w:p>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财政拨款</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3.053</w:t>
            </w:r>
          </w:p>
        </w:tc>
        <w:tc>
          <w:tcPr>
            <w:tcW w:w="25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其中：</w:t>
            </w:r>
          </w:p>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财政拨款</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ind w:firstLineChars="200" w:firstLine="260"/>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3.053</w:t>
            </w:r>
          </w:p>
        </w:tc>
      </w:tr>
      <w:tr w:rsidR="00B41DEA">
        <w:trPr>
          <w:gridAfter w:val="1"/>
          <w:wAfter w:w="236" w:type="dxa"/>
          <w:trHeight w:val="341"/>
        </w:trPr>
        <w:tc>
          <w:tcPr>
            <w:tcW w:w="31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其他资金</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widowControl/>
              <w:spacing w:line="320" w:lineRule="exact"/>
              <w:jc w:val="left"/>
              <w:textAlignment w:val="center"/>
              <w:rPr>
                <w:rFonts w:asciiTheme="minorEastAsia" w:eastAsiaTheme="minorEastAsia" w:hAnsiTheme="minorEastAsia" w:cstheme="minorEastAsia"/>
                <w:sz w:val="13"/>
                <w:szCs w:val="13"/>
              </w:rPr>
            </w:pPr>
          </w:p>
        </w:tc>
        <w:tc>
          <w:tcPr>
            <w:tcW w:w="25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其他资金</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widowControl/>
              <w:spacing w:line="320" w:lineRule="exact"/>
              <w:jc w:val="center"/>
              <w:textAlignment w:val="center"/>
              <w:rPr>
                <w:rFonts w:asciiTheme="minorEastAsia" w:eastAsiaTheme="minorEastAsia" w:hAnsiTheme="minorEastAsia" w:cstheme="minorEastAsia"/>
                <w:sz w:val="13"/>
                <w:szCs w:val="13"/>
              </w:rPr>
            </w:pPr>
          </w:p>
        </w:tc>
      </w:tr>
      <w:tr w:rsidR="00B41DEA">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年度总体目标</w:t>
            </w:r>
          </w:p>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完成情况</w:t>
            </w:r>
          </w:p>
        </w:tc>
        <w:tc>
          <w:tcPr>
            <w:tcW w:w="3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预期目标</w:t>
            </w:r>
          </w:p>
        </w:tc>
        <w:tc>
          <w:tcPr>
            <w:tcW w:w="40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目标实际完成情况</w:t>
            </w:r>
          </w:p>
        </w:tc>
      </w:tr>
      <w:tr w:rsidR="00B41DEA">
        <w:trPr>
          <w:gridAfter w:val="1"/>
          <w:wAfter w:w="236" w:type="dxa"/>
          <w:trHeight w:val="575"/>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3564" w:type="dxa"/>
            <w:gridSpan w:val="3"/>
            <w:tcBorders>
              <w:top w:val="single" w:sz="4" w:space="0" w:color="000000"/>
              <w:left w:val="single" w:sz="4" w:space="0" w:color="000000"/>
              <w:bottom w:val="single" w:sz="4" w:space="0" w:color="000000"/>
              <w:right w:val="single" w:sz="4" w:space="0" w:color="000000"/>
            </w:tcBorders>
            <w:shd w:val="clear" w:color="auto" w:fill="auto"/>
          </w:tcPr>
          <w:p w:rsidR="00B41DEA" w:rsidRDefault="001E1251">
            <w:pPr>
              <w:widowControl/>
              <w:spacing w:line="320" w:lineRule="exact"/>
              <w:jc w:val="left"/>
              <w:textAlignment w:val="top"/>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充分发挥援藏援彝干部人才在推进藏区彝区脱贫攻坚和社会发展中的重要作用，做好扶贫工作</w:t>
            </w:r>
          </w:p>
        </w:tc>
        <w:tc>
          <w:tcPr>
            <w:tcW w:w="4035" w:type="dxa"/>
            <w:gridSpan w:val="5"/>
            <w:tcBorders>
              <w:top w:val="single" w:sz="4" w:space="0" w:color="000000"/>
              <w:left w:val="single" w:sz="4" w:space="0" w:color="000000"/>
              <w:bottom w:val="single" w:sz="4" w:space="0" w:color="000000"/>
              <w:right w:val="single" w:sz="4" w:space="0" w:color="000000"/>
            </w:tcBorders>
            <w:shd w:val="clear" w:color="auto" w:fill="auto"/>
          </w:tcPr>
          <w:p w:rsidR="00B41DEA" w:rsidRDefault="001E1251">
            <w:pPr>
              <w:widowControl/>
              <w:spacing w:line="320" w:lineRule="exact"/>
              <w:jc w:val="left"/>
              <w:textAlignment w:val="top"/>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充分发挥了援藏援彝干部的传帮带作用，脱贫攻坚工作亮点纷呈，取得显著成效。</w:t>
            </w:r>
          </w:p>
        </w:tc>
      </w:tr>
      <w:tr w:rsidR="00B41DEA">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年度绩效指标完成情况</w:t>
            </w:r>
          </w:p>
        </w:tc>
        <w:tc>
          <w:tcPr>
            <w:tcW w:w="1141" w:type="dxa"/>
            <w:tcBorders>
              <w:top w:val="single" w:sz="4" w:space="0" w:color="000000"/>
              <w:left w:val="nil"/>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一级</w:t>
            </w:r>
          </w:p>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二级</w:t>
            </w:r>
          </w:p>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三级</w:t>
            </w:r>
          </w:p>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预期指标值</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实际完成指标值</w:t>
            </w:r>
          </w:p>
        </w:tc>
      </w:tr>
      <w:tr w:rsidR="00B41DEA">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bottom"/>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完成</w:t>
            </w:r>
          </w:p>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数量指标</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脱贫攻坚综合帮扶工作队</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队员1人</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队员1人</w:t>
            </w:r>
          </w:p>
        </w:tc>
      </w:tr>
      <w:tr w:rsidR="00B41DEA">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质量指标</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选派要求</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选派整体素质过硬，坚决贯彻执行党中央政策的人员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选派民警完成该项任务</w:t>
            </w:r>
          </w:p>
        </w:tc>
      </w:tr>
      <w:tr w:rsidR="00B41DEA">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时效指标</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ind w:firstLineChars="100" w:firstLine="130"/>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时间</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2021年</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ind w:firstLineChars="100" w:firstLine="130"/>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2021年</w:t>
            </w:r>
          </w:p>
        </w:tc>
      </w:tr>
      <w:tr w:rsidR="00B41DEA">
        <w:trPr>
          <w:gridAfter w:val="1"/>
          <w:wAfter w:w="236" w:type="dxa"/>
          <w:trHeight w:val="814"/>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vMerge w:val="restart"/>
            <w:tcBorders>
              <w:top w:val="single" w:sz="4" w:space="0" w:color="000000"/>
              <w:left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成本指标</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生活补助</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每个工作日补助50元，全月按22天，全年为264天</w:t>
            </w:r>
          </w:p>
        </w:tc>
        <w:tc>
          <w:tcPr>
            <w:tcW w:w="1145" w:type="dxa"/>
            <w:vMerge w:val="restart"/>
            <w:tcBorders>
              <w:top w:val="single" w:sz="4" w:space="0" w:color="000000"/>
              <w:left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3.053万元</w:t>
            </w:r>
          </w:p>
        </w:tc>
      </w:tr>
      <w:tr w:rsidR="00B41DEA">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vMerge/>
            <w:tcBorders>
              <w:left w:val="single" w:sz="4" w:space="0" w:color="000000"/>
              <w:right w:val="single" w:sz="4" w:space="0" w:color="000000"/>
            </w:tcBorders>
            <w:shd w:val="clear" w:color="auto" w:fill="auto"/>
            <w:vAlign w:val="bottom"/>
          </w:tcPr>
          <w:p w:rsidR="00B41DEA" w:rsidRDefault="00B41DEA">
            <w:pPr>
              <w:widowControl/>
              <w:spacing w:line="320" w:lineRule="exact"/>
              <w:jc w:val="center"/>
              <w:textAlignment w:val="bottom"/>
              <w:rPr>
                <w:rFonts w:asciiTheme="minorEastAsia" w:eastAsiaTheme="minorEastAsia" w:hAnsiTheme="minorEastAsia" w:cstheme="minorEastAsia"/>
                <w:kern w:val="0"/>
                <w:sz w:val="13"/>
                <w:szCs w:val="13"/>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援藏援彝特殊补贴</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选派到木里县的，每人每年1万元</w:t>
            </w:r>
          </w:p>
        </w:tc>
        <w:tc>
          <w:tcPr>
            <w:tcW w:w="1145" w:type="dxa"/>
            <w:vMerge/>
            <w:tcBorders>
              <w:left w:val="single" w:sz="4" w:space="0" w:color="000000"/>
              <w:right w:val="single" w:sz="4" w:space="0" w:color="000000"/>
            </w:tcBorders>
            <w:shd w:val="clear" w:color="auto" w:fill="auto"/>
            <w:vAlign w:val="bottom"/>
          </w:tcPr>
          <w:p w:rsidR="00B41DEA" w:rsidRDefault="00B41DEA">
            <w:pPr>
              <w:widowControl/>
              <w:spacing w:line="320" w:lineRule="exact"/>
              <w:jc w:val="center"/>
              <w:textAlignment w:val="bottom"/>
              <w:rPr>
                <w:rFonts w:asciiTheme="minorEastAsia" w:eastAsiaTheme="minorEastAsia" w:hAnsiTheme="minorEastAsia" w:cstheme="minorEastAsia"/>
                <w:sz w:val="13"/>
                <w:szCs w:val="13"/>
              </w:rPr>
            </w:pPr>
          </w:p>
        </w:tc>
      </w:tr>
      <w:tr w:rsidR="00B41DEA">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vMerge/>
            <w:tcBorders>
              <w:left w:val="single" w:sz="4" w:space="0" w:color="000000"/>
              <w:bottom w:val="single" w:sz="4" w:space="0" w:color="000000"/>
              <w:right w:val="single" w:sz="4" w:space="0" w:color="000000"/>
            </w:tcBorders>
            <w:shd w:val="clear" w:color="auto" w:fill="auto"/>
            <w:vAlign w:val="bottom"/>
          </w:tcPr>
          <w:p w:rsidR="00B41DEA" w:rsidRDefault="00B41DEA">
            <w:pPr>
              <w:widowControl/>
              <w:spacing w:line="320" w:lineRule="exact"/>
              <w:jc w:val="center"/>
              <w:textAlignment w:val="bottom"/>
              <w:rPr>
                <w:rFonts w:asciiTheme="minorEastAsia" w:eastAsiaTheme="minorEastAsia" w:hAnsiTheme="minorEastAsia" w:cstheme="minorEastAsia"/>
                <w:sz w:val="13"/>
                <w:szCs w:val="13"/>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艰苦边远地区津贴</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科员以下四类地区应执行每月1000元，已执行一类区185元，应补差815元</w:t>
            </w:r>
          </w:p>
        </w:tc>
        <w:tc>
          <w:tcPr>
            <w:tcW w:w="1145" w:type="dxa"/>
            <w:vMerge/>
            <w:tcBorders>
              <w:left w:val="single" w:sz="4" w:space="0" w:color="000000"/>
              <w:bottom w:val="single" w:sz="4" w:space="0" w:color="000000"/>
              <w:right w:val="single" w:sz="4" w:space="0" w:color="000000"/>
            </w:tcBorders>
            <w:shd w:val="clear" w:color="auto" w:fill="auto"/>
            <w:vAlign w:val="bottom"/>
          </w:tcPr>
          <w:p w:rsidR="00B41DEA" w:rsidRDefault="00B41DEA">
            <w:pPr>
              <w:widowControl/>
              <w:spacing w:line="320" w:lineRule="exact"/>
              <w:jc w:val="center"/>
              <w:textAlignment w:val="bottom"/>
              <w:rPr>
                <w:rFonts w:asciiTheme="minorEastAsia" w:eastAsiaTheme="minorEastAsia" w:hAnsiTheme="minorEastAsia" w:cstheme="minorEastAsia"/>
                <w:sz w:val="13"/>
                <w:szCs w:val="13"/>
              </w:rPr>
            </w:pPr>
          </w:p>
        </w:tc>
      </w:tr>
      <w:tr w:rsidR="00B41DEA">
        <w:trPr>
          <w:gridAfter w:val="1"/>
          <w:wAfter w:w="236" w:type="dxa"/>
          <w:trHeight w:val="868"/>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效益</w:t>
            </w:r>
            <w:r>
              <w:rPr>
                <w:rFonts w:asciiTheme="minorEastAsia" w:eastAsiaTheme="minorEastAsia" w:hAnsiTheme="minorEastAsia" w:cstheme="minorEastAsia" w:hint="eastAsia"/>
                <w:kern w:val="0"/>
                <w:sz w:val="13"/>
                <w:szCs w:val="13"/>
              </w:rPr>
              <w:br/>
              <w:t>指标</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经济效益指标</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援助成效</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促进帮扶地的经济实现好转</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帮扶地的经济提升达到预期目标</w:t>
            </w:r>
          </w:p>
        </w:tc>
      </w:tr>
      <w:tr w:rsidR="00B41DEA">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社会效益指标</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援助成效</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充分发挥援藏援彝干部人才在推进藏区彝区脱贫攻坚和社会发展中的重要作用</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所起作用也达到预期目标</w:t>
            </w:r>
          </w:p>
        </w:tc>
      </w:tr>
      <w:tr w:rsidR="00B41DEA">
        <w:trPr>
          <w:gridAfter w:val="1"/>
          <w:wAfter w:w="236" w:type="dxa"/>
          <w:trHeight w:val="67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ind w:leftChars="87" w:left="313" w:hangingChars="100" w:hanging="130"/>
              <w:jc w:val="left"/>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生态效益  指标</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援助成效</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促进形成良好的社会生态</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所起作用达到了预期目标</w:t>
            </w:r>
          </w:p>
        </w:tc>
      </w:tr>
      <w:tr w:rsidR="00B41DEA">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B41DEA">
            <w:pPr>
              <w:spacing w:line="320" w:lineRule="exact"/>
              <w:jc w:val="center"/>
              <w:rPr>
                <w:rFonts w:asciiTheme="minorEastAsia" w:eastAsiaTheme="minorEastAsia" w:hAnsiTheme="minorEastAsia" w:cstheme="minorEastAsia"/>
                <w:sz w:val="13"/>
                <w:szCs w:val="13"/>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可持续影响 指标</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持续性</w:t>
            </w:r>
          </w:p>
        </w:tc>
        <w:tc>
          <w:tcPr>
            <w:tcW w:w="2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自2018年7月开始， 每年选派人员持续开展对藏彝地区的脱贫攻坚综合帮扶工作</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2021年完成了对藏彝地区的脱贫攻坚帮扶工作</w:t>
            </w:r>
          </w:p>
        </w:tc>
      </w:tr>
      <w:tr w:rsidR="00B41DEA">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B41DEA" w:rsidRDefault="00B41DEA">
            <w:pPr>
              <w:spacing w:line="320" w:lineRule="exact"/>
              <w:jc w:val="center"/>
              <w:rPr>
                <w:rFonts w:asciiTheme="minorEastAsia" w:eastAsiaTheme="minorEastAsia" w:hAnsiTheme="minorEastAsia" w:cstheme="minorEastAsia"/>
                <w:sz w:val="13"/>
                <w:szCs w:val="13"/>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满意</w:t>
            </w:r>
            <w:r>
              <w:rPr>
                <w:rFonts w:asciiTheme="minorEastAsia" w:eastAsiaTheme="minorEastAsia" w:hAnsiTheme="minorEastAsia" w:cstheme="minorEastAsia" w:hint="eastAsia"/>
                <w:kern w:val="0"/>
                <w:sz w:val="13"/>
                <w:szCs w:val="13"/>
              </w:rPr>
              <w:br/>
              <w:t>度指标</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DEA" w:rsidRDefault="001E1251">
            <w:pPr>
              <w:widowControl/>
              <w:spacing w:line="320" w:lineRule="exact"/>
              <w:jc w:val="center"/>
              <w:textAlignment w:val="bottom"/>
              <w:rPr>
                <w:rFonts w:asciiTheme="minorEastAsia" w:eastAsiaTheme="minorEastAsia" w:hAnsiTheme="minorEastAsia" w:cstheme="minorEastAsia"/>
                <w:kern w:val="0"/>
                <w:sz w:val="13"/>
                <w:szCs w:val="13"/>
              </w:rPr>
            </w:pPr>
            <w:r>
              <w:rPr>
                <w:rFonts w:asciiTheme="minorEastAsia" w:eastAsiaTheme="minorEastAsia" w:hAnsiTheme="minorEastAsia" w:cstheme="minorEastAsia" w:hint="eastAsia"/>
                <w:kern w:val="0"/>
                <w:sz w:val="13"/>
                <w:szCs w:val="13"/>
              </w:rPr>
              <w:t>满意度</w:t>
            </w:r>
          </w:p>
          <w:p w:rsidR="00B41DEA" w:rsidRDefault="001E1251">
            <w:pPr>
              <w:widowControl/>
              <w:spacing w:line="320" w:lineRule="exact"/>
              <w:jc w:val="center"/>
              <w:textAlignment w:val="bottom"/>
              <w:rPr>
                <w:rFonts w:asciiTheme="minorEastAsia" w:eastAsiaTheme="minorEastAsia" w:hAnsiTheme="minorEastAsia" w:cstheme="minorEastAsia"/>
                <w:sz w:val="13"/>
                <w:szCs w:val="13"/>
              </w:rPr>
            </w:pPr>
            <w:r>
              <w:rPr>
                <w:rFonts w:asciiTheme="minorEastAsia" w:eastAsiaTheme="minorEastAsia" w:hAnsiTheme="minorEastAsia" w:cstheme="minorEastAsia" w:hint="eastAsia"/>
                <w:kern w:val="0"/>
                <w:sz w:val="13"/>
                <w:szCs w:val="13"/>
              </w:rPr>
              <w:t>指标</w:t>
            </w: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center"/>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满意度评价</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被援助单位评价满意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DEA" w:rsidRDefault="001E1251">
            <w:pPr>
              <w:widowControl/>
              <w:jc w:val="left"/>
              <w:textAlignment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color w:val="000000"/>
                <w:kern w:val="0"/>
                <w:sz w:val="13"/>
                <w:szCs w:val="13"/>
              </w:rPr>
              <w:t>得到被援助单位的满意评价</w:t>
            </w:r>
          </w:p>
        </w:tc>
      </w:tr>
    </w:tbl>
    <w:p w:rsidR="00B41DEA" w:rsidRDefault="00B41DEA">
      <w:pPr>
        <w:spacing w:line="600" w:lineRule="exact"/>
        <w:jc w:val="center"/>
        <w:outlineLvl w:val="0"/>
        <w:rPr>
          <w:rFonts w:ascii="黑体" w:eastAsia="黑体" w:hAnsi="黑体"/>
          <w:sz w:val="13"/>
          <w:szCs w:val="13"/>
        </w:rPr>
      </w:pPr>
    </w:p>
    <w:p w:rsidR="00B41DEA" w:rsidRDefault="001E1251">
      <w:pPr>
        <w:spacing w:line="600" w:lineRule="exact"/>
        <w:ind w:firstLineChars="600" w:firstLine="2640"/>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End w:id="46"/>
      <w:bookmarkEnd w:id="48"/>
    </w:p>
    <w:p w:rsidR="00B41DEA" w:rsidRDefault="001E1251">
      <w:pPr>
        <w:pStyle w:val="2"/>
        <w:rPr>
          <w:rFonts w:ascii="仿宋" w:eastAsia="仿宋" w:hAnsi="仿宋" w:cs="Times New Roman"/>
          <w:b w:val="0"/>
          <w:color w:val="000000"/>
        </w:rPr>
      </w:pPr>
      <w:r>
        <w:rPr>
          <w:rFonts w:ascii="仿宋" w:eastAsia="仿宋" w:hAnsi="仿宋" w:cs="Times New Roman" w:hint="eastAsia"/>
          <w:b w:val="0"/>
          <w:color w:val="000000"/>
        </w:rPr>
        <w:lastRenderedPageBreak/>
        <w:t>一、收入支出决算总表</w:t>
      </w:r>
    </w:p>
    <w:p w:rsidR="00B41DEA" w:rsidRDefault="001E1251">
      <w:pPr>
        <w:pStyle w:val="2"/>
        <w:rPr>
          <w:rFonts w:ascii="仿宋" w:eastAsia="仿宋" w:hAnsi="仿宋" w:cs="Times New Roman"/>
          <w:b w:val="0"/>
          <w:color w:val="000000"/>
        </w:rPr>
      </w:pPr>
      <w:r>
        <w:rPr>
          <w:rFonts w:ascii="仿宋" w:eastAsia="仿宋" w:hAnsi="仿宋" w:cs="Times New Roman" w:hint="eastAsia"/>
          <w:b w:val="0"/>
          <w:color w:val="000000"/>
        </w:rPr>
        <w:t>二、收入决算表</w:t>
      </w:r>
    </w:p>
    <w:p w:rsidR="00B41DEA" w:rsidRDefault="001E1251">
      <w:pPr>
        <w:pStyle w:val="2"/>
        <w:rPr>
          <w:rFonts w:ascii="仿宋" w:eastAsia="仿宋" w:hAnsi="仿宋" w:cs="Times New Roman"/>
          <w:b w:val="0"/>
          <w:color w:val="000000"/>
        </w:rPr>
      </w:pPr>
      <w:bookmarkStart w:id="49" w:name="_Toc15396621"/>
      <w:r>
        <w:rPr>
          <w:rFonts w:ascii="仿宋" w:eastAsia="仿宋" w:hAnsi="仿宋" w:cs="Times New Roman" w:hint="eastAsia"/>
          <w:b w:val="0"/>
          <w:color w:val="000000"/>
        </w:rPr>
        <w:t>三、支出决算表</w:t>
      </w:r>
      <w:bookmarkEnd w:id="49"/>
    </w:p>
    <w:p w:rsidR="00B41DEA" w:rsidRDefault="001E1251">
      <w:pPr>
        <w:pStyle w:val="2"/>
        <w:rPr>
          <w:rFonts w:ascii="仿宋" w:eastAsia="仿宋" w:hAnsi="仿宋" w:cs="Times New Roman"/>
          <w:b w:val="0"/>
          <w:color w:val="000000"/>
        </w:rPr>
      </w:pPr>
      <w:bookmarkStart w:id="50" w:name="_Toc15396622"/>
      <w:r>
        <w:rPr>
          <w:rFonts w:ascii="仿宋" w:eastAsia="仿宋" w:hAnsi="仿宋" w:cs="Times New Roman" w:hint="eastAsia"/>
          <w:b w:val="0"/>
          <w:color w:val="000000"/>
        </w:rPr>
        <w:t>四、财政拨款收入支出决算总表</w:t>
      </w:r>
      <w:bookmarkEnd w:id="50"/>
    </w:p>
    <w:p w:rsidR="00B41DEA" w:rsidRDefault="001E1251">
      <w:pPr>
        <w:pStyle w:val="2"/>
        <w:rPr>
          <w:rFonts w:ascii="仿宋" w:eastAsia="仿宋" w:hAnsi="仿宋" w:cs="Times New Roman"/>
          <w:b w:val="0"/>
          <w:color w:val="000000"/>
        </w:rPr>
      </w:pPr>
      <w:bookmarkStart w:id="51" w:name="_Toc15396623"/>
      <w:r>
        <w:rPr>
          <w:rFonts w:ascii="仿宋" w:eastAsia="仿宋" w:hAnsi="仿宋" w:cs="Times New Roman" w:hint="eastAsia"/>
          <w:b w:val="0"/>
          <w:color w:val="000000"/>
        </w:rPr>
        <w:t>五、财政拨款支出决算明细表</w:t>
      </w:r>
      <w:bookmarkStart w:id="52" w:name="_Toc15396624"/>
      <w:bookmarkEnd w:id="51"/>
    </w:p>
    <w:p w:rsidR="00B41DEA" w:rsidRDefault="001E1251">
      <w:pPr>
        <w:pStyle w:val="2"/>
        <w:rPr>
          <w:rFonts w:ascii="仿宋" w:eastAsia="仿宋" w:hAnsi="仿宋" w:cs="Times New Roman"/>
          <w:b w:val="0"/>
          <w:color w:val="000000"/>
        </w:rPr>
      </w:pPr>
      <w:r>
        <w:rPr>
          <w:rFonts w:ascii="仿宋" w:eastAsia="仿宋" w:hAnsi="仿宋" w:cs="Times New Roman" w:hint="eastAsia"/>
          <w:b w:val="0"/>
          <w:color w:val="000000"/>
        </w:rPr>
        <w:t>六、一般公共预算财政拨款支出决算表</w:t>
      </w:r>
      <w:bookmarkEnd w:id="52"/>
    </w:p>
    <w:p w:rsidR="00B41DEA" w:rsidRDefault="001E1251">
      <w:pPr>
        <w:pStyle w:val="2"/>
        <w:rPr>
          <w:rFonts w:ascii="仿宋" w:eastAsia="仿宋" w:hAnsi="仿宋" w:cs="Times New Roman"/>
          <w:b w:val="0"/>
          <w:color w:val="000000"/>
        </w:rPr>
      </w:pPr>
      <w:bookmarkStart w:id="53" w:name="_Toc15396625"/>
      <w:r>
        <w:rPr>
          <w:rFonts w:ascii="仿宋" w:eastAsia="仿宋" w:hAnsi="仿宋" w:cs="Times New Roman" w:hint="eastAsia"/>
          <w:b w:val="0"/>
          <w:color w:val="000000"/>
        </w:rPr>
        <w:t>七、一般公共预算财政拨款支出决算明细表</w:t>
      </w:r>
      <w:bookmarkEnd w:id="53"/>
    </w:p>
    <w:p w:rsidR="00B41DEA" w:rsidRDefault="001E1251">
      <w:pPr>
        <w:pStyle w:val="2"/>
        <w:rPr>
          <w:rFonts w:ascii="仿宋" w:eastAsia="仿宋" w:hAnsi="仿宋" w:cs="Times New Roman"/>
          <w:b w:val="0"/>
          <w:color w:val="000000"/>
        </w:rPr>
      </w:pPr>
      <w:bookmarkStart w:id="54" w:name="_Toc15396626"/>
      <w:r>
        <w:rPr>
          <w:rFonts w:ascii="仿宋" w:eastAsia="仿宋" w:hAnsi="仿宋" w:cs="Times New Roman" w:hint="eastAsia"/>
          <w:b w:val="0"/>
          <w:color w:val="000000"/>
        </w:rPr>
        <w:t>八、一般公共预算财政拨款基本支出决算表</w:t>
      </w:r>
      <w:bookmarkEnd w:id="54"/>
    </w:p>
    <w:p w:rsidR="00B41DEA" w:rsidRDefault="001E1251">
      <w:pPr>
        <w:pStyle w:val="2"/>
        <w:rPr>
          <w:rFonts w:ascii="仿宋" w:eastAsia="仿宋" w:hAnsi="仿宋" w:cs="Times New Roman"/>
          <w:b w:val="0"/>
          <w:color w:val="000000"/>
        </w:rPr>
      </w:pPr>
      <w:bookmarkStart w:id="55" w:name="_Toc15396627"/>
      <w:r>
        <w:rPr>
          <w:rFonts w:ascii="仿宋" w:eastAsia="仿宋" w:hAnsi="仿宋" w:cs="Times New Roman" w:hint="eastAsia"/>
          <w:b w:val="0"/>
          <w:color w:val="000000"/>
        </w:rPr>
        <w:t>九、一般公共预算财政拨款项目支出决算表</w:t>
      </w:r>
      <w:bookmarkEnd w:id="55"/>
    </w:p>
    <w:p w:rsidR="00B41DEA" w:rsidRDefault="001E1251">
      <w:pPr>
        <w:pStyle w:val="2"/>
        <w:rPr>
          <w:rFonts w:ascii="仿宋" w:eastAsia="仿宋" w:hAnsi="仿宋" w:cs="Times New Roman"/>
          <w:b w:val="0"/>
          <w:color w:val="000000"/>
        </w:rPr>
      </w:pPr>
      <w:bookmarkStart w:id="56" w:name="_Toc15396628"/>
      <w:r>
        <w:rPr>
          <w:rFonts w:ascii="仿宋" w:eastAsia="仿宋" w:hAnsi="仿宋" w:cs="Times New Roman" w:hint="eastAsia"/>
          <w:b w:val="0"/>
          <w:color w:val="000000"/>
        </w:rPr>
        <w:t>十、一般公共预算财政拨款“三公”经费支出决算表</w:t>
      </w:r>
      <w:bookmarkEnd w:id="56"/>
    </w:p>
    <w:p w:rsidR="00B41DEA" w:rsidRDefault="001E1251">
      <w:pPr>
        <w:pStyle w:val="2"/>
        <w:rPr>
          <w:rFonts w:ascii="仿宋" w:eastAsia="仿宋" w:hAnsi="仿宋" w:cs="Times New Roman"/>
          <w:b w:val="0"/>
          <w:color w:val="000000"/>
        </w:rPr>
      </w:pPr>
      <w:bookmarkStart w:id="57" w:name="_Toc15396629"/>
      <w:r>
        <w:rPr>
          <w:rFonts w:ascii="仿宋" w:eastAsia="仿宋" w:hAnsi="仿宋" w:cs="Times New Roman" w:hint="eastAsia"/>
          <w:b w:val="0"/>
          <w:color w:val="000000"/>
        </w:rPr>
        <w:t>十一、政府性基金预算财政拨款收入支出决算表</w:t>
      </w:r>
      <w:bookmarkEnd w:id="57"/>
      <w:r>
        <w:rPr>
          <w:rFonts w:ascii="仿宋" w:eastAsia="仿宋" w:hAnsi="仿宋" w:cs="Times New Roman" w:hint="eastAsia"/>
          <w:b w:val="0"/>
          <w:color w:val="000000"/>
        </w:rPr>
        <w:t>（此表无数据）</w:t>
      </w:r>
    </w:p>
    <w:p w:rsidR="00B41DEA" w:rsidRDefault="001E1251">
      <w:pPr>
        <w:pStyle w:val="2"/>
        <w:rPr>
          <w:rFonts w:ascii="仿宋" w:eastAsia="仿宋" w:hAnsi="仿宋" w:cs="Times New Roman"/>
          <w:b w:val="0"/>
          <w:color w:val="000000"/>
        </w:rPr>
      </w:pPr>
      <w:bookmarkStart w:id="58" w:name="_Toc15396630"/>
      <w:r>
        <w:rPr>
          <w:rFonts w:ascii="仿宋" w:eastAsia="仿宋" w:hAnsi="仿宋" w:cs="Times New Roman" w:hint="eastAsia"/>
          <w:b w:val="0"/>
          <w:color w:val="000000"/>
        </w:rPr>
        <w:t>十二、政府性基金预算财政拨款“三公”经费支出决算表</w:t>
      </w:r>
      <w:bookmarkEnd w:id="58"/>
      <w:r>
        <w:rPr>
          <w:rFonts w:ascii="仿宋" w:eastAsia="仿宋" w:hAnsi="仿宋" w:cs="Times New Roman" w:hint="eastAsia"/>
          <w:b w:val="0"/>
          <w:color w:val="000000"/>
        </w:rPr>
        <w:t>（此表无数据）</w:t>
      </w:r>
    </w:p>
    <w:p w:rsidR="00B41DEA" w:rsidRDefault="001E1251">
      <w:pPr>
        <w:pStyle w:val="2"/>
        <w:rPr>
          <w:rFonts w:ascii="仿宋" w:eastAsia="仿宋" w:hAnsi="仿宋" w:cs="Times New Roman"/>
          <w:b w:val="0"/>
          <w:color w:val="000000"/>
        </w:rPr>
      </w:pPr>
      <w:bookmarkStart w:id="59" w:name="_Toc15396631"/>
      <w:r>
        <w:rPr>
          <w:rFonts w:ascii="仿宋" w:eastAsia="仿宋" w:hAnsi="仿宋" w:cs="Times New Roman" w:hint="eastAsia"/>
          <w:b w:val="0"/>
          <w:color w:val="000000"/>
        </w:rPr>
        <w:t>十三、国有资本经营预算财政拨款收入支出决算表</w:t>
      </w:r>
      <w:bookmarkEnd w:id="59"/>
      <w:r>
        <w:rPr>
          <w:rFonts w:ascii="仿宋" w:eastAsia="仿宋" w:hAnsi="仿宋" w:cs="Times New Roman" w:hint="eastAsia"/>
          <w:b w:val="0"/>
          <w:color w:val="000000"/>
        </w:rPr>
        <w:t>（此表无数据）</w:t>
      </w:r>
    </w:p>
    <w:p w:rsidR="00B41DEA" w:rsidRDefault="001E1251">
      <w:pPr>
        <w:pStyle w:val="2"/>
        <w:rPr>
          <w:rFonts w:ascii="仿宋" w:eastAsia="仿宋" w:hAnsi="仿宋" w:cs="Times New Roman"/>
          <w:b w:val="0"/>
          <w:color w:val="000000"/>
        </w:rPr>
      </w:pPr>
      <w:r>
        <w:rPr>
          <w:rFonts w:ascii="仿宋" w:eastAsia="仿宋" w:hAnsi="仿宋" w:cs="Times New Roman" w:hint="eastAsia"/>
          <w:b w:val="0"/>
          <w:color w:val="000000"/>
        </w:rPr>
        <w:t>十四、国有资本经营预算财政拨款支出决算表（此表无数据）</w:t>
      </w:r>
    </w:p>
    <w:sectPr w:rsidR="00B41DEA" w:rsidSect="003B260B">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B68" w:rsidRDefault="00220B68">
      <w:r>
        <w:separator/>
      </w:r>
    </w:p>
  </w:endnote>
  <w:endnote w:type="continuationSeparator" w:id="1">
    <w:p w:rsidR="00220B68" w:rsidRDefault="00220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B41DEA" w:rsidRDefault="003B260B">
        <w:pPr>
          <w:pStyle w:val="a0"/>
          <w:jc w:val="center"/>
        </w:pPr>
        <w:r>
          <w:fldChar w:fldCharType="begin"/>
        </w:r>
        <w:r w:rsidR="001E1251">
          <w:instrText>PAGE   \* MERGEFORMAT</w:instrText>
        </w:r>
        <w:r>
          <w:fldChar w:fldCharType="separate"/>
        </w:r>
        <w:r w:rsidR="00AA7C98" w:rsidRPr="00AA7C98">
          <w:rPr>
            <w:noProof/>
            <w:lang w:val="zh-CN"/>
          </w:rPr>
          <w:t>10</w:t>
        </w:r>
        <w:r>
          <w:fldChar w:fldCharType="end"/>
        </w:r>
      </w:p>
    </w:sdtContent>
  </w:sdt>
  <w:p w:rsidR="00B41DEA" w:rsidRDefault="00B41DEA">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B68" w:rsidRDefault="00220B68">
      <w:r>
        <w:separator/>
      </w:r>
    </w:p>
  </w:footnote>
  <w:footnote w:type="continuationSeparator" w:id="1">
    <w:p w:rsidR="00220B68" w:rsidRDefault="00220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EA" w:rsidRDefault="00B41DE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21D9B"/>
    <w:multiLevelType w:val="singleLevel"/>
    <w:tmpl w:val="22421D9B"/>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26BB6"/>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4A38"/>
    <w:rsid w:val="00114E9B"/>
    <w:rsid w:val="00142216"/>
    <w:rsid w:val="00144D6A"/>
    <w:rsid w:val="0014729F"/>
    <w:rsid w:val="00157BAB"/>
    <w:rsid w:val="001654D1"/>
    <w:rsid w:val="00174518"/>
    <w:rsid w:val="0018106D"/>
    <w:rsid w:val="0018421F"/>
    <w:rsid w:val="001877A7"/>
    <w:rsid w:val="00191536"/>
    <w:rsid w:val="00196687"/>
    <w:rsid w:val="001C0962"/>
    <w:rsid w:val="001D7531"/>
    <w:rsid w:val="001E1251"/>
    <w:rsid w:val="001E737D"/>
    <w:rsid w:val="001F0592"/>
    <w:rsid w:val="001F7506"/>
    <w:rsid w:val="002006CD"/>
    <w:rsid w:val="00202B36"/>
    <w:rsid w:val="00204B7A"/>
    <w:rsid w:val="00204CDE"/>
    <w:rsid w:val="0021101A"/>
    <w:rsid w:val="00220536"/>
    <w:rsid w:val="00220B68"/>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155E"/>
    <w:rsid w:val="0036561B"/>
    <w:rsid w:val="0037013F"/>
    <w:rsid w:val="00380C92"/>
    <w:rsid w:val="003A484F"/>
    <w:rsid w:val="003A4883"/>
    <w:rsid w:val="003B0BE0"/>
    <w:rsid w:val="003B0C1B"/>
    <w:rsid w:val="003B260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13A2"/>
    <w:rsid w:val="0057481D"/>
    <w:rsid w:val="00580F13"/>
    <w:rsid w:val="0058486E"/>
    <w:rsid w:val="00585B33"/>
    <w:rsid w:val="0059014D"/>
    <w:rsid w:val="005B5C64"/>
    <w:rsid w:val="005C5337"/>
    <w:rsid w:val="005C6BD0"/>
    <w:rsid w:val="005D1C8B"/>
    <w:rsid w:val="005D468D"/>
    <w:rsid w:val="005D5CED"/>
    <w:rsid w:val="005F1A4C"/>
    <w:rsid w:val="005F448D"/>
    <w:rsid w:val="00603EC6"/>
    <w:rsid w:val="00604EEA"/>
    <w:rsid w:val="00605688"/>
    <w:rsid w:val="006070AF"/>
    <w:rsid w:val="00607E6C"/>
    <w:rsid w:val="006101B1"/>
    <w:rsid w:val="00614E44"/>
    <w:rsid w:val="0062270A"/>
    <w:rsid w:val="00622830"/>
    <w:rsid w:val="00623DA0"/>
    <w:rsid w:val="00630AEF"/>
    <w:rsid w:val="006325F8"/>
    <w:rsid w:val="00633463"/>
    <w:rsid w:val="00634C9A"/>
    <w:rsid w:val="00635E8A"/>
    <w:rsid w:val="006440E4"/>
    <w:rsid w:val="0066343B"/>
    <w:rsid w:val="00664777"/>
    <w:rsid w:val="006748A4"/>
    <w:rsid w:val="00681A31"/>
    <w:rsid w:val="00683E73"/>
    <w:rsid w:val="006A3141"/>
    <w:rsid w:val="006A5E34"/>
    <w:rsid w:val="006A7F74"/>
    <w:rsid w:val="006B2422"/>
    <w:rsid w:val="006B2B9A"/>
    <w:rsid w:val="006C1937"/>
    <w:rsid w:val="006F020C"/>
    <w:rsid w:val="007127B7"/>
    <w:rsid w:val="0071798E"/>
    <w:rsid w:val="00720926"/>
    <w:rsid w:val="007416B6"/>
    <w:rsid w:val="00746F48"/>
    <w:rsid w:val="0075404D"/>
    <w:rsid w:val="0076182A"/>
    <w:rsid w:val="00767B7E"/>
    <w:rsid w:val="007770C3"/>
    <w:rsid w:val="00784D24"/>
    <w:rsid w:val="00785FBA"/>
    <w:rsid w:val="00786E4A"/>
    <w:rsid w:val="007875EB"/>
    <w:rsid w:val="0078777D"/>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DA9"/>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079C3"/>
    <w:rsid w:val="00923564"/>
    <w:rsid w:val="0092392E"/>
    <w:rsid w:val="009315F9"/>
    <w:rsid w:val="00933499"/>
    <w:rsid w:val="00935C98"/>
    <w:rsid w:val="00946945"/>
    <w:rsid w:val="00947F0D"/>
    <w:rsid w:val="00951248"/>
    <w:rsid w:val="0095152F"/>
    <w:rsid w:val="00954C49"/>
    <w:rsid w:val="00955E37"/>
    <w:rsid w:val="00955F4B"/>
    <w:rsid w:val="0097099F"/>
    <w:rsid w:val="009716C6"/>
    <w:rsid w:val="00971997"/>
    <w:rsid w:val="00971FFC"/>
    <w:rsid w:val="0098660A"/>
    <w:rsid w:val="009931C3"/>
    <w:rsid w:val="009B2C43"/>
    <w:rsid w:val="009B4EAE"/>
    <w:rsid w:val="009B7573"/>
    <w:rsid w:val="009C1A6B"/>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2738"/>
    <w:rsid w:val="00A331C8"/>
    <w:rsid w:val="00A3502E"/>
    <w:rsid w:val="00A40A00"/>
    <w:rsid w:val="00A4142F"/>
    <w:rsid w:val="00A422EB"/>
    <w:rsid w:val="00A45BB7"/>
    <w:rsid w:val="00A56DF2"/>
    <w:rsid w:val="00A56E6E"/>
    <w:rsid w:val="00A67AB5"/>
    <w:rsid w:val="00A733B2"/>
    <w:rsid w:val="00A741C2"/>
    <w:rsid w:val="00A90C8C"/>
    <w:rsid w:val="00A91760"/>
    <w:rsid w:val="00A93B00"/>
    <w:rsid w:val="00A93C21"/>
    <w:rsid w:val="00AA7C98"/>
    <w:rsid w:val="00AB64C9"/>
    <w:rsid w:val="00AC3C6A"/>
    <w:rsid w:val="00AD5620"/>
    <w:rsid w:val="00AD656B"/>
    <w:rsid w:val="00AD7C1B"/>
    <w:rsid w:val="00AE16BA"/>
    <w:rsid w:val="00AE1EBE"/>
    <w:rsid w:val="00B03C9D"/>
    <w:rsid w:val="00B060AE"/>
    <w:rsid w:val="00B10517"/>
    <w:rsid w:val="00B14E76"/>
    <w:rsid w:val="00B161B8"/>
    <w:rsid w:val="00B2048C"/>
    <w:rsid w:val="00B215A0"/>
    <w:rsid w:val="00B310B9"/>
    <w:rsid w:val="00B35F3F"/>
    <w:rsid w:val="00B36CBB"/>
    <w:rsid w:val="00B40677"/>
    <w:rsid w:val="00B41DEA"/>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0A89"/>
    <w:rsid w:val="00C03E31"/>
    <w:rsid w:val="00C33E72"/>
    <w:rsid w:val="00C354B2"/>
    <w:rsid w:val="00C35554"/>
    <w:rsid w:val="00C42709"/>
    <w:rsid w:val="00C533CC"/>
    <w:rsid w:val="00C5751C"/>
    <w:rsid w:val="00C61BFC"/>
    <w:rsid w:val="00C62B85"/>
    <w:rsid w:val="00C65438"/>
    <w:rsid w:val="00C77F69"/>
    <w:rsid w:val="00C87FD8"/>
    <w:rsid w:val="00C91381"/>
    <w:rsid w:val="00C91CBB"/>
    <w:rsid w:val="00CB4E70"/>
    <w:rsid w:val="00CC09B6"/>
    <w:rsid w:val="00CC666F"/>
    <w:rsid w:val="00CD1E3F"/>
    <w:rsid w:val="00CE44F6"/>
    <w:rsid w:val="00CE49DA"/>
    <w:rsid w:val="00CE7B61"/>
    <w:rsid w:val="00D00095"/>
    <w:rsid w:val="00D01B50"/>
    <w:rsid w:val="00D03553"/>
    <w:rsid w:val="00D114F0"/>
    <w:rsid w:val="00D13F93"/>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3066"/>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94959"/>
    <w:rsid w:val="00EA010F"/>
    <w:rsid w:val="00ED1B63"/>
    <w:rsid w:val="00ED3C1F"/>
    <w:rsid w:val="00ED4085"/>
    <w:rsid w:val="00ED420E"/>
    <w:rsid w:val="00ED6FBE"/>
    <w:rsid w:val="00EE2F57"/>
    <w:rsid w:val="00EF4C34"/>
    <w:rsid w:val="00EF77C6"/>
    <w:rsid w:val="00F05438"/>
    <w:rsid w:val="00F078A8"/>
    <w:rsid w:val="00F1361C"/>
    <w:rsid w:val="00F156F0"/>
    <w:rsid w:val="00F160C7"/>
    <w:rsid w:val="00F17EA2"/>
    <w:rsid w:val="00F2408F"/>
    <w:rsid w:val="00F240E9"/>
    <w:rsid w:val="00F30E69"/>
    <w:rsid w:val="00F36D8F"/>
    <w:rsid w:val="00F417B1"/>
    <w:rsid w:val="00F45853"/>
    <w:rsid w:val="00F602DF"/>
    <w:rsid w:val="00F754A1"/>
    <w:rsid w:val="00F81FD9"/>
    <w:rsid w:val="00F83812"/>
    <w:rsid w:val="00F841AA"/>
    <w:rsid w:val="00F84A94"/>
    <w:rsid w:val="00F87E96"/>
    <w:rsid w:val="00FA23E8"/>
    <w:rsid w:val="00FD3CC1"/>
    <w:rsid w:val="00FF1E02"/>
    <w:rsid w:val="00FF30B4"/>
    <w:rsid w:val="08A352F1"/>
    <w:rsid w:val="0A2032A3"/>
    <w:rsid w:val="0B8A37D8"/>
    <w:rsid w:val="10C055FF"/>
    <w:rsid w:val="118107EC"/>
    <w:rsid w:val="11BD4EFC"/>
    <w:rsid w:val="11DD6519"/>
    <w:rsid w:val="16BB723D"/>
    <w:rsid w:val="18015F3F"/>
    <w:rsid w:val="1BE8440E"/>
    <w:rsid w:val="1D155CEE"/>
    <w:rsid w:val="20F57F95"/>
    <w:rsid w:val="240371BF"/>
    <w:rsid w:val="25081BAB"/>
    <w:rsid w:val="25C741E6"/>
    <w:rsid w:val="27842671"/>
    <w:rsid w:val="29FD04D3"/>
    <w:rsid w:val="2ABE7A3E"/>
    <w:rsid w:val="2EFA178C"/>
    <w:rsid w:val="30B46D73"/>
    <w:rsid w:val="319F7F4E"/>
    <w:rsid w:val="39AE70AB"/>
    <w:rsid w:val="3A5728F4"/>
    <w:rsid w:val="3A9C40A6"/>
    <w:rsid w:val="3C0C0783"/>
    <w:rsid w:val="3F9F3A96"/>
    <w:rsid w:val="47797CE5"/>
    <w:rsid w:val="493C27E9"/>
    <w:rsid w:val="496F39ED"/>
    <w:rsid w:val="49FF41D3"/>
    <w:rsid w:val="4BE068DB"/>
    <w:rsid w:val="4BF6002B"/>
    <w:rsid w:val="4DE1259B"/>
    <w:rsid w:val="4DF2193C"/>
    <w:rsid w:val="4ECE2238"/>
    <w:rsid w:val="51DB4B86"/>
    <w:rsid w:val="55333C3E"/>
    <w:rsid w:val="5617416A"/>
    <w:rsid w:val="5E844828"/>
    <w:rsid w:val="61B17EB6"/>
    <w:rsid w:val="64CA39A1"/>
    <w:rsid w:val="6A8F42F1"/>
    <w:rsid w:val="6C4A05C8"/>
    <w:rsid w:val="6FA479B7"/>
    <w:rsid w:val="70DD76D6"/>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260B"/>
    <w:pPr>
      <w:widowControl w:val="0"/>
      <w:jc w:val="both"/>
    </w:pPr>
    <w:rPr>
      <w:kern w:val="2"/>
      <w:sz w:val="21"/>
      <w:szCs w:val="24"/>
    </w:rPr>
  </w:style>
  <w:style w:type="paragraph" w:styleId="1">
    <w:name w:val="heading 1"/>
    <w:basedOn w:val="a"/>
    <w:next w:val="a"/>
    <w:link w:val="1Char"/>
    <w:uiPriority w:val="9"/>
    <w:qFormat/>
    <w:rsid w:val="003B260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B260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B260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rsid w:val="003B260B"/>
    <w:pPr>
      <w:tabs>
        <w:tab w:val="center" w:pos="4153"/>
        <w:tab w:val="right" w:pos="8306"/>
      </w:tabs>
      <w:snapToGrid w:val="0"/>
      <w:jc w:val="left"/>
    </w:pPr>
    <w:rPr>
      <w:rFonts w:ascii="Calibri" w:hAnsi="Calibri"/>
      <w:kern w:val="0"/>
      <w:sz w:val="18"/>
      <w:szCs w:val="18"/>
    </w:rPr>
  </w:style>
  <w:style w:type="paragraph" w:styleId="a4">
    <w:name w:val="Body Text"/>
    <w:basedOn w:val="a"/>
    <w:link w:val="Char0"/>
    <w:uiPriority w:val="99"/>
    <w:qFormat/>
    <w:rsid w:val="003B260B"/>
    <w:pPr>
      <w:spacing w:beforeLines="30"/>
    </w:pPr>
    <w:rPr>
      <w:rFonts w:ascii="仿宋_GB2312" w:eastAsia="仿宋_GB2312"/>
      <w:kern w:val="0"/>
      <w:sz w:val="30"/>
    </w:rPr>
  </w:style>
  <w:style w:type="paragraph" w:styleId="30">
    <w:name w:val="toc 3"/>
    <w:basedOn w:val="a"/>
    <w:next w:val="a"/>
    <w:uiPriority w:val="39"/>
    <w:unhideWhenUsed/>
    <w:qFormat/>
    <w:rsid w:val="003B260B"/>
    <w:pPr>
      <w:tabs>
        <w:tab w:val="right" w:leader="dot" w:pos="8296"/>
      </w:tabs>
      <w:ind w:leftChars="400" w:left="840"/>
    </w:pPr>
  </w:style>
  <w:style w:type="paragraph" w:styleId="a5">
    <w:name w:val="Balloon Text"/>
    <w:basedOn w:val="a"/>
    <w:link w:val="Char1"/>
    <w:uiPriority w:val="99"/>
    <w:unhideWhenUsed/>
    <w:qFormat/>
    <w:rsid w:val="003B260B"/>
    <w:rPr>
      <w:sz w:val="18"/>
      <w:szCs w:val="18"/>
    </w:rPr>
  </w:style>
  <w:style w:type="paragraph" w:styleId="a6">
    <w:name w:val="header"/>
    <w:basedOn w:val="a"/>
    <w:link w:val="Char2"/>
    <w:uiPriority w:val="99"/>
    <w:semiHidden/>
    <w:qFormat/>
    <w:rsid w:val="003B260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3B260B"/>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3B260B"/>
    <w:pPr>
      <w:tabs>
        <w:tab w:val="right" w:leader="dot" w:pos="8296"/>
      </w:tabs>
      <w:ind w:leftChars="200" w:left="420"/>
    </w:pPr>
  </w:style>
  <w:style w:type="character" w:styleId="a7">
    <w:name w:val="Strong"/>
    <w:basedOn w:val="a1"/>
    <w:uiPriority w:val="99"/>
    <w:qFormat/>
    <w:rsid w:val="003B260B"/>
    <w:rPr>
      <w:b/>
    </w:rPr>
  </w:style>
  <w:style w:type="character" w:styleId="a8">
    <w:name w:val="Hyperlink"/>
    <w:basedOn w:val="a1"/>
    <w:uiPriority w:val="99"/>
    <w:unhideWhenUsed/>
    <w:qFormat/>
    <w:rsid w:val="003B260B"/>
    <w:rPr>
      <w:color w:val="0000FF" w:themeColor="hyperlink"/>
      <w:u w:val="single"/>
    </w:rPr>
  </w:style>
  <w:style w:type="character" w:customStyle="1" w:styleId="HeaderChar">
    <w:name w:val="Header Char"/>
    <w:basedOn w:val="a1"/>
    <w:uiPriority w:val="99"/>
    <w:semiHidden/>
    <w:qFormat/>
    <w:rsid w:val="003B260B"/>
    <w:rPr>
      <w:rFonts w:ascii="Times New Roman" w:hAnsi="Times New Roman"/>
      <w:sz w:val="18"/>
      <w:szCs w:val="18"/>
    </w:rPr>
  </w:style>
  <w:style w:type="character" w:customStyle="1" w:styleId="Char2">
    <w:name w:val="页眉 Char"/>
    <w:link w:val="a6"/>
    <w:uiPriority w:val="99"/>
    <w:semiHidden/>
    <w:qFormat/>
    <w:locked/>
    <w:rsid w:val="003B260B"/>
    <w:rPr>
      <w:sz w:val="18"/>
    </w:rPr>
  </w:style>
  <w:style w:type="character" w:customStyle="1" w:styleId="FooterChar">
    <w:name w:val="Footer Char"/>
    <w:basedOn w:val="a1"/>
    <w:uiPriority w:val="99"/>
    <w:semiHidden/>
    <w:qFormat/>
    <w:rsid w:val="003B260B"/>
    <w:rPr>
      <w:rFonts w:ascii="Times New Roman" w:hAnsi="Times New Roman"/>
      <w:sz w:val="18"/>
      <w:szCs w:val="18"/>
    </w:rPr>
  </w:style>
  <w:style w:type="character" w:customStyle="1" w:styleId="Char">
    <w:name w:val="页脚 Char"/>
    <w:link w:val="a0"/>
    <w:uiPriority w:val="99"/>
    <w:qFormat/>
    <w:locked/>
    <w:rsid w:val="003B260B"/>
    <w:rPr>
      <w:sz w:val="18"/>
    </w:rPr>
  </w:style>
  <w:style w:type="character" w:customStyle="1" w:styleId="BodyTextChar">
    <w:name w:val="Body Text Char"/>
    <w:basedOn w:val="a1"/>
    <w:uiPriority w:val="99"/>
    <w:semiHidden/>
    <w:qFormat/>
    <w:rsid w:val="003B260B"/>
    <w:rPr>
      <w:rFonts w:ascii="Times New Roman" w:hAnsi="Times New Roman"/>
      <w:szCs w:val="24"/>
    </w:rPr>
  </w:style>
  <w:style w:type="character" w:customStyle="1" w:styleId="Char0">
    <w:name w:val="正文文本 Char"/>
    <w:link w:val="a4"/>
    <w:uiPriority w:val="99"/>
    <w:qFormat/>
    <w:locked/>
    <w:rsid w:val="003B260B"/>
    <w:rPr>
      <w:rFonts w:ascii="仿宋_GB2312" w:eastAsia="仿宋_GB2312" w:hAnsi="Times New Roman"/>
      <w:sz w:val="24"/>
    </w:rPr>
  </w:style>
  <w:style w:type="paragraph" w:customStyle="1" w:styleId="Default">
    <w:name w:val="Default"/>
    <w:uiPriority w:val="99"/>
    <w:qFormat/>
    <w:rsid w:val="003B260B"/>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3B260B"/>
    <w:pPr>
      <w:ind w:firstLineChars="200" w:firstLine="420"/>
    </w:pPr>
  </w:style>
  <w:style w:type="character" w:customStyle="1" w:styleId="1Char">
    <w:name w:val="标题 1 Char"/>
    <w:basedOn w:val="a1"/>
    <w:link w:val="1"/>
    <w:uiPriority w:val="9"/>
    <w:qFormat/>
    <w:rsid w:val="003B260B"/>
    <w:rPr>
      <w:rFonts w:ascii="Times New Roman" w:hAnsi="Times New Roman"/>
      <w:b/>
      <w:bCs/>
      <w:kern w:val="44"/>
      <w:sz w:val="44"/>
      <w:szCs w:val="44"/>
    </w:rPr>
  </w:style>
  <w:style w:type="character" w:customStyle="1" w:styleId="2Char">
    <w:name w:val="标题 2 Char"/>
    <w:basedOn w:val="a1"/>
    <w:link w:val="2"/>
    <w:uiPriority w:val="9"/>
    <w:qFormat/>
    <w:rsid w:val="003B260B"/>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3B260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1"/>
    <w:link w:val="a5"/>
    <w:uiPriority w:val="99"/>
    <w:semiHidden/>
    <w:qFormat/>
    <w:rsid w:val="003B260B"/>
    <w:rPr>
      <w:rFonts w:ascii="Times New Roman" w:hAnsi="Times New Roman"/>
      <w:kern w:val="2"/>
      <w:sz w:val="18"/>
      <w:szCs w:val="18"/>
    </w:rPr>
  </w:style>
  <w:style w:type="character" w:customStyle="1" w:styleId="3Char">
    <w:name w:val="标题 3 Char"/>
    <w:basedOn w:val="a1"/>
    <w:link w:val="3"/>
    <w:uiPriority w:val="9"/>
    <w:qFormat/>
    <w:rsid w:val="003B260B"/>
    <w:rPr>
      <w:rFonts w:ascii="Times New Roman" w:hAnsi="Times New Roman"/>
      <w:b/>
      <w:bCs/>
      <w:kern w:val="2"/>
      <w:sz w:val="32"/>
      <w:szCs w:val="32"/>
    </w:rPr>
  </w:style>
  <w:style w:type="paragraph" w:customStyle="1" w:styleId="TOC2">
    <w:name w:val="TOC 标题2"/>
    <w:basedOn w:val="1"/>
    <w:next w:val="a"/>
    <w:uiPriority w:val="39"/>
    <w:unhideWhenUsed/>
    <w:qFormat/>
    <w:rsid w:val="003B260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11">
    <w:name w:val="font11"/>
    <w:basedOn w:val="a1"/>
    <w:qFormat/>
    <w:rsid w:val="003B260B"/>
    <w:rPr>
      <w:rFonts w:ascii="Times New Roman" w:hAnsi="Times New Roman" w:cs="Times New Roman" w:hint="default"/>
      <w:color w:val="000000"/>
      <w:sz w:val="24"/>
      <w:szCs w:val="24"/>
      <w:u w:val="none"/>
    </w:rPr>
  </w:style>
  <w:style w:type="character" w:customStyle="1" w:styleId="font31">
    <w:name w:val="font31"/>
    <w:basedOn w:val="a1"/>
    <w:rsid w:val="003B260B"/>
    <w:rPr>
      <w:rFonts w:ascii="宋体" w:eastAsia="宋体" w:hAnsi="宋体" w:cs="宋体" w:hint="eastAsia"/>
      <w:color w:val="000000"/>
      <w:sz w:val="24"/>
      <w:szCs w:val="24"/>
      <w:u w:val="none"/>
    </w:rPr>
  </w:style>
  <w:style w:type="character" w:customStyle="1" w:styleId="font41">
    <w:name w:val="font41"/>
    <w:basedOn w:val="a1"/>
    <w:qFormat/>
    <w:rsid w:val="003B260B"/>
    <w:rPr>
      <w:rFonts w:ascii="宋体" w:eastAsia="宋体" w:hAnsi="宋体" w:cs="宋体" w:hint="eastAsia"/>
      <w:color w:val="000000"/>
      <w:sz w:val="20"/>
      <w:szCs w:val="20"/>
      <w:u w:val="none"/>
    </w:rPr>
  </w:style>
  <w:style w:type="character" w:customStyle="1" w:styleId="font01">
    <w:name w:val="font01"/>
    <w:basedOn w:val="a1"/>
    <w:qFormat/>
    <w:rsid w:val="003B260B"/>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pPr>
      <w:tabs>
        <w:tab w:val="center" w:pos="4153"/>
        <w:tab w:val="right" w:pos="8306"/>
      </w:tabs>
      <w:snapToGrid w:val="0"/>
      <w:jc w:val="left"/>
    </w:pPr>
    <w:rPr>
      <w:rFonts w:ascii="Calibri" w:hAnsi="Calibri"/>
      <w:kern w:val="0"/>
      <w:sz w:val="18"/>
      <w:szCs w:val="18"/>
    </w:rPr>
  </w:style>
  <w:style w:type="paragraph" w:styleId="a4">
    <w:name w:val="Body Text"/>
    <w:basedOn w:val="a"/>
    <w:link w:val="Char0"/>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5">
    <w:name w:val="Balloon Text"/>
    <w:basedOn w:val="a"/>
    <w:link w:val="Char1"/>
    <w:uiPriority w:val="99"/>
    <w:unhideWhenUsed/>
    <w:qFormat/>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
    <w:name w:val="页脚 Char"/>
    <w:link w:val="a0"/>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0">
    <w:name w:val="正文文本 Char"/>
    <w:link w:val="a4"/>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11">
    <w:name w:val="font11"/>
    <w:basedOn w:val="a1"/>
    <w:qFormat/>
    <w:rPr>
      <w:rFonts w:ascii="Times New Roman" w:hAnsi="Times New Roman" w:cs="Times New Roman" w:hint="default"/>
      <w:color w:val="000000"/>
      <w:sz w:val="24"/>
      <w:szCs w:val="24"/>
      <w:u w:val="none"/>
    </w:rPr>
  </w:style>
  <w:style w:type="character" w:customStyle="1" w:styleId="font31">
    <w:name w:val="font31"/>
    <w:basedOn w:val="a1"/>
    <w:rPr>
      <w:rFonts w:ascii="宋体" w:eastAsia="宋体" w:hAnsi="宋体" w:cs="宋体" w:hint="eastAsia"/>
      <w:color w:val="000000"/>
      <w:sz w:val="24"/>
      <w:szCs w:val="24"/>
      <w:u w:val="none"/>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font01">
    <w:name w:val="font01"/>
    <w:basedOn w:val="a1"/>
    <w:qFormat/>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967208707849998"/>
          <c:y val="0.12818735600600201"/>
          <c:w val="0.58379888268156821"/>
          <c:h val="0.73966942148760395"/>
        </c:manualLayout>
      </c:layout>
      <c:barChart>
        <c:barDir val="col"/>
        <c:grouping val="clustered"/>
        <c:ser>
          <c:idx val="0"/>
          <c:order val="0"/>
          <c:tx>
            <c:strRef>
              <c:f>Sheet1!$A$2</c:f>
              <c:strCache>
                <c:ptCount val="1"/>
                <c:pt idx="0">
                  <c:v>收、支合计</c:v>
                </c:pt>
              </c:strCache>
            </c:strRef>
          </c:tx>
          <c:spPr>
            <a:solidFill>
              <a:srgbClr val="9999FF"/>
            </a:solidFill>
            <a:ln w="12663">
              <a:solidFill>
                <a:srgbClr val="000000"/>
              </a:solidFill>
              <a:prstDash val="solid"/>
            </a:ln>
          </c:spPr>
          <c:dPt>
            <c:idx val="1"/>
            <c:spPr>
              <a:solidFill>
                <a:srgbClr val="993366"/>
              </a:solidFill>
              <a:ln w="12663">
                <a:solidFill>
                  <a:srgbClr val="000000"/>
                </a:solidFill>
                <a:prstDash val="solid"/>
              </a:ln>
            </c:spPr>
          </c:dPt>
          <c:dLbls>
            <c:spPr>
              <a:noFill/>
              <a:ln w="25326">
                <a:noFill/>
              </a:ln>
              <a:effectLst/>
            </c:spPr>
            <c:txPr>
              <a:bodyPr rot="0" spcFirstLastPara="0" vertOverflow="ellipsis" vert="horz" wrap="square" lIns="38100" tIns="19050" rIns="38100" bIns="19050" anchor="ctr" anchorCtr="1"/>
              <a:lstStyle/>
              <a:p>
                <a:pPr>
                  <a:defRPr lang="zh-CN" sz="114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Sheet1!$B$1:$C$1</c:f>
              <c:strCache>
                <c:ptCount val="2"/>
                <c:pt idx="0">
                  <c:v>2020年</c:v>
                </c:pt>
                <c:pt idx="1">
                  <c:v>2021年</c:v>
                </c:pt>
              </c:strCache>
            </c:strRef>
          </c:cat>
          <c:val>
            <c:numRef>
              <c:f>Sheet1!$B$2:$C$2</c:f>
              <c:numCache>
                <c:formatCode>General</c:formatCode>
                <c:ptCount val="2"/>
                <c:pt idx="0">
                  <c:v>12240.04</c:v>
                </c:pt>
                <c:pt idx="1">
                  <c:v>12448.19</c:v>
                </c:pt>
              </c:numCache>
            </c:numRef>
          </c:val>
        </c:ser>
        <c:dLbls>
          <c:showVal val="1"/>
        </c:dLbls>
        <c:axId val="47033728"/>
        <c:axId val="47051904"/>
      </c:barChart>
      <c:catAx>
        <c:axId val="47033728"/>
        <c:scaling>
          <c:orientation val="minMax"/>
        </c:scaling>
        <c:axPos val="b"/>
        <c:numFmt formatCode="General" sourceLinked="1"/>
        <c:majorTickMark val="in"/>
        <c:tickLblPos val="nextTo"/>
        <c:spPr>
          <a:ln w="3166" cap="flat" cmpd="sng" algn="ctr">
            <a:solidFill>
              <a:srgbClr val="000000"/>
            </a:solidFill>
            <a:prstDash val="solid"/>
            <a:round/>
          </a:ln>
        </c:spPr>
        <c:txPr>
          <a:bodyPr rot="0" spcFirstLastPara="0" vertOverflow="ellipsis" vert="horz" wrap="square" anchor="ctr" anchorCtr="1"/>
          <a:lstStyle/>
          <a:p>
            <a:pPr>
              <a:defRPr lang="zh-CN" sz="114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47051904"/>
        <c:crosses val="autoZero"/>
        <c:auto val="1"/>
        <c:lblAlgn val="ctr"/>
        <c:lblOffset val="100"/>
        <c:tickLblSkip val="1"/>
      </c:catAx>
      <c:valAx>
        <c:axId val="47051904"/>
        <c:scaling>
          <c:orientation val="minMax"/>
        </c:scaling>
        <c:axPos val="l"/>
        <c:majorGridlines>
          <c:spPr>
            <a:ln w="3166" cap="flat" cmpd="sng" algn="ctr">
              <a:solidFill>
                <a:srgbClr val="000000"/>
              </a:solidFill>
              <a:prstDash val="solid"/>
              <a:round/>
            </a:ln>
          </c:spPr>
        </c:majorGridlines>
        <c:numFmt formatCode="General" sourceLinked="1"/>
        <c:majorTickMark val="in"/>
        <c:tickLblPos val="nextTo"/>
        <c:spPr>
          <a:ln w="3166" cap="flat" cmpd="sng" algn="ctr">
            <a:solidFill>
              <a:srgbClr val="000000"/>
            </a:solidFill>
            <a:prstDash val="solid"/>
            <a:round/>
          </a:ln>
        </c:spPr>
        <c:txPr>
          <a:bodyPr rot="0" spcFirstLastPara="0" vertOverflow="ellipsis" vert="horz" wrap="square" anchor="ctr" anchorCtr="1"/>
          <a:lstStyle/>
          <a:p>
            <a:pPr>
              <a:defRPr lang="zh-CN" sz="114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47033728"/>
        <c:crosses val="autoZero"/>
        <c:crossBetween val="between"/>
      </c:valAx>
      <c:spPr>
        <a:solidFill>
          <a:srgbClr val="C0C0C0"/>
        </a:solidFill>
        <a:ln w="12663">
          <a:solidFill>
            <a:srgbClr val="808080"/>
          </a:solidFill>
          <a:prstDash val="solid"/>
        </a:ln>
      </c:spPr>
    </c:plotArea>
    <c:legend>
      <c:legendPos val="r"/>
      <c:layout>
        <c:manualLayout>
          <c:xMode val="edge"/>
          <c:yMode val="edge"/>
          <c:x val="0.79329608938547502"/>
          <c:y val="0.37190082644628097"/>
          <c:w val="0.19553072625698295"/>
          <c:h val="0.16942148760330605"/>
        </c:manualLayout>
      </c:layout>
      <c:spPr>
        <a:noFill/>
        <a:ln w="3166">
          <a:solidFill>
            <a:srgbClr val="000000"/>
          </a:solidFill>
          <a:prstDash val="solid"/>
        </a:ln>
      </c:spPr>
      <c:txPr>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a:lstStyle/>
    <a:p>
      <a:pPr>
        <a:defRPr lang="zh-CN" sz="114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6.0941828254847702E-2"/>
          <c:y val="8.2417582417582402E-2"/>
          <c:w val="0.45706371191135697"/>
          <c:h val="0.90659340659341026"/>
        </c:manualLayout>
      </c:layout>
      <c:pieChart>
        <c:varyColors val="1"/>
        <c:ser>
          <c:idx val="0"/>
          <c:order val="0"/>
          <c:tx>
            <c:strRef>
              <c:f>Sheet1!$A$2</c:f>
              <c:strCache>
                <c:ptCount val="1"/>
                <c:pt idx="0">
                  <c:v>半年收入合计</c:v>
                </c:pt>
              </c:strCache>
            </c:strRef>
          </c:tx>
          <c:spPr>
            <a:solidFill>
              <a:srgbClr val="9999FF"/>
            </a:solidFill>
            <a:ln w="12679">
              <a:solidFill>
                <a:srgbClr val="000000"/>
              </a:solidFill>
              <a:prstDash val="solid"/>
            </a:ln>
          </c:spPr>
          <c:explosion val="2"/>
          <c:dLbls>
            <c:dLbl>
              <c:idx val="0"/>
              <c:spPr>
                <a:noFill/>
                <a:ln w="25357">
                  <a:noFill/>
                </a:ln>
                <a:effectLst/>
              </c:spPr>
              <c:txPr>
                <a:bodyPr rot="0" spcFirstLastPara="0" vertOverflow="ellipsis" vert="horz" wrap="square" lIns="38100" tIns="19050" rIns="38100" bIns="19050" anchor="ctr" anchorCtr="1"/>
                <a:lstStyle/>
                <a:p>
                  <a:pPr>
                    <a:defRPr lang="zh-CN" sz="95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
            <c:spPr>
              <a:noFill/>
              <a:ln w="25357">
                <a:noFill/>
              </a:ln>
              <a:effectLst/>
            </c:spPr>
            <c:txPr>
              <a:bodyPr rot="0" spcFirstLastPara="0" vertOverflow="ellipsis" vert="horz" wrap="square" lIns="38100" tIns="19050" rIns="38100" bIns="19050" anchor="ctr" anchorCtr="1"/>
              <a:lstStyle/>
              <a:p>
                <a:pPr>
                  <a:defRPr lang="zh-CN" sz="157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Sheet1!$B$1</c:f>
              <c:strCache>
                <c:ptCount val="1"/>
                <c:pt idx="0">
                  <c:v>一般公共预算财政拨款收入</c:v>
                </c:pt>
              </c:strCache>
            </c:strRef>
          </c:cat>
          <c:val>
            <c:numRef>
              <c:f>Sheet1!$B$2</c:f>
              <c:numCache>
                <c:formatCode>General</c:formatCode>
                <c:ptCount val="1"/>
                <c:pt idx="0">
                  <c:v>12448.19</c:v>
                </c:pt>
              </c:numCache>
            </c:numRef>
          </c:val>
        </c:ser>
        <c:dLbls>
          <c:showVal val="1"/>
        </c:dLbls>
        <c:firstSliceAng val="0"/>
      </c:pieChart>
      <c:spPr>
        <a:solidFill>
          <a:srgbClr val="C0C0C0"/>
        </a:solidFill>
        <a:ln w="12679">
          <a:solidFill>
            <a:srgbClr val="808080"/>
          </a:solidFill>
          <a:prstDash val="solid"/>
        </a:ln>
      </c:spPr>
    </c:plotArea>
    <c:legend>
      <c:legendPos val="r"/>
      <c:layout>
        <c:manualLayout>
          <c:xMode val="edge"/>
          <c:yMode val="edge"/>
          <c:x val="0.61834037200576719"/>
          <c:y val="0.19825684878501901"/>
          <c:w val="0.30747922437673098"/>
          <c:h val="0.71428571428571619"/>
        </c:manualLayout>
      </c:layout>
      <c:spPr>
        <a:noFill/>
        <a:ln w="3170">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3119918699187006"/>
          <c:y val="0.17930391547545099"/>
          <c:w val="0.34247967479674912"/>
          <c:h val="0.62834058421379824"/>
        </c:manualLayout>
      </c:layout>
      <c:pieChart>
        <c:varyColors val="1"/>
        <c:ser>
          <c:idx val="0"/>
          <c:order val="0"/>
          <c:tx>
            <c:strRef>
              <c:f>Sheet1!$A$2</c:f>
              <c:strCache>
                <c:ptCount val="1"/>
                <c:pt idx="0">
                  <c:v>本年支出合计</c:v>
                </c:pt>
              </c:strCache>
            </c:strRef>
          </c:tx>
          <c:spPr>
            <a:solidFill>
              <a:srgbClr val="9999FF"/>
            </a:solidFill>
            <a:ln w="22515">
              <a:solidFill>
                <a:srgbClr val="000000"/>
              </a:solidFill>
              <a:prstDash val="solid"/>
            </a:ln>
          </c:spPr>
          <c:explosion val="25"/>
          <c:dPt>
            <c:idx val="1"/>
            <c:spPr>
              <a:solidFill>
                <a:srgbClr val="993366"/>
              </a:solidFill>
              <a:ln w="22515">
                <a:solidFill>
                  <a:srgbClr val="000000"/>
                </a:solidFill>
                <a:prstDash val="solid"/>
              </a:ln>
            </c:spPr>
          </c:dPt>
          <c:dLbls>
            <c:dLbl>
              <c:idx val="0"/>
              <c:layout>
                <c:manualLayout>
                  <c:x val="8.8075880758807842E-3"/>
                  <c:y val="8.7395369928681452E-2"/>
                </c:manualLayout>
              </c:layout>
              <c:dLblPos val="bestFit"/>
              <c:showVal val="1"/>
              <c:extLst>
                <c:ext xmlns:c15="http://schemas.microsoft.com/office/drawing/2012/chart" uri="{CE6537A1-D6FC-4f65-9D91-7224C49458BB}">
                  <c15:layout/>
                </c:ext>
              </c:extLst>
            </c:dLbl>
            <c:dLbl>
              <c:idx val="1"/>
              <c:layout>
                <c:manualLayout>
                  <c:x val="6.7701840249448919E-3"/>
                  <c:y val="-3.7904619046554601E-2"/>
                </c:manualLayout>
              </c:layout>
              <c:dLblPos val="bestFit"/>
              <c:showVal val="1"/>
              <c:extLst>
                <c:ext xmlns:c15="http://schemas.microsoft.com/office/drawing/2012/chart" uri="{CE6537A1-D6FC-4f65-9D91-7224C49458BB}">
                  <c15:layout/>
                </c:ext>
              </c:extLst>
            </c:dLbl>
            <c:numFmt formatCode="0.00_ " sourceLinked="0"/>
            <c:spPr>
              <a:noFill/>
              <a:ln w="45030">
                <a:noFill/>
              </a:ln>
              <a:effectLst/>
            </c:spPr>
            <c:txPr>
              <a:bodyPr rot="0" spcFirstLastPara="0" vertOverflow="ellipsis" vert="horz" wrap="square" lIns="38100" tIns="19050" rIns="38100" bIns="19050" anchor="ctr" anchorCtr="1"/>
              <a:lstStyle/>
              <a:p>
                <a:pPr>
                  <a:defRPr lang="zh-CN" sz="88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Sheet1!$B$1:$C$1</c:f>
              <c:strCache>
                <c:ptCount val="2"/>
                <c:pt idx="0">
                  <c:v>基本支出</c:v>
                </c:pt>
                <c:pt idx="1">
                  <c:v>项目支出</c:v>
                </c:pt>
              </c:strCache>
            </c:strRef>
          </c:cat>
          <c:val>
            <c:numRef>
              <c:f>Sheet1!$B$2:$C$2</c:f>
              <c:numCache>
                <c:formatCode>General</c:formatCode>
                <c:ptCount val="2"/>
                <c:pt idx="0">
                  <c:v>11874.449999999997</c:v>
                </c:pt>
                <c:pt idx="1">
                  <c:v>573.75</c:v>
                </c:pt>
              </c:numCache>
            </c:numRef>
          </c:val>
        </c:ser>
        <c:dLbls>
          <c:showPercent val="1"/>
        </c:dLbls>
        <c:firstSliceAng val="0"/>
      </c:pieChart>
      <c:spPr>
        <a:solidFill>
          <a:srgbClr val="C0C0C0"/>
        </a:solidFill>
        <a:ln w="22515">
          <a:solidFill>
            <a:srgbClr val="808080"/>
          </a:solidFill>
          <a:prstDash val="solid"/>
        </a:ln>
      </c:spPr>
    </c:plotArea>
    <c:legend>
      <c:legendPos val="r"/>
      <c:layout>
        <c:manualLayout>
          <c:xMode val="edge"/>
          <c:yMode val="edge"/>
          <c:x val="0.78301886792452802"/>
          <c:y val="0.37837837837838223"/>
          <c:w val="0.20283018867924499"/>
          <c:h val="0.24324324324324406"/>
        </c:manualLayout>
      </c:layout>
      <c:spPr>
        <a:noFill/>
        <a:ln w="5629">
          <a:solidFill>
            <a:srgbClr val="000000"/>
          </a:solidFill>
          <a:prstDash val="solid"/>
        </a:ln>
      </c:spPr>
      <c:txPr>
        <a:bodyPr rot="0" spcFirstLastPara="0" vertOverflow="ellipsis" vert="horz" wrap="square" anchor="ctr" anchorCtr="1"/>
        <a:lstStyle/>
        <a:p>
          <a:pPr>
            <a:defRPr lang="zh-CN" sz="89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97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041741194652806"/>
          <c:y val="9.0701856712355394E-2"/>
          <c:w val="0.65914221218962243"/>
          <c:h val="0.74803149606299524"/>
        </c:manualLayout>
      </c:layout>
      <c:barChart>
        <c:barDir val="col"/>
        <c:grouping val="clustered"/>
        <c:ser>
          <c:idx val="0"/>
          <c:order val="0"/>
          <c:tx>
            <c:strRef>
              <c:f>Sheet1!$A$2</c:f>
              <c:strCache>
                <c:ptCount val="1"/>
                <c:pt idx="0">
                  <c:v>财政拨款收、支总计</c:v>
                </c:pt>
              </c:strCache>
            </c:strRef>
          </c:tx>
          <c:spPr>
            <a:solidFill>
              <a:srgbClr val="993366"/>
            </a:solidFill>
            <a:ln w="12689">
              <a:solidFill>
                <a:srgbClr val="000000"/>
              </a:solidFill>
              <a:prstDash val="solid"/>
            </a:ln>
          </c:spPr>
          <c:dPt>
            <c:idx val="0"/>
            <c:spPr>
              <a:solidFill>
                <a:srgbClr val="666699"/>
              </a:solidFill>
              <a:ln w="12689">
                <a:solidFill>
                  <a:srgbClr val="000000"/>
                </a:solidFill>
                <a:prstDash val="solid"/>
              </a:ln>
            </c:spPr>
          </c:dPt>
          <c:dLbls>
            <c:spPr>
              <a:noFill/>
              <a:ln w="25378">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Sheet1!$B$1:$C$1</c:f>
              <c:strCache>
                <c:ptCount val="2"/>
                <c:pt idx="0">
                  <c:v>2020年</c:v>
                </c:pt>
                <c:pt idx="1">
                  <c:v>2021年</c:v>
                </c:pt>
              </c:strCache>
            </c:strRef>
          </c:cat>
          <c:val>
            <c:numRef>
              <c:f>Sheet1!$B$2:$C$2</c:f>
              <c:numCache>
                <c:formatCode>General</c:formatCode>
                <c:ptCount val="2"/>
                <c:pt idx="0">
                  <c:v>12240.54</c:v>
                </c:pt>
                <c:pt idx="1">
                  <c:v>12448.19</c:v>
                </c:pt>
              </c:numCache>
            </c:numRef>
          </c:val>
        </c:ser>
        <c:dLbls>
          <c:showVal val="1"/>
        </c:dLbls>
        <c:axId val="46991232"/>
        <c:axId val="46992768"/>
      </c:barChart>
      <c:catAx>
        <c:axId val="46991232"/>
        <c:scaling>
          <c:orientation val="minMax"/>
        </c:scaling>
        <c:axPos val="b"/>
        <c:numFmt formatCode="General" sourceLinked="1"/>
        <c:majorTickMark val="in"/>
        <c:tickLblPos val="nextTo"/>
        <c:spPr>
          <a:ln w="3172"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46992768"/>
        <c:crosses val="autoZero"/>
        <c:auto val="1"/>
        <c:lblAlgn val="ctr"/>
        <c:lblOffset val="100"/>
        <c:tickLblSkip val="1"/>
      </c:catAx>
      <c:valAx>
        <c:axId val="46992768"/>
        <c:scaling>
          <c:orientation val="minMax"/>
        </c:scaling>
        <c:axPos val="l"/>
        <c:majorGridlines>
          <c:spPr>
            <a:ln w="3172" cap="flat" cmpd="sng" algn="ctr">
              <a:solidFill>
                <a:srgbClr val="000000"/>
              </a:solidFill>
              <a:prstDash val="solid"/>
              <a:round/>
            </a:ln>
          </c:spPr>
        </c:majorGridlines>
        <c:numFmt formatCode="General" sourceLinked="1"/>
        <c:majorTickMark val="in"/>
        <c:tickLblPos val="nextTo"/>
        <c:spPr>
          <a:ln w="3172"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46991232"/>
        <c:crosses val="autoZero"/>
        <c:crossBetween val="between"/>
      </c:valAx>
      <c:spPr>
        <a:solidFill>
          <a:srgbClr val="C0C0C0"/>
        </a:solidFill>
        <a:ln w="12689">
          <a:solidFill>
            <a:srgbClr val="808080"/>
          </a:solidFill>
          <a:prstDash val="solid"/>
        </a:ln>
      </c:spPr>
    </c:plotArea>
    <c:legend>
      <c:legendPos val="r"/>
      <c:layout>
        <c:manualLayout>
          <c:xMode val="edge"/>
          <c:yMode val="edge"/>
          <c:x val="0.83139152387130899"/>
          <c:y val="0.3704384227700761"/>
          <c:w val="0.16252821670428894"/>
          <c:h val="0.16929133858267811"/>
        </c:manualLayout>
      </c:layout>
      <c:spPr>
        <a:noFill/>
        <a:ln w="3172">
          <a:solidFill>
            <a:srgbClr val="000000"/>
          </a:solidFill>
          <a:prstDash val="soli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396382144011699"/>
          <c:y val="0.134546172674675"/>
          <c:w val="0.62942779291553319"/>
          <c:h val="0.72429906542056421"/>
        </c:manualLayout>
      </c:layout>
      <c:barChart>
        <c:barDir val="col"/>
        <c:grouping val="clustered"/>
        <c:ser>
          <c:idx val="0"/>
          <c:order val="0"/>
          <c:tx>
            <c:strRef>
              <c:f>Sheet1!$A$2</c:f>
              <c:strCache>
                <c:ptCount val="1"/>
                <c:pt idx="0">
                  <c:v>一般公共预算财政拨款支出</c:v>
                </c:pt>
              </c:strCache>
            </c:strRef>
          </c:tx>
          <c:spPr>
            <a:solidFill>
              <a:srgbClr val="0066CC"/>
            </a:solidFill>
            <a:ln w="12664">
              <a:solidFill>
                <a:srgbClr val="000000"/>
              </a:solidFill>
              <a:prstDash val="solid"/>
            </a:ln>
          </c:spPr>
          <c:dPt>
            <c:idx val="1"/>
            <c:spPr>
              <a:solidFill>
                <a:srgbClr val="993366"/>
              </a:solidFill>
              <a:ln w="12664">
                <a:solidFill>
                  <a:srgbClr val="000000"/>
                </a:solidFill>
                <a:prstDash val="solid"/>
              </a:ln>
            </c:spPr>
          </c:dPt>
          <c:dLbls>
            <c:spPr>
              <a:noFill/>
              <a:ln w="25328">
                <a:noFill/>
              </a:ln>
              <a:effectLst/>
            </c:spPr>
            <c:txPr>
              <a:bodyPr rot="0" spcFirstLastPara="0" vertOverflow="ellipsis" vert="horz" wrap="square" lIns="38100" tIns="19050" rIns="38100" bIns="19050" anchor="ctr" anchorCtr="1"/>
              <a:lstStyle/>
              <a:p>
                <a:pPr>
                  <a:defRPr lang="zh-CN" sz="104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Sheet1!$B$1:$C$1</c:f>
              <c:strCache>
                <c:ptCount val="2"/>
                <c:pt idx="0">
                  <c:v>2020年</c:v>
                </c:pt>
                <c:pt idx="1">
                  <c:v>2021年</c:v>
                </c:pt>
              </c:strCache>
            </c:strRef>
          </c:cat>
          <c:val>
            <c:numRef>
              <c:f>Sheet1!$B$2:$C$2</c:f>
              <c:numCache>
                <c:formatCode>General</c:formatCode>
                <c:ptCount val="2"/>
                <c:pt idx="0">
                  <c:v>11969.02</c:v>
                </c:pt>
                <c:pt idx="1">
                  <c:v>12448.19</c:v>
                </c:pt>
              </c:numCache>
            </c:numRef>
          </c:val>
        </c:ser>
        <c:dLbls>
          <c:showVal val="1"/>
        </c:dLbls>
        <c:axId val="102645120"/>
        <c:axId val="102655104"/>
      </c:barChart>
      <c:catAx>
        <c:axId val="102645120"/>
        <c:scaling>
          <c:orientation val="minMax"/>
        </c:scaling>
        <c:axPos val="b"/>
        <c:numFmt formatCode="General" sourceLinked="1"/>
        <c:majorTickMark val="in"/>
        <c:tickLblPos val="nextTo"/>
        <c:spPr>
          <a:ln w="3166" cap="flat" cmpd="sng" algn="ctr">
            <a:solidFill>
              <a:srgbClr val="000000"/>
            </a:solidFill>
            <a:prstDash val="solid"/>
            <a:round/>
          </a:ln>
        </c:spPr>
        <c:txPr>
          <a:bodyPr rot="0" spcFirstLastPara="0" vertOverflow="ellipsis" vert="horz" wrap="square" anchor="ctr" anchorCtr="1"/>
          <a:lstStyle/>
          <a:p>
            <a:pPr>
              <a:defRPr lang="zh-CN" sz="104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02655104"/>
        <c:crosses val="autoZero"/>
        <c:auto val="1"/>
        <c:lblAlgn val="ctr"/>
        <c:lblOffset val="100"/>
        <c:tickLblSkip val="1"/>
      </c:catAx>
      <c:valAx>
        <c:axId val="102655104"/>
        <c:scaling>
          <c:orientation val="minMax"/>
        </c:scaling>
        <c:axPos val="l"/>
        <c:majorGridlines>
          <c:spPr>
            <a:ln w="3166" cap="flat" cmpd="sng" algn="ctr">
              <a:solidFill>
                <a:srgbClr val="000000"/>
              </a:solidFill>
              <a:prstDash val="solid"/>
              <a:round/>
            </a:ln>
          </c:spPr>
        </c:majorGridlines>
        <c:numFmt formatCode="General" sourceLinked="1"/>
        <c:majorTickMark val="in"/>
        <c:tickLblPos val="nextTo"/>
        <c:spPr>
          <a:ln w="3166" cap="flat" cmpd="sng" algn="ctr">
            <a:solidFill>
              <a:srgbClr val="000000"/>
            </a:solidFill>
            <a:prstDash val="solid"/>
            <a:round/>
          </a:ln>
        </c:spPr>
        <c:txPr>
          <a:bodyPr rot="0" spcFirstLastPara="0" vertOverflow="ellipsis" vert="horz" wrap="square" anchor="ctr" anchorCtr="1"/>
          <a:lstStyle/>
          <a:p>
            <a:pPr>
              <a:defRPr lang="zh-CN" sz="104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02645120"/>
        <c:crosses val="autoZero"/>
        <c:crossBetween val="between"/>
      </c:valAx>
      <c:spPr>
        <a:solidFill>
          <a:srgbClr val="C0C0C0"/>
        </a:solidFill>
        <a:ln w="12664">
          <a:solidFill>
            <a:srgbClr val="808080"/>
          </a:solidFill>
          <a:prstDash val="solid"/>
        </a:ln>
      </c:spPr>
    </c:plotArea>
    <c:legend>
      <c:legendPos val="r"/>
      <c:layout>
        <c:manualLayout>
          <c:xMode val="edge"/>
          <c:yMode val="edge"/>
          <c:x val="0.81471389645776604"/>
          <c:y val="0.36448598130841525"/>
          <c:w val="0.17438692098092601"/>
          <c:h val="0.18224299065420607"/>
        </c:manualLayout>
      </c:layout>
      <c:spPr>
        <a:noFill/>
        <a:ln w="3166">
          <a:solidFill>
            <a:srgbClr val="000000"/>
          </a:solidFill>
          <a:prstDash val="solid"/>
        </a:ln>
      </c:spPr>
      <c:txPr>
        <a:bodyPr rot="0" spcFirstLastPara="0" vertOverflow="ellipsis" vert="horz" wrap="square" anchor="ctr" anchorCtr="1"/>
        <a:lstStyle/>
        <a:p>
          <a:pPr>
            <a:defRPr lang="zh-CN" sz="96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a:lstStyle/>
    <a:p>
      <a:pPr>
        <a:defRPr lang="zh-CN" sz="104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5.4580896686159786E-2"/>
          <c:y val="0.34782608695652412"/>
          <c:w val="0.43859649122807315"/>
          <c:h val="0.35177865612648201"/>
        </c:manualLayout>
      </c:layout>
      <c:pieChart>
        <c:varyColors val="1"/>
        <c:ser>
          <c:idx val="0"/>
          <c:order val="0"/>
          <c:tx>
            <c:strRef>
              <c:f>Sheet1!$A$2</c:f>
              <c:strCache>
                <c:ptCount val="1"/>
                <c:pt idx="0">
                  <c:v>一般公共预算财政拨款支出</c:v>
                </c:pt>
              </c:strCache>
            </c:strRef>
          </c:tx>
          <c:spPr>
            <a:solidFill>
              <a:srgbClr val="9999FF"/>
            </a:solidFill>
            <a:ln w="13043">
              <a:solidFill>
                <a:srgbClr val="000000"/>
              </a:solidFill>
              <a:prstDash val="solid"/>
            </a:ln>
          </c:spPr>
          <c:dPt>
            <c:idx val="1"/>
            <c:explosion val="29"/>
            <c:spPr>
              <a:solidFill>
                <a:srgbClr val="993366"/>
              </a:solidFill>
              <a:ln w="13043">
                <a:solidFill>
                  <a:srgbClr val="000000"/>
                </a:solidFill>
                <a:prstDash val="solid"/>
              </a:ln>
            </c:spPr>
          </c:dPt>
          <c:dPt>
            <c:idx val="2"/>
            <c:explosion val="22"/>
            <c:spPr>
              <a:solidFill>
                <a:srgbClr val="FFFFCC"/>
              </a:solidFill>
              <a:ln w="13043">
                <a:solidFill>
                  <a:srgbClr val="000000"/>
                </a:solidFill>
                <a:prstDash val="solid"/>
              </a:ln>
            </c:spPr>
          </c:dPt>
          <c:dPt>
            <c:idx val="3"/>
            <c:explosion val="31"/>
            <c:spPr>
              <a:solidFill>
                <a:srgbClr val="CCFFFF"/>
              </a:solidFill>
              <a:ln w="13043">
                <a:solidFill>
                  <a:srgbClr val="000000"/>
                </a:solidFill>
                <a:prstDash val="solid"/>
              </a:ln>
            </c:spPr>
          </c:dPt>
          <c:dLbls>
            <c:dLbl>
              <c:idx val="0"/>
              <c:layout>
                <c:manualLayout>
                  <c:x val="0.11079390400495003"/>
                  <c:y val="-2.12384051156526E-2"/>
                </c:manualLayout>
              </c:layout>
              <c:spPr>
                <a:noFill/>
                <a:ln w="26087">
                  <a:noFill/>
                </a:ln>
                <a:effectLst/>
              </c:spPr>
              <c:txPr>
                <a:bodyPr rot="0" spcFirstLastPara="0" vertOverflow="ellipsis" vert="horz" wrap="square" lIns="38100" tIns="19050" rIns="38100" bIns="19050" anchor="ctr" anchorCtr="1"/>
                <a:lstStyle/>
                <a:p>
                  <a:pPr>
                    <a:defRPr lang="zh-CN" sz="123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Val val="1"/>
              <c:extLst>
                <c:ext xmlns:c15="http://schemas.microsoft.com/office/drawing/2012/chart" uri="{CE6537A1-D6FC-4f65-9D91-7224C49458BB}">
                  <c15:layout/>
                </c:ext>
              </c:extLst>
            </c:dLbl>
            <c:dLbl>
              <c:idx val="2"/>
              <c:layout>
                <c:manualLayout>
                  <c:x val="-2.7379023317042499E-2"/>
                  <c:y val="-2.8549530059671202E-2"/>
                </c:manualLayout>
              </c:layout>
              <c:dLblPos val="bestFit"/>
              <c:showVal val="1"/>
              <c:extLst>
                <c:ext xmlns:c15="http://schemas.microsoft.com/office/drawing/2012/chart" uri="{CE6537A1-D6FC-4f65-9D91-7224C49458BB}">
                  <c15:layout/>
                </c:ext>
              </c:extLst>
            </c:dLbl>
            <c:spPr>
              <a:noFill/>
              <a:ln w="26087">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Sheet1!$B$1:$E$1</c:f>
              <c:strCache>
                <c:ptCount val="4"/>
                <c:pt idx="0">
                  <c:v>一般公共服务</c:v>
                </c:pt>
                <c:pt idx="1">
                  <c:v>公共安全支出</c:v>
                </c:pt>
                <c:pt idx="2">
                  <c:v>社会保障和就业</c:v>
                </c:pt>
                <c:pt idx="3">
                  <c:v>住房保障支出</c:v>
                </c:pt>
              </c:strCache>
            </c:strRef>
          </c:cat>
          <c:val>
            <c:numRef>
              <c:f>Sheet1!$B$2:$E$2</c:f>
              <c:numCache>
                <c:formatCode>General</c:formatCode>
                <c:ptCount val="4"/>
                <c:pt idx="0">
                  <c:v>3.4899999999999998</c:v>
                </c:pt>
                <c:pt idx="1">
                  <c:v>10294.61</c:v>
                </c:pt>
                <c:pt idx="2">
                  <c:v>1421.73</c:v>
                </c:pt>
                <c:pt idx="3">
                  <c:v>728.35999999999876</c:v>
                </c:pt>
              </c:numCache>
            </c:numRef>
          </c:val>
        </c:ser>
        <c:dLbls>
          <c:showVal val="1"/>
        </c:dLbls>
        <c:firstSliceAng val="15"/>
      </c:pieChart>
      <c:spPr>
        <a:noFill/>
        <a:ln>
          <a:noFill/>
        </a:ln>
        <a:effectLst/>
      </c:spPr>
    </c:plotArea>
    <c:legend>
      <c:legendPos val="r"/>
      <c:layout>
        <c:manualLayout>
          <c:xMode val="edge"/>
          <c:yMode val="edge"/>
          <c:x val="0.69342943345625319"/>
          <c:y val="2.552862300154719E-2"/>
          <c:w val="0.294837412001341"/>
          <c:h val="0.81021144920061783"/>
        </c:manualLayout>
      </c:layout>
      <c:spPr>
        <a:noFill/>
        <a:ln w="3261">
          <a:solidFill>
            <a:srgbClr val="000000"/>
          </a:solidFill>
          <a:prstDash val="solid"/>
        </a:ln>
      </c:spPr>
      <c:txPr>
        <a:bodyPr rot="0" spcFirstLastPara="0" vertOverflow="ellipsis" vert="horz" wrap="square" anchor="ctr" anchorCtr="1"/>
        <a:lstStyle/>
        <a:p>
          <a:pPr>
            <a:defRPr lang="zh-CN" sz="94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123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6923076923076913E-2"/>
          <c:y val="0.26341463414634098"/>
          <c:w val="0.57287449392712719"/>
          <c:h val="0.54634146341463619"/>
        </c:manualLayout>
      </c:layout>
      <c:pieChart>
        <c:varyColors val="1"/>
        <c:ser>
          <c:idx val="0"/>
          <c:order val="0"/>
          <c:tx>
            <c:strRef>
              <c:f>Sheet1!$A$2</c:f>
              <c:strCache>
                <c:ptCount val="1"/>
                <c:pt idx="0">
                  <c:v>“三公”经费</c:v>
                </c:pt>
              </c:strCache>
            </c:strRef>
          </c:tx>
          <c:spPr>
            <a:solidFill>
              <a:srgbClr val="9999FF"/>
            </a:solidFill>
            <a:ln w="12673">
              <a:solidFill>
                <a:srgbClr val="000000"/>
              </a:solidFill>
              <a:prstDash val="solid"/>
            </a:ln>
          </c:spPr>
          <c:dPt>
            <c:idx val="0"/>
            <c:spPr>
              <a:solidFill>
                <a:schemeClr val="accent5"/>
              </a:solidFill>
              <a:ln w="12673">
                <a:solidFill>
                  <a:srgbClr val="000000"/>
                </a:solidFill>
                <a:prstDash val="solid"/>
              </a:ln>
            </c:spPr>
          </c:dPt>
          <c:dPt>
            <c:idx val="1"/>
            <c:spPr>
              <a:solidFill>
                <a:schemeClr val="accent2"/>
              </a:solidFill>
              <a:ln w="12673">
                <a:solidFill>
                  <a:srgbClr val="000000"/>
                </a:solidFill>
                <a:prstDash val="solid"/>
              </a:ln>
            </c:spPr>
          </c:dPt>
          <c:dLbls>
            <c:dLbl>
              <c:idx val="0"/>
              <c:layout>
                <c:manualLayout>
                  <c:x val="3.4464475079533409E-3"/>
                  <c:y val="0.14821705426356599"/>
                </c:manualLayout>
              </c:layout>
              <c:dLblPos val="bestFit"/>
              <c:showVal val="1"/>
              <c:showPercent val="1"/>
              <c:extLst>
                <c:ext xmlns:c15="http://schemas.microsoft.com/office/drawing/2012/chart" uri="{CE6537A1-D6FC-4f65-9D91-7224C49458BB}">
                  <c15:layout/>
                </c:ext>
              </c:extLst>
            </c:dLbl>
            <c:dLbl>
              <c:idx val="1"/>
              <c:layout>
                <c:manualLayout>
                  <c:x val="5.7295314883231731E-2"/>
                  <c:y val="-8.0818592442957929E-2"/>
                </c:manualLayout>
              </c:layout>
              <c:numFmt formatCode="0.00%" sourceLinked="0"/>
              <c:spPr>
                <a:noFill/>
                <a:ln w="25347">
                  <a:noFill/>
                </a:ln>
                <a:effectLst/>
              </c:spPr>
              <c:txPr>
                <a:bodyPr rot="0" spcFirstLastPara="0" vertOverflow="ellipsis" vert="horz" wrap="square" lIns="38100" tIns="19050" rIns="38100" bIns="19050" anchor="ctr" anchorCtr="1"/>
                <a:lstStyle/>
                <a:p>
                  <a:pPr algn="r">
                    <a:defRPr lang="zh-CN" sz="5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Val val="1"/>
              <c:showSerName val="1"/>
              <c:showPercent val="1"/>
              <c:extLst>
                <c:ext xmlns:c15="http://schemas.microsoft.com/office/drawing/2012/chart" uri="{CE6537A1-D6FC-4f65-9D91-7224C49458BB}">
                  <c15:layout/>
                </c:ext>
              </c:extLst>
            </c:dLbl>
            <c:dLbl>
              <c:idx val="2"/>
              <c:layout>
                <c:manualLayout>
                  <c:x val="0.30282799747554223"/>
                  <c:y val="-0.41258575292949612"/>
                </c:manualLayout>
              </c:layout>
              <c:numFmt formatCode="0.00%" sourceLinked="0"/>
              <c:spPr>
                <a:noFill/>
                <a:ln w="25347">
                  <a:noFill/>
                </a:ln>
                <a:effectLst/>
              </c:spPr>
              <c:txPr>
                <a:bodyPr rot="0" spcFirstLastPara="0" vertOverflow="ellipsis" vert="horz" wrap="square" lIns="38100" tIns="19050" rIns="38100" bIns="19050" anchor="ctr" anchorCtr="1"/>
                <a:lstStyle/>
                <a:p>
                  <a:pPr algn="r">
                    <a:defRPr lang="zh-CN" sz="5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Val val="1"/>
              <c:showPercent val="1"/>
              <c:extLst>
                <c:ext xmlns:c15="http://schemas.microsoft.com/office/drawing/2012/chart" uri="{CE6537A1-D6FC-4f65-9D91-7224C49458BB}">
                  <c15:layout/>
                </c:ext>
              </c:extLst>
            </c:dLbl>
            <c:numFmt formatCode="0.00_ " sourceLinked="0"/>
            <c:spPr>
              <a:noFill/>
              <a:ln w="25347">
                <a:noFill/>
              </a:ln>
              <a:effectLst/>
            </c:spPr>
            <c:txPr>
              <a:bodyPr rot="0" spcFirstLastPara="0" vertOverflow="ellipsis" vert="horz" wrap="square" lIns="38100" tIns="19050" rIns="38100" bIns="19050" anchor="ctr" anchorCtr="1"/>
              <a:lstStyle/>
              <a:p>
                <a:pPr algn="r">
                  <a:defRPr lang="zh-CN" sz="57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Val val="1"/>
            <c:showPercent val="1"/>
            <c:showLeaderLines val="1"/>
            <c:extLst>
              <c:ext xmlns:c15="http://schemas.microsoft.com/office/drawing/2012/chart" uri="{CE6537A1-D6FC-4f65-9D91-7224C49458BB}">
                <c15:layout/>
                <c15:showLeaderLines val="1"/>
                <c15:leaderLines/>
              </c:ext>
            </c:extLst>
          </c:dLbls>
          <c:cat>
            <c:strRef>
              <c:f>Sheet1!$B$1:$D$1</c:f>
              <c:strCache>
                <c:ptCount val="3"/>
                <c:pt idx="0">
                  <c:v>因公出国</c:v>
                </c:pt>
                <c:pt idx="1">
                  <c:v>公务接待费</c:v>
                </c:pt>
                <c:pt idx="2">
                  <c:v>公车购置及运维</c:v>
                </c:pt>
              </c:strCache>
            </c:strRef>
          </c:cat>
          <c:val>
            <c:numRef>
              <c:f>Sheet1!$B$2:$D$2</c:f>
              <c:numCache>
                <c:formatCode>General</c:formatCode>
                <c:ptCount val="3"/>
                <c:pt idx="0">
                  <c:v>0</c:v>
                </c:pt>
                <c:pt idx="1">
                  <c:v>7.0000000000000021E-2</c:v>
                </c:pt>
                <c:pt idx="2">
                  <c:v>267.58999999999986</c:v>
                </c:pt>
              </c:numCache>
            </c:numRef>
          </c:val>
        </c:ser>
        <c:ser>
          <c:idx val="1"/>
          <c:order val="1"/>
          <c:tx>
            <c:strRef>
              <c:f>Sheet1!$A$3</c:f>
              <c:strCache>
                <c:ptCount val="1"/>
              </c:strCache>
            </c:strRef>
          </c:tx>
          <c:spPr>
            <a:solidFill>
              <a:srgbClr val="993366"/>
            </a:solidFill>
            <a:ln w="12673">
              <a:solidFill>
                <a:srgbClr val="000000"/>
              </a:solidFill>
              <a:prstDash val="solid"/>
            </a:ln>
          </c:spPr>
          <c:dPt>
            <c:idx val="0"/>
            <c:spPr>
              <a:solidFill>
                <a:srgbClr val="9999FF"/>
              </a:solidFill>
              <a:ln w="12673">
                <a:solidFill>
                  <a:srgbClr val="000000"/>
                </a:solidFill>
                <a:prstDash val="solid"/>
              </a:ln>
            </c:spPr>
          </c:dPt>
          <c:dPt>
            <c:idx val="2"/>
            <c:spPr>
              <a:solidFill>
                <a:srgbClr val="FFFFCC"/>
              </a:solidFill>
              <a:ln w="12673">
                <a:solidFill>
                  <a:srgbClr val="000000"/>
                </a:solidFill>
                <a:prstDash val="solid"/>
              </a:ln>
            </c:spPr>
          </c:dPt>
          <c:dLbls>
            <c:numFmt formatCode="0%" sourceLinked="0"/>
            <c:spPr>
              <a:noFill/>
              <a:ln w="25347">
                <a:noFill/>
              </a:ln>
              <a:effectLst/>
            </c:spPr>
            <c:txPr>
              <a:bodyPr rot="0" spcFirstLastPara="0" vertOverflow="ellipsis" vert="horz" wrap="square" lIns="38100" tIns="19050" rIns="38100" bIns="19050"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Val val="1"/>
            <c:showPercent val="1"/>
            <c:showLeaderLines val="1"/>
            <c:extLst>
              <c:ext xmlns:c15="http://schemas.microsoft.com/office/drawing/2012/chart" uri="{CE6537A1-D6FC-4f65-9D91-7224C49458BB}">
                <c15:layout/>
                <c15:showLeaderLines val="1"/>
                <c15:leaderLines/>
              </c:ext>
            </c:extLst>
          </c:dLbls>
          <c:cat>
            <c:strRef>
              <c:f>Sheet1!$B$1:$D$1</c:f>
              <c:strCache>
                <c:ptCount val="3"/>
                <c:pt idx="0">
                  <c:v>因公出国</c:v>
                </c:pt>
                <c:pt idx="1">
                  <c:v>公务接待费</c:v>
                </c:pt>
                <c:pt idx="2">
                  <c:v>公车购置及运维</c:v>
                </c:pt>
              </c:strCache>
            </c:strRef>
          </c:cat>
          <c:val>
            <c:numRef>
              <c:f>Sheet1!$B$3:$D$3</c:f>
              <c:numCache>
                <c:formatCode>General</c:formatCode>
                <c:ptCount val="3"/>
              </c:numCache>
            </c:numRef>
          </c:val>
        </c:ser>
        <c:dLbls>
          <c:showVal val="1"/>
          <c:showPercent val="1"/>
        </c:dLbls>
        <c:firstSliceAng val="90"/>
      </c:pieChart>
      <c:spPr>
        <a:noFill/>
        <a:ln>
          <a:noFill/>
        </a:ln>
        <a:effectLst/>
      </c:spPr>
    </c:plotArea>
    <c:legend>
      <c:legendPos val="r"/>
      <c:layout>
        <c:manualLayout>
          <c:xMode val="edge"/>
          <c:yMode val="edge"/>
          <c:x val="0.77120890774125073"/>
          <c:y val="9.3023255813953504E-3"/>
          <c:w val="0.22468186638388088"/>
          <c:h val="0.81302325581395396"/>
        </c:manualLayout>
      </c:layout>
      <c:spPr>
        <a:noFill/>
        <a:ln w="3168">
          <a:solidFill>
            <a:srgbClr val="000000"/>
          </a:solidFill>
          <a:prstDash val="solid"/>
        </a:ln>
      </c:spPr>
      <c:txPr>
        <a:bodyPr rot="0" spcFirstLastPara="0" vertOverflow="ellipsis" vert="horz" wrap="square" anchor="ctr" anchorCtr="1"/>
        <a:lstStyle/>
        <a:p>
          <a:pPr>
            <a:defRPr lang="zh-CN" sz="89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102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1617</Words>
  <Characters>9217</Characters>
  <Application>Microsoft Office Word</Application>
  <DocSecurity>0</DocSecurity>
  <Lines>76</Lines>
  <Paragraphs>21</Paragraphs>
  <ScaleCrop>false</ScaleCrop>
  <Company>四川省财政厅</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cp:lastModifiedBy>
  <cp:revision>61</cp:revision>
  <cp:lastPrinted>2022-08-06T02:23:00Z</cp:lastPrinted>
  <dcterms:created xsi:type="dcterms:W3CDTF">2020-08-05T01:49:00Z</dcterms:created>
  <dcterms:modified xsi:type="dcterms:W3CDTF">2023-10-16T00:48:00Z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y fmtid="{D5CDD505-2E9C-101B-9397-08002B2CF9AE}" pid="3" name="ICV">
    <vt:lpwstr>2C112EB3C73F4D18A69E4D97CE52F6BA_13</vt:lpwstr>
  </property>
</Properties>
</file>