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eastAsia="方正小标宋简体"/>
          <w:sz w:val="44"/>
          <w:szCs w:val="44"/>
        </w:rPr>
      </w:pPr>
    </w:p>
    <w:p>
      <w:pPr>
        <w:spacing w:line="600" w:lineRule="exact"/>
        <w:jc w:val="center"/>
        <w:rPr>
          <w:rFonts w:eastAsia="方正小标宋简体"/>
          <w:sz w:val="44"/>
          <w:szCs w:val="44"/>
        </w:rPr>
      </w:pPr>
    </w:p>
    <w:p>
      <w:pPr>
        <w:spacing w:line="600" w:lineRule="exact"/>
        <w:jc w:val="center"/>
        <w:rPr>
          <w:rFonts w:eastAsia="方正小标宋简体"/>
          <w:sz w:val="44"/>
          <w:szCs w:val="44"/>
        </w:rPr>
      </w:pPr>
    </w:p>
    <w:p>
      <w:pPr>
        <w:spacing w:line="600" w:lineRule="exact"/>
        <w:jc w:val="center"/>
        <w:rPr>
          <w:rFonts w:eastAsia="方正小标宋简体"/>
          <w:sz w:val="44"/>
          <w:szCs w:val="44"/>
        </w:rPr>
      </w:pPr>
    </w:p>
    <w:p>
      <w:pPr>
        <w:spacing w:line="600" w:lineRule="exact"/>
        <w:jc w:val="center"/>
        <w:rPr>
          <w:rFonts w:eastAsia="方正小标宋简体"/>
          <w:sz w:val="44"/>
          <w:szCs w:val="44"/>
        </w:rPr>
      </w:pPr>
    </w:p>
    <w:p>
      <w:pPr>
        <w:spacing w:line="600" w:lineRule="exact"/>
        <w:jc w:val="center"/>
        <w:rPr>
          <w:rFonts w:eastAsia="方正小标宋简体"/>
          <w:sz w:val="44"/>
          <w:szCs w:val="44"/>
        </w:rPr>
      </w:pPr>
    </w:p>
    <w:p>
      <w:pPr>
        <w:spacing w:line="600" w:lineRule="exact"/>
        <w:jc w:val="center"/>
        <w:rPr>
          <w:rFonts w:eastAsia="方正小标宋简体"/>
          <w:sz w:val="44"/>
          <w:szCs w:val="44"/>
        </w:rPr>
      </w:pPr>
    </w:p>
    <w:p>
      <w:pPr>
        <w:spacing w:line="600" w:lineRule="exact"/>
        <w:jc w:val="center"/>
        <w:rPr>
          <w:rFonts w:eastAsia="方正小标宋简体"/>
          <w:sz w:val="44"/>
          <w:szCs w:val="44"/>
        </w:rPr>
      </w:pPr>
    </w:p>
    <w:p>
      <w:pPr>
        <w:spacing w:line="600" w:lineRule="exact"/>
        <w:jc w:val="center"/>
        <w:rPr>
          <w:rFonts w:eastAsia="方正小标宋简体"/>
          <w:sz w:val="44"/>
          <w:szCs w:val="44"/>
        </w:rPr>
      </w:pPr>
    </w:p>
    <w:p>
      <w:pPr>
        <w:spacing w:line="600" w:lineRule="exact"/>
        <w:jc w:val="center"/>
        <w:rPr>
          <w:rFonts w:eastAsia="方正小标宋简体"/>
          <w:sz w:val="44"/>
          <w:szCs w:val="44"/>
        </w:rPr>
      </w:pPr>
    </w:p>
    <w:p>
      <w:pPr>
        <w:spacing w:line="600" w:lineRule="exact"/>
        <w:jc w:val="center"/>
        <w:rPr>
          <w:rFonts w:hint="eastAsia" w:ascii="方正小标宋_GBK" w:eastAsia="方正小标宋_GBK"/>
          <w:sz w:val="52"/>
          <w:szCs w:val="52"/>
        </w:rPr>
      </w:pPr>
      <w:r>
        <w:rPr>
          <w:rFonts w:hint="eastAsia" w:ascii="方正小标宋_GBK" w:eastAsia="方正小标宋_GBK"/>
          <w:sz w:val="52"/>
          <w:szCs w:val="52"/>
        </w:rPr>
        <w:t>攀枝花市公安局西区分局2022年</w:t>
      </w:r>
    </w:p>
    <w:p>
      <w:pPr>
        <w:spacing w:line="600" w:lineRule="exact"/>
        <w:jc w:val="center"/>
        <w:rPr>
          <w:rFonts w:eastAsia="方正小标宋简体"/>
          <w:sz w:val="44"/>
          <w:szCs w:val="44"/>
          <w:u w:val="single"/>
        </w:rPr>
      </w:pPr>
      <w:r>
        <w:rPr>
          <w:rFonts w:hint="eastAsia" w:ascii="方正小标宋_GBK" w:eastAsia="方正小标宋_GBK"/>
          <w:sz w:val="52"/>
          <w:szCs w:val="52"/>
        </w:rPr>
        <w:t>单位预算编制说明</w:t>
      </w:r>
    </w:p>
    <w:p>
      <w:pPr>
        <w:spacing w:line="600" w:lineRule="exact"/>
        <w:jc w:val="center"/>
        <w:rPr>
          <w:rFonts w:hint="eastAsia" w:eastAsia="方正小标宋简体"/>
          <w:sz w:val="44"/>
          <w:szCs w:val="44"/>
          <w:u w:val="single"/>
        </w:rPr>
        <w:sectPr>
          <w:footerReference r:id="rId3" w:type="even"/>
          <w:pgSz w:w="11906" w:h="16838"/>
          <w:pgMar w:top="1247" w:right="1542" w:bottom="1247" w:left="2098" w:header="851" w:footer="992" w:gutter="0"/>
          <w:pgNumType w:fmt="numberInDash" w:start="1"/>
          <w:cols w:space="720" w:num="1"/>
          <w:docGrid w:type="lines" w:linePitch="435" w:charSpace="0"/>
        </w:sectPr>
      </w:pPr>
    </w:p>
    <w:p>
      <w:pPr>
        <w:spacing w:line="400" w:lineRule="exact"/>
        <w:jc w:val="center"/>
        <w:rPr>
          <w:rFonts w:hint="eastAsia" w:eastAsia="黑体"/>
        </w:rPr>
      </w:pPr>
      <w:r>
        <w:rPr>
          <w:rFonts w:hint="eastAsia" w:eastAsia="黑体"/>
        </w:rPr>
        <w:t>目录</w:t>
      </w:r>
    </w:p>
    <w:p>
      <w:pPr>
        <w:spacing w:line="600" w:lineRule="exact"/>
        <w:jc w:val="left"/>
        <w:rPr>
          <w:rFonts w:eastAsia="楷体_GB2312"/>
        </w:rPr>
      </w:pPr>
      <w:r>
        <w:rPr>
          <w:rFonts w:eastAsia="楷体_GB2312"/>
        </w:rPr>
        <w:t>一、基本职能及主要工作</w:t>
      </w:r>
      <w:r>
        <w:rPr>
          <w:rFonts w:hint="eastAsia" w:eastAsia="楷体_GB2312"/>
        </w:rPr>
        <w:t>...........................................................2</w:t>
      </w:r>
    </w:p>
    <w:p>
      <w:pPr>
        <w:spacing w:line="600" w:lineRule="exact"/>
        <w:ind w:firstLine="640" w:firstLineChars="200"/>
        <w:jc w:val="left"/>
      </w:pPr>
      <w:r>
        <w:t>（一）</w:t>
      </w:r>
      <w:r>
        <w:rPr>
          <w:rFonts w:hint="eastAsia"/>
        </w:rPr>
        <w:t>攀枝花市公安局西区分局</w:t>
      </w:r>
      <w:r>
        <w:t>职能简介</w:t>
      </w:r>
      <w:r>
        <w:rPr>
          <w:rFonts w:hint="eastAsia" w:eastAsia="楷体_GB2312"/>
        </w:rPr>
        <w:t>.......................</w:t>
      </w:r>
      <w:r>
        <w:rPr>
          <w:rFonts w:hint="eastAsia"/>
        </w:rPr>
        <w:t>2</w:t>
      </w:r>
    </w:p>
    <w:p>
      <w:pPr>
        <w:spacing w:line="600" w:lineRule="exact"/>
        <w:ind w:firstLine="640" w:firstLineChars="200"/>
        <w:jc w:val="left"/>
        <w:rPr>
          <w:rFonts w:hint="eastAsia"/>
        </w:rPr>
      </w:pPr>
      <w:r>
        <w:t>（二）</w:t>
      </w:r>
      <w:r>
        <w:rPr>
          <w:rFonts w:hint="eastAsia"/>
        </w:rPr>
        <w:t>攀枝花市公安局西区分局</w:t>
      </w:r>
      <w:r>
        <w:t>2022年重点工作</w:t>
      </w:r>
      <w:r>
        <w:rPr>
          <w:rFonts w:hint="eastAsia" w:eastAsia="楷体_GB2312"/>
        </w:rPr>
        <w:t>..........</w:t>
      </w:r>
      <w:r>
        <w:rPr>
          <w:rFonts w:hint="eastAsia"/>
        </w:rPr>
        <w:t>2</w:t>
      </w:r>
    </w:p>
    <w:p>
      <w:pPr>
        <w:spacing w:line="600" w:lineRule="exact"/>
        <w:jc w:val="left"/>
      </w:pPr>
      <w:r>
        <w:rPr>
          <w:rFonts w:hint="eastAsia" w:eastAsia="楷体_GB2312"/>
        </w:rPr>
        <w:t>二、机构设置情况.......................................................................2</w:t>
      </w:r>
    </w:p>
    <w:p>
      <w:pPr>
        <w:spacing w:line="600" w:lineRule="exact"/>
        <w:jc w:val="left"/>
        <w:rPr>
          <w:rFonts w:eastAsia="楷体_GB2312"/>
        </w:rPr>
      </w:pPr>
      <w:r>
        <w:rPr>
          <w:rFonts w:hint="eastAsia" w:eastAsia="楷体_GB2312"/>
        </w:rPr>
        <w:t>三</w:t>
      </w:r>
      <w:r>
        <w:rPr>
          <w:rFonts w:eastAsia="楷体_GB2312"/>
        </w:rPr>
        <w:t>、收支预算情况说明</w:t>
      </w:r>
      <w:r>
        <w:rPr>
          <w:rFonts w:hint="eastAsia" w:eastAsia="楷体_GB2312"/>
        </w:rPr>
        <w:t>.............................................................2</w:t>
      </w:r>
    </w:p>
    <w:p>
      <w:pPr>
        <w:spacing w:line="600" w:lineRule="exact"/>
        <w:ind w:firstLine="640" w:firstLineChars="200"/>
        <w:jc w:val="left"/>
      </w:pPr>
      <w:r>
        <w:t>（一）收入预算情况</w:t>
      </w:r>
      <w:r>
        <w:rPr>
          <w:rFonts w:hint="eastAsia" w:eastAsia="楷体_GB2312"/>
        </w:rPr>
        <w:t>...........................................................</w:t>
      </w:r>
      <w:r>
        <w:rPr>
          <w:rFonts w:hint="eastAsia"/>
        </w:rPr>
        <w:t>3</w:t>
      </w:r>
    </w:p>
    <w:p>
      <w:pPr>
        <w:spacing w:line="600" w:lineRule="exact"/>
        <w:ind w:firstLine="640" w:firstLineChars="200"/>
        <w:jc w:val="left"/>
        <w:rPr>
          <w:b/>
          <w:bCs/>
        </w:rPr>
      </w:pPr>
      <w:r>
        <w:t>（二）支出预算情况</w:t>
      </w:r>
      <w:r>
        <w:rPr>
          <w:rFonts w:hint="eastAsia" w:eastAsia="楷体_GB2312"/>
        </w:rPr>
        <w:t>...........................................................</w:t>
      </w:r>
      <w:r>
        <w:rPr>
          <w:rFonts w:hint="eastAsia"/>
        </w:rPr>
        <w:t>3</w:t>
      </w:r>
    </w:p>
    <w:p>
      <w:pPr>
        <w:spacing w:line="600" w:lineRule="exact"/>
        <w:jc w:val="left"/>
        <w:rPr>
          <w:rFonts w:eastAsia="楷体_GB2312"/>
        </w:rPr>
      </w:pPr>
      <w:r>
        <w:rPr>
          <w:rFonts w:hint="eastAsia" w:eastAsia="楷体_GB2312"/>
        </w:rPr>
        <w:t>四</w:t>
      </w:r>
      <w:r>
        <w:rPr>
          <w:rFonts w:eastAsia="楷体_GB2312"/>
        </w:rPr>
        <w:t>、财政拨款收支预算情况说明</w:t>
      </w:r>
      <w:r>
        <w:rPr>
          <w:rFonts w:hint="eastAsia" w:eastAsia="楷体_GB2312"/>
        </w:rPr>
        <w:t>...............................................3</w:t>
      </w:r>
    </w:p>
    <w:p>
      <w:pPr>
        <w:spacing w:line="600" w:lineRule="exact"/>
        <w:jc w:val="left"/>
        <w:rPr>
          <w:rFonts w:eastAsia="楷体_GB2312"/>
        </w:rPr>
      </w:pPr>
      <w:r>
        <w:rPr>
          <w:rFonts w:hint="eastAsia" w:eastAsia="楷体_GB2312"/>
        </w:rPr>
        <w:t>五</w:t>
      </w:r>
      <w:r>
        <w:rPr>
          <w:rFonts w:eastAsia="楷体_GB2312"/>
        </w:rPr>
        <w:t>、一般公共预算当年拨款情况说明</w:t>
      </w:r>
      <w:r>
        <w:rPr>
          <w:rFonts w:hint="eastAsia" w:eastAsia="楷体_GB2312"/>
        </w:rPr>
        <w:t>.......................................3</w:t>
      </w:r>
    </w:p>
    <w:p>
      <w:pPr>
        <w:spacing w:line="600" w:lineRule="exact"/>
        <w:ind w:firstLine="640" w:firstLineChars="200"/>
        <w:jc w:val="left"/>
      </w:pPr>
      <w:r>
        <w:t>（一）一般公共预算当年拨款规模变化情况</w:t>
      </w:r>
      <w:r>
        <w:rPr>
          <w:rFonts w:hint="eastAsia" w:eastAsia="楷体_GB2312"/>
        </w:rPr>
        <w:t>...................</w:t>
      </w:r>
      <w:r>
        <w:rPr>
          <w:rFonts w:hint="eastAsia"/>
        </w:rPr>
        <w:t>3</w:t>
      </w:r>
    </w:p>
    <w:p>
      <w:pPr>
        <w:spacing w:line="600" w:lineRule="exact"/>
        <w:ind w:firstLine="640" w:firstLineChars="200"/>
        <w:jc w:val="left"/>
      </w:pPr>
      <w:r>
        <w:t>（二）一般公共预算当年拨款结构情况</w:t>
      </w:r>
      <w:r>
        <w:rPr>
          <w:rFonts w:hint="eastAsia" w:eastAsia="楷体_GB2312"/>
        </w:rPr>
        <w:t>...........................</w:t>
      </w:r>
      <w:r>
        <w:rPr>
          <w:rFonts w:hint="eastAsia"/>
        </w:rPr>
        <w:t>4</w:t>
      </w:r>
    </w:p>
    <w:p>
      <w:pPr>
        <w:spacing w:line="600" w:lineRule="exact"/>
        <w:ind w:firstLine="640" w:firstLineChars="200"/>
        <w:jc w:val="left"/>
      </w:pPr>
      <w:r>
        <w:t>（三）一般公共预算当年拨款具体使用情况</w:t>
      </w:r>
      <w:r>
        <w:rPr>
          <w:rFonts w:hint="eastAsia" w:eastAsia="楷体_GB2312"/>
        </w:rPr>
        <w:t>...................</w:t>
      </w:r>
      <w:r>
        <w:rPr>
          <w:rFonts w:hint="eastAsia"/>
        </w:rPr>
        <w:t>4</w:t>
      </w:r>
    </w:p>
    <w:p>
      <w:pPr>
        <w:spacing w:line="600" w:lineRule="exact"/>
        <w:jc w:val="left"/>
        <w:rPr>
          <w:rFonts w:eastAsia="楷体_GB2312"/>
        </w:rPr>
      </w:pPr>
      <w:r>
        <w:rPr>
          <w:rFonts w:hint="eastAsia" w:eastAsia="楷体_GB2312"/>
        </w:rPr>
        <w:t>六</w:t>
      </w:r>
      <w:r>
        <w:rPr>
          <w:rFonts w:eastAsia="楷体_GB2312"/>
        </w:rPr>
        <w:t>、一般公共预算基本支出情况说明</w:t>
      </w:r>
      <w:r>
        <w:rPr>
          <w:rFonts w:hint="eastAsia" w:eastAsia="楷体_GB2312"/>
        </w:rPr>
        <w:t>......................................5</w:t>
      </w:r>
    </w:p>
    <w:p>
      <w:pPr>
        <w:spacing w:line="600" w:lineRule="exact"/>
        <w:jc w:val="left"/>
        <w:rPr>
          <w:rFonts w:eastAsia="楷体_GB2312"/>
        </w:rPr>
      </w:pPr>
      <w:r>
        <w:rPr>
          <w:rFonts w:hint="eastAsia" w:eastAsia="楷体_GB2312"/>
          <w:spacing w:val="20"/>
        </w:rPr>
        <w:t>七</w:t>
      </w:r>
      <w:r>
        <w:rPr>
          <w:rFonts w:eastAsia="楷体_GB2312"/>
          <w:spacing w:val="20"/>
        </w:rPr>
        <w:t>、</w:t>
      </w:r>
      <w:r>
        <w:rPr>
          <w:rFonts w:eastAsia="楷体_GB2312"/>
          <w:spacing w:val="20"/>
          <w:kern w:val="0"/>
        </w:rPr>
        <w:t>“三公”经费财政拨款预算安排情况说明</w:t>
      </w:r>
      <w:r>
        <w:rPr>
          <w:rFonts w:hint="eastAsia" w:eastAsia="楷体_GB2312"/>
        </w:rPr>
        <w:t>..................5</w:t>
      </w:r>
    </w:p>
    <w:p>
      <w:pPr>
        <w:spacing w:line="600" w:lineRule="exact"/>
        <w:jc w:val="left"/>
        <w:rPr>
          <w:rFonts w:eastAsia="楷体_GB2312"/>
        </w:rPr>
      </w:pPr>
      <w:r>
        <w:rPr>
          <w:rFonts w:hint="eastAsia" w:eastAsia="楷体_GB2312"/>
        </w:rPr>
        <w:t>八</w:t>
      </w:r>
      <w:r>
        <w:rPr>
          <w:rFonts w:eastAsia="楷体_GB2312"/>
        </w:rPr>
        <w:t>、政府性基金预算支出情况说明</w:t>
      </w:r>
      <w:r>
        <w:rPr>
          <w:rFonts w:hint="eastAsia" w:eastAsia="楷体_GB2312"/>
        </w:rPr>
        <w:t>...........................................6</w:t>
      </w:r>
    </w:p>
    <w:p>
      <w:pPr>
        <w:spacing w:line="600" w:lineRule="exact"/>
        <w:jc w:val="left"/>
        <w:rPr>
          <w:rFonts w:eastAsia="楷体_GB2312"/>
        </w:rPr>
      </w:pPr>
      <w:r>
        <w:rPr>
          <w:rFonts w:hint="eastAsia" w:eastAsia="楷体_GB2312"/>
        </w:rPr>
        <w:t>九</w:t>
      </w:r>
      <w:r>
        <w:rPr>
          <w:rFonts w:eastAsia="楷体_GB2312"/>
        </w:rPr>
        <w:t>、国有资本经营预算情况说明</w:t>
      </w:r>
      <w:r>
        <w:rPr>
          <w:rFonts w:hint="eastAsia" w:eastAsia="楷体_GB2312"/>
        </w:rPr>
        <w:t>...............................................6</w:t>
      </w:r>
    </w:p>
    <w:p>
      <w:pPr>
        <w:spacing w:line="600" w:lineRule="exact"/>
        <w:jc w:val="left"/>
        <w:rPr>
          <w:rFonts w:eastAsia="楷体_GB2312"/>
        </w:rPr>
      </w:pPr>
      <w:r>
        <w:rPr>
          <w:rFonts w:hint="eastAsia" w:eastAsia="楷体_GB2312"/>
        </w:rPr>
        <w:t>十</w:t>
      </w:r>
      <w:r>
        <w:rPr>
          <w:rFonts w:eastAsia="楷体_GB2312"/>
        </w:rPr>
        <w:t>、其他重要事项的情况说明</w:t>
      </w:r>
      <w:r>
        <w:rPr>
          <w:rFonts w:hint="eastAsia" w:eastAsia="楷体_GB2312"/>
        </w:rPr>
        <w:t>...................................................6</w:t>
      </w:r>
    </w:p>
    <w:p>
      <w:pPr>
        <w:spacing w:line="600" w:lineRule="exact"/>
        <w:ind w:firstLine="640" w:firstLineChars="200"/>
        <w:jc w:val="left"/>
      </w:pPr>
      <w:r>
        <w:t>（一）机关运行经费</w:t>
      </w:r>
      <w:r>
        <w:rPr>
          <w:rFonts w:hint="eastAsia" w:eastAsia="楷体_GB2312"/>
        </w:rPr>
        <w:t>...........................................................</w:t>
      </w:r>
      <w:r>
        <w:rPr>
          <w:rFonts w:hint="eastAsia"/>
        </w:rPr>
        <w:t>7</w:t>
      </w:r>
    </w:p>
    <w:p>
      <w:pPr>
        <w:spacing w:line="600" w:lineRule="exact"/>
        <w:ind w:firstLine="640" w:firstLineChars="200"/>
        <w:jc w:val="left"/>
      </w:pPr>
      <w:r>
        <w:t>（二）政府采购情况</w:t>
      </w:r>
      <w:r>
        <w:rPr>
          <w:rFonts w:hint="eastAsia" w:eastAsia="楷体_GB2312"/>
        </w:rPr>
        <w:t>...........................................................</w:t>
      </w:r>
      <w:r>
        <w:rPr>
          <w:rFonts w:hint="eastAsia"/>
        </w:rPr>
        <w:t>7</w:t>
      </w:r>
    </w:p>
    <w:p>
      <w:pPr>
        <w:spacing w:line="600" w:lineRule="exact"/>
        <w:ind w:firstLine="640" w:firstLineChars="200"/>
        <w:jc w:val="left"/>
      </w:pPr>
      <w:r>
        <w:t>（三）国有资产占有使用情况</w:t>
      </w:r>
      <w:r>
        <w:rPr>
          <w:rFonts w:hint="eastAsia" w:eastAsia="楷体_GB2312"/>
        </w:rPr>
        <w:t>...........................................</w:t>
      </w:r>
      <w:r>
        <w:rPr>
          <w:rFonts w:hint="eastAsia"/>
        </w:rPr>
        <w:t>7</w:t>
      </w:r>
    </w:p>
    <w:p>
      <w:pPr>
        <w:spacing w:line="600" w:lineRule="exact"/>
        <w:ind w:firstLine="640" w:firstLineChars="200"/>
        <w:jc w:val="left"/>
      </w:pPr>
      <w:r>
        <w:t>（四）绩效目标设置情况</w:t>
      </w:r>
      <w:r>
        <w:rPr>
          <w:rFonts w:hint="eastAsia" w:eastAsia="楷体_GB2312"/>
        </w:rPr>
        <w:t>...................................................</w:t>
      </w:r>
      <w:r>
        <w:rPr>
          <w:rFonts w:hint="eastAsia"/>
        </w:rPr>
        <w:t>7</w:t>
      </w:r>
    </w:p>
    <w:p>
      <w:pPr>
        <w:spacing w:line="600" w:lineRule="exact"/>
        <w:jc w:val="left"/>
        <w:rPr>
          <w:rFonts w:eastAsia="楷体_GB2312"/>
        </w:rPr>
      </w:pPr>
      <w:r>
        <w:rPr>
          <w:rFonts w:eastAsia="楷体_GB2312"/>
        </w:rPr>
        <w:t>十</w:t>
      </w:r>
      <w:r>
        <w:rPr>
          <w:rFonts w:hint="eastAsia" w:eastAsia="楷体_GB2312"/>
        </w:rPr>
        <w:t>一</w:t>
      </w:r>
      <w:r>
        <w:rPr>
          <w:rFonts w:eastAsia="楷体_GB2312"/>
        </w:rPr>
        <w:t>、名词解释</w:t>
      </w:r>
      <w:r>
        <w:rPr>
          <w:rFonts w:hint="eastAsia" w:eastAsia="楷体_GB2312"/>
        </w:rPr>
        <w:t>...........................................................................8</w:t>
      </w:r>
    </w:p>
    <w:p>
      <w:pPr>
        <w:spacing w:line="600" w:lineRule="exact"/>
        <w:jc w:val="left"/>
        <w:rPr>
          <w:rFonts w:eastAsia="黑体"/>
        </w:rPr>
      </w:pPr>
      <w:r>
        <w:rPr>
          <w:rFonts w:hint="eastAsia" w:eastAsia="楷体_GB2312"/>
        </w:rPr>
        <w:t>附件.............................................................................................9</w:t>
      </w:r>
    </w:p>
    <w:p>
      <w:pPr>
        <w:spacing w:line="600" w:lineRule="exact"/>
        <w:ind w:firstLine="640" w:firstLineChars="200"/>
        <w:rPr>
          <w:rFonts w:eastAsia="黑体"/>
        </w:rPr>
      </w:pPr>
      <w:r>
        <w:rPr>
          <w:rFonts w:eastAsia="黑体"/>
        </w:rPr>
        <w:br w:type="page"/>
      </w:r>
      <w:r>
        <w:rPr>
          <w:rFonts w:eastAsia="黑体"/>
        </w:rPr>
        <w:t>一、基本职能及主要工作</w:t>
      </w:r>
    </w:p>
    <w:p>
      <w:pPr>
        <w:pStyle w:val="2"/>
        <w:adjustRightInd w:val="0"/>
        <w:spacing w:before="130" w:beforeLines="0" w:line="600" w:lineRule="exact"/>
        <w:ind w:firstLine="675" w:firstLineChars="210"/>
        <w:rPr>
          <w:rFonts w:hint="eastAsia" w:ascii="Times New Roman"/>
          <w:sz w:val="32"/>
        </w:rPr>
      </w:pPr>
      <w:r>
        <w:rPr>
          <w:rFonts w:ascii="Times New Roman" w:eastAsia="楷体_GB2312"/>
          <w:b/>
          <w:sz w:val="32"/>
        </w:rPr>
        <w:t>（一）</w:t>
      </w:r>
      <w:r>
        <w:rPr>
          <w:rFonts w:hint="eastAsia" w:ascii="Times New Roman" w:eastAsia="楷体_GB2312"/>
          <w:b/>
          <w:sz w:val="32"/>
        </w:rPr>
        <w:t>攀枝花市公安局西区分局</w:t>
      </w:r>
      <w:r>
        <w:rPr>
          <w:rFonts w:ascii="Times New Roman" w:eastAsia="楷体_GB2312"/>
          <w:b/>
          <w:sz w:val="32"/>
        </w:rPr>
        <w:t>职能简介。</w:t>
      </w:r>
      <w:r>
        <w:rPr>
          <w:rFonts w:hint="eastAsia" w:ascii="Times New Roman"/>
          <w:sz w:val="32"/>
        </w:rPr>
        <w:t>贯彻执行党和国家关于公安工作的路线、方针、政策和法律法规；预防、制止和侦查违法犯罪活动；维护社会治安秩序，制止危害社会治安秩序的行为；指导、检查、监督本辖区公安机关的执法活动；依法管理户口、居民身份证、枪支弹药、管制刀具和易燃易爆、剧毒、放射性等危险物品和特种做业的管理工作；依法管理集会、游行、示威活动；承办政府和上级公安机关交办的其他事项。</w:t>
      </w:r>
    </w:p>
    <w:p>
      <w:pPr>
        <w:pStyle w:val="2"/>
        <w:adjustRightInd w:val="0"/>
        <w:spacing w:before="0" w:beforeLines="0" w:line="600" w:lineRule="exact"/>
        <w:ind w:firstLine="675" w:firstLineChars="210"/>
        <w:rPr>
          <w:rFonts w:ascii="Times New Roman"/>
          <w:sz w:val="32"/>
        </w:rPr>
      </w:pPr>
      <w:r>
        <w:rPr>
          <w:rFonts w:ascii="Times New Roman" w:eastAsia="楷体_GB2312"/>
          <w:b/>
          <w:sz w:val="32"/>
        </w:rPr>
        <w:t>（二）</w:t>
      </w:r>
      <w:r>
        <w:rPr>
          <w:rFonts w:hint="eastAsia" w:ascii="Times New Roman" w:eastAsia="楷体_GB2312"/>
          <w:b/>
          <w:sz w:val="32"/>
        </w:rPr>
        <w:t>攀枝花市公安局西区分局</w:t>
      </w:r>
      <w:r>
        <w:rPr>
          <w:rFonts w:ascii="Times New Roman" w:eastAsia="楷体_GB2312"/>
          <w:b/>
          <w:sz w:val="32"/>
        </w:rPr>
        <w:t>2022年重点工作。</w:t>
      </w:r>
      <w:r>
        <w:rPr>
          <w:rFonts w:hint="eastAsia" w:ascii="Times New Roman"/>
          <w:sz w:val="32"/>
        </w:rPr>
        <w:t>2022年，西区分局将以党的二十大胜利召开安保工作为主线，以省厅“磐石”系列行动和市局“六大行动”为抓手，紧密结合《2022年市（州）公安工作绩效评估规则》，对标对表找差距，反思整改补短板，创先争优抓工作，力争实现年终考核在全市五个区县分局中“定三争二”目标。</w:t>
      </w:r>
    </w:p>
    <w:p>
      <w:pPr>
        <w:spacing w:line="600" w:lineRule="exact"/>
        <w:ind w:firstLine="640" w:firstLineChars="200"/>
        <w:rPr>
          <w:rFonts w:hint="eastAsia" w:eastAsia="黑体"/>
        </w:rPr>
      </w:pPr>
      <w:r>
        <w:rPr>
          <w:rFonts w:hint="eastAsia" w:eastAsia="黑体"/>
        </w:rPr>
        <w:t>二</w:t>
      </w:r>
      <w:r>
        <w:rPr>
          <w:rFonts w:eastAsia="黑体"/>
        </w:rPr>
        <w:t>、</w:t>
      </w:r>
      <w:r>
        <w:rPr>
          <w:rFonts w:hint="eastAsia" w:eastAsia="黑体"/>
        </w:rPr>
        <w:t>机构设置情况</w:t>
      </w:r>
    </w:p>
    <w:p>
      <w:pPr>
        <w:pStyle w:val="2"/>
        <w:adjustRightInd w:val="0"/>
        <w:spacing w:before="130" w:line="600" w:lineRule="exact"/>
        <w:ind w:firstLine="672" w:firstLineChars="210"/>
        <w:rPr>
          <w:rFonts w:hint="eastAsia"/>
          <w:sz w:val="32"/>
        </w:rPr>
      </w:pPr>
      <w:r>
        <w:rPr>
          <w:rFonts w:hint="eastAsia"/>
          <w:sz w:val="32"/>
        </w:rPr>
        <w:t>攀枝花市公安局西区分局属于攀枝花市公安局部门下属的二级预算单位，无下级预算单位。</w:t>
      </w:r>
    </w:p>
    <w:p>
      <w:pPr>
        <w:spacing w:line="600" w:lineRule="exact"/>
        <w:ind w:firstLine="640" w:firstLineChars="200"/>
        <w:rPr>
          <w:rFonts w:eastAsia="黑体"/>
        </w:rPr>
      </w:pPr>
      <w:r>
        <w:rPr>
          <w:rFonts w:hint="eastAsia" w:eastAsia="黑体"/>
        </w:rPr>
        <w:t>三、</w:t>
      </w:r>
      <w:r>
        <w:rPr>
          <w:rFonts w:eastAsia="黑体"/>
        </w:rPr>
        <w:t>收支预算情况说明</w:t>
      </w:r>
    </w:p>
    <w:p>
      <w:pPr>
        <w:pStyle w:val="2"/>
        <w:spacing w:before="0" w:beforeLines="0" w:line="600" w:lineRule="exact"/>
        <w:ind w:firstLine="640" w:firstLineChars="200"/>
        <w:rPr>
          <w:rFonts w:hint="eastAsia"/>
          <w:sz w:val="32"/>
        </w:rPr>
      </w:pPr>
      <w:r>
        <w:rPr>
          <w:rFonts w:hint="eastAsia"/>
          <w:sz w:val="32"/>
        </w:rPr>
        <w:t>　按照综合预算的原则，攀枝花市公安局西区分局所有收入和支出均纳入部门预算管理。收入包括：一般公共预算拨款收入6,960.20万元、政府性基金预算拨款收入0万元、国有资本经营预算拨款收入0万元、事业收入0万元、事业单位经营收入0万元；支出包括：公共安全支出5621.78万元、社会保障和就业支出746.62万元、住房保障支出591.8万元。攀枝花市公安局西区分局2022年收支总预算6,960.20万元。比2021年预算数增加411.63万元，主要是住房公积金增加143.65万元，行政单位离退休增加319.22万元。</w:t>
      </w:r>
    </w:p>
    <w:p>
      <w:pPr>
        <w:spacing w:line="600" w:lineRule="exact"/>
        <w:ind w:firstLine="643" w:firstLineChars="200"/>
        <w:rPr>
          <w:rFonts w:eastAsia="楷体_GB2312"/>
          <w:b/>
        </w:rPr>
      </w:pPr>
      <w:r>
        <w:rPr>
          <w:rFonts w:eastAsia="楷体_GB2312"/>
          <w:b/>
        </w:rPr>
        <w:t>（一）收入预算情况。</w:t>
      </w:r>
    </w:p>
    <w:p>
      <w:pPr>
        <w:spacing w:line="600" w:lineRule="exact"/>
        <w:ind w:firstLine="640" w:firstLineChars="200"/>
      </w:pPr>
      <w:r>
        <w:rPr>
          <w:rFonts w:hint="eastAsia"/>
        </w:rPr>
        <w:t>攀枝花市公安局西区分局</w:t>
      </w:r>
      <w:r>
        <w:t>2022年收入预算</w:t>
      </w:r>
      <w:r>
        <w:rPr>
          <w:rFonts w:hint="eastAsia"/>
        </w:rPr>
        <w:t>6960.20</w:t>
      </w:r>
      <w:r>
        <w:t>万元，其中：上年结转</w:t>
      </w:r>
      <w:r>
        <w:rPr>
          <w:rFonts w:hint="eastAsia"/>
        </w:rPr>
        <w:t>0</w:t>
      </w:r>
      <w:r>
        <w:t>万元，占</w:t>
      </w:r>
      <w:r>
        <w:rPr>
          <w:rFonts w:hint="eastAsia"/>
        </w:rPr>
        <w:t>0</w:t>
      </w:r>
      <w:r>
        <w:t>%；一般公共预算拨款收入</w:t>
      </w:r>
      <w:r>
        <w:rPr>
          <w:rFonts w:hint="eastAsia"/>
        </w:rPr>
        <w:t>6960.20</w:t>
      </w:r>
      <w:r>
        <w:t>万元，占</w:t>
      </w:r>
      <w:r>
        <w:rPr>
          <w:rFonts w:hint="eastAsia"/>
        </w:rPr>
        <w:t>100</w:t>
      </w:r>
      <w:r>
        <w:t>%；政府性基金预算拨款收入</w:t>
      </w:r>
      <w:r>
        <w:rPr>
          <w:rFonts w:hint="eastAsia"/>
        </w:rPr>
        <w:t>0</w:t>
      </w:r>
      <w:r>
        <w:t>万元，占</w:t>
      </w:r>
      <w:r>
        <w:rPr>
          <w:rFonts w:hint="eastAsia"/>
        </w:rPr>
        <w:t>0</w:t>
      </w:r>
      <w:r>
        <w:t>%；事业收入</w:t>
      </w:r>
      <w:r>
        <w:rPr>
          <w:rFonts w:hint="eastAsia"/>
        </w:rPr>
        <w:t>0</w:t>
      </w:r>
      <w:r>
        <w:t>万元，占</w:t>
      </w:r>
      <w:r>
        <w:rPr>
          <w:rFonts w:hint="eastAsia"/>
        </w:rPr>
        <w:t>0</w:t>
      </w:r>
      <w:r>
        <w:t>%。</w:t>
      </w:r>
    </w:p>
    <w:p>
      <w:pPr>
        <w:spacing w:line="600" w:lineRule="exact"/>
        <w:ind w:firstLine="643" w:firstLineChars="200"/>
        <w:rPr>
          <w:rFonts w:eastAsia="楷体_GB2312"/>
          <w:b/>
        </w:rPr>
      </w:pPr>
      <w:r>
        <w:rPr>
          <w:rFonts w:eastAsia="楷体_GB2312"/>
          <w:b/>
        </w:rPr>
        <w:t>（二）支出预算情况。</w:t>
      </w:r>
    </w:p>
    <w:p>
      <w:pPr>
        <w:spacing w:line="600" w:lineRule="exact"/>
        <w:ind w:firstLine="640" w:firstLineChars="200"/>
        <w:rPr>
          <w:u w:val="single"/>
        </w:rPr>
      </w:pPr>
      <w:r>
        <w:rPr>
          <w:rFonts w:hint="eastAsia"/>
        </w:rPr>
        <w:t>攀枝花市公安局西区分局</w:t>
      </w:r>
      <w:r>
        <w:t>2022年支出预算</w:t>
      </w:r>
      <w:r>
        <w:rPr>
          <w:rFonts w:hint="eastAsia"/>
        </w:rPr>
        <w:t>6960.20</w:t>
      </w:r>
      <w:r>
        <w:t>万元，其中：基本支出</w:t>
      </w:r>
      <w:r>
        <w:rPr>
          <w:rFonts w:hint="eastAsia"/>
        </w:rPr>
        <w:t>6960.20</w:t>
      </w:r>
      <w:r>
        <w:t>万元，占</w:t>
      </w:r>
      <w:r>
        <w:rPr>
          <w:rFonts w:hint="eastAsia"/>
        </w:rPr>
        <w:t>100</w:t>
      </w:r>
      <w:r>
        <w:t>%；项目支出</w:t>
      </w:r>
      <w:r>
        <w:rPr>
          <w:rFonts w:hint="eastAsia"/>
        </w:rPr>
        <w:t>0</w:t>
      </w:r>
      <w:r>
        <w:t>万元，占</w:t>
      </w:r>
      <w:r>
        <w:rPr>
          <w:rFonts w:hint="eastAsia"/>
        </w:rPr>
        <w:t>0</w:t>
      </w:r>
      <w:r>
        <w:t>%。</w:t>
      </w:r>
    </w:p>
    <w:p>
      <w:pPr>
        <w:spacing w:line="600" w:lineRule="exact"/>
        <w:ind w:firstLine="640" w:firstLineChars="200"/>
        <w:rPr>
          <w:rFonts w:eastAsia="黑体"/>
        </w:rPr>
      </w:pPr>
      <w:r>
        <w:rPr>
          <w:rFonts w:hint="eastAsia" w:eastAsia="黑体"/>
        </w:rPr>
        <w:t>四</w:t>
      </w:r>
      <w:r>
        <w:rPr>
          <w:rFonts w:eastAsia="黑体"/>
        </w:rPr>
        <w:t>、财政拨款收支预算情况说明</w:t>
      </w:r>
    </w:p>
    <w:p>
      <w:pPr>
        <w:spacing w:line="600" w:lineRule="exact"/>
        <w:ind w:firstLine="640" w:firstLineChars="200"/>
        <w:rPr>
          <w:rFonts w:eastAsia="黑体"/>
        </w:rPr>
      </w:pPr>
      <w:r>
        <w:rPr>
          <w:rFonts w:hint="eastAsia"/>
        </w:rPr>
        <w:t>攀枝花市公安局西区分局</w:t>
      </w:r>
      <w:r>
        <w:t>2022年财政拨款收支总预算</w:t>
      </w:r>
      <w:r>
        <w:rPr>
          <w:rFonts w:hint="eastAsia"/>
        </w:rPr>
        <w:t>6960.20</w:t>
      </w:r>
      <w:r>
        <w:t>万元。收入包括：本年一般公共预算拨款收入</w:t>
      </w:r>
      <w:r>
        <w:rPr>
          <w:rFonts w:hint="eastAsia"/>
        </w:rPr>
        <w:t>6960.20</w:t>
      </w:r>
      <w:r>
        <w:t>万元、本年政府性基金预算拨款收入</w:t>
      </w:r>
      <w:r>
        <w:rPr>
          <w:rFonts w:hint="eastAsia"/>
        </w:rPr>
        <w:t>0</w:t>
      </w:r>
      <w:r>
        <w:t>万元；支出包括：</w:t>
      </w:r>
      <w:r>
        <w:rPr>
          <w:rFonts w:hint="eastAsia"/>
        </w:rPr>
        <w:t>公共安全支出5621.78万元；社会保障和就业支出746.62万元；住房保障支出591.80万元</w:t>
      </w:r>
      <w:r>
        <w:t>。</w:t>
      </w:r>
    </w:p>
    <w:p>
      <w:pPr>
        <w:spacing w:line="600" w:lineRule="exact"/>
        <w:ind w:firstLine="640" w:firstLineChars="200"/>
        <w:rPr>
          <w:rFonts w:eastAsia="黑体"/>
        </w:rPr>
      </w:pPr>
      <w:r>
        <w:rPr>
          <w:rFonts w:hint="eastAsia" w:eastAsia="黑体"/>
        </w:rPr>
        <w:t>五</w:t>
      </w:r>
      <w:r>
        <w:rPr>
          <w:rFonts w:eastAsia="黑体"/>
        </w:rPr>
        <w:t>、一般公共预算当年拨款情况说明</w:t>
      </w:r>
    </w:p>
    <w:p>
      <w:pPr>
        <w:spacing w:line="600" w:lineRule="exact"/>
        <w:ind w:firstLine="643" w:firstLineChars="200"/>
        <w:rPr>
          <w:rFonts w:eastAsia="楷体_GB2312"/>
          <w:b/>
        </w:rPr>
      </w:pPr>
      <w:r>
        <w:rPr>
          <w:rFonts w:eastAsia="楷体_GB2312"/>
          <w:b/>
        </w:rPr>
        <w:t>（一）一般公共预算当年拨款规模变化情况。</w:t>
      </w:r>
    </w:p>
    <w:p>
      <w:pPr>
        <w:spacing w:line="600" w:lineRule="exact"/>
        <w:ind w:firstLine="640" w:firstLineChars="200"/>
      </w:pPr>
      <w:r>
        <w:rPr>
          <w:rFonts w:hint="eastAsia"/>
        </w:rPr>
        <w:t>攀枝花市公安局西区分局</w:t>
      </w:r>
      <w:r>
        <w:t>2022年一般公共预算当年拨款</w:t>
      </w:r>
      <w:r>
        <w:rPr>
          <w:rFonts w:hint="eastAsia"/>
        </w:rPr>
        <w:t>6960.20</w:t>
      </w:r>
      <w:r>
        <w:t>万元，比2021年预算数增加</w:t>
      </w:r>
      <w:r>
        <w:rPr>
          <w:rFonts w:hint="eastAsia"/>
        </w:rPr>
        <w:t>411.63</w:t>
      </w:r>
      <w:r>
        <w:t>万元，主要是</w:t>
      </w:r>
      <w:r>
        <w:rPr>
          <w:rFonts w:hint="eastAsia"/>
        </w:rPr>
        <w:t>住房公积金增加143.65万元，行政单位离退休增加319.22万元</w:t>
      </w:r>
      <w:r>
        <w:t>。</w:t>
      </w:r>
    </w:p>
    <w:p>
      <w:pPr>
        <w:spacing w:line="600" w:lineRule="exact"/>
        <w:ind w:firstLine="643" w:firstLineChars="200"/>
        <w:rPr>
          <w:rFonts w:eastAsia="楷体_GB2312"/>
          <w:b/>
        </w:rPr>
      </w:pPr>
      <w:r>
        <w:rPr>
          <w:rFonts w:eastAsia="楷体_GB2312"/>
          <w:b/>
        </w:rPr>
        <w:t>（二）一般公共预算当年拨款结构情况。</w:t>
      </w:r>
    </w:p>
    <w:p>
      <w:pPr>
        <w:spacing w:line="600" w:lineRule="exact"/>
        <w:ind w:firstLine="640" w:firstLineChars="200"/>
        <w:rPr>
          <w:rFonts w:eastAsia="黑体"/>
        </w:rPr>
      </w:pPr>
      <w:r>
        <w:rPr>
          <w:rFonts w:hint="eastAsia"/>
        </w:rPr>
        <w:t>公共安全支出5621.78万元，占80.77%；社会保障和就业支出746.62万元，占10.73%；住房保障支出591.80万元，占8.5%</w:t>
      </w:r>
      <w:r>
        <w:t>。</w:t>
      </w:r>
    </w:p>
    <w:p>
      <w:pPr>
        <w:spacing w:line="600" w:lineRule="exact"/>
        <w:ind w:firstLine="643" w:firstLineChars="200"/>
        <w:rPr>
          <w:rFonts w:eastAsia="楷体_GB2312"/>
          <w:b/>
        </w:rPr>
      </w:pPr>
      <w:r>
        <w:rPr>
          <w:rFonts w:eastAsia="楷体_GB2312"/>
          <w:b/>
        </w:rPr>
        <w:t>（三）一般公共预算当年拨款具体使用情况。</w:t>
      </w:r>
    </w:p>
    <w:p>
      <w:pPr>
        <w:pStyle w:val="6"/>
        <w:widowControl/>
        <w:spacing w:before="0" w:beforeAutospacing="0" w:after="0" w:afterAutospacing="0" w:line="600" w:lineRule="exact"/>
        <w:ind w:firstLine="640" w:firstLineChars="200"/>
        <w:rPr>
          <w:rFonts w:hint="eastAsia" w:ascii="仿宋_GB2312" w:hAnsi="仿宋_GB2312" w:cs="仿宋_GB2312"/>
          <w:kern w:val="2"/>
          <w:sz w:val="32"/>
        </w:rPr>
      </w:pPr>
      <w:r>
        <w:rPr>
          <w:rFonts w:hint="eastAsia" w:ascii="仿宋_GB2312" w:hAnsi="仿宋_GB2312" w:cs="仿宋_GB2312"/>
          <w:kern w:val="2"/>
          <w:sz w:val="32"/>
        </w:rPr>
        <w:t>1.公共安全支出（类）公安（款）行政运行（项）2022年预算数为5621.78万元，主要用于：发放基本工资和津贴补贴，缴纳职工基本医疗保险和公务员医疗补助，办公费、水电费、差旅费及公务用车运行维护费的支出。</w:t>
      </w:r>
    </w:p>
    <w:p>
      <w:pPr>
        <w:pStyle w:val="6"/>
        <w:widowControl/>
        <w:spacing w:before="0" w:beforeAutospacing="0" w:after="0" w:afterAutospacing="0" w:line="600" w:lineRule="exact"/>
        <w:rPr>
          <w:rFonts w:hint="eastAsia" w:ascii="仿宋_GB2312" w:hAnsi="仿宋_GB2312" w:cs="仿宋_GB2312"/>
          <w:kern w:val="2"/>
          <w:sz w:val="32"/>
        </w:rPr>
      </w:pPr>
      <w:r>
        <w:rPr>
          <w:rFonts w:hint="eastAsia" w:ascii="仿宋_GB2312" w:hAnsi="仿宋_GB2312" w:cs="仿宋_GB2312"/>
          <w:kern w:val="2"/>
          <w:sz w:val="32"/>
        </w:rPr>
        <w:t>　　2.社会保障和就业支出（类）行政事业单位养老支出（款） 行政单位离退休（项）2022年预算数为330.2万元，主要用于：发放退休人员退休费及缴纳公务员医疗补助。</w:t>
      </w:r>
    </w:p>
    <w:p>
      <w:pPr>
        <w:pStyle w:val="6"/>
        <w:widowControl/>
        <w:spacing w:before="0" w:beforeAutospacing="0" w:after="0" w:afterAutospacing="0" w:line="600" w:lineRule="exact"/>
        <w:rPr>
          <w:rFonts w:hint="eastAsia" w:ascii="仿宋_GB2312" w:hAnsi="仿宋_GB2312" w:cs="仿宋_GB2312"/>
          <w:kern w:val="2"/>
          <w:sz w:val="32"/>
        </w:rPr>
      </w:pPr>
      <w:r>
        <w:rPr>
          <w:rFonts w:hint="eastAsia" w:ascii="仿宋_GB2312" w:hAnsi="仿宋_GB2312" w:cs="仿宋_GB2312"/>
          <w:kern w:val="2"/>
          <w:sz w:val="32"/>
        </w:rPr>
        <w:t>　　3. 社会保障和就业支出（类）行政事业单位养老支出（款） 机关事业单位基本养老保险缴费支出（项）2022年预算数为411.92万元，主要用于：机关事业单位基本养老保险缴费。</w:t>
      </w:r>
    </w:p>
    <w:p>
      <w:pPr>
        <w:pStyle w:val="6"/>
        <w:widowControl/>
        <w:spacing w:before="0" w:beforeAutospacing="0" w:after="0" w:afterAutospacing="0" w:line="600" w:lineRule="exact"/>
        <w:rPr>
          <w:rFonts w:hint="eastAsia" w:ascii="仿宋_GB2312" w:hAnsi="仿宋_GB2312" w:cs="仿宋_GB2312"/>
          <w:kern w:val="2"/>
          <w:sz w:val="32"/>
        </w:rPr>
      </w:pPr>
      <w:r>
        <w:rPr>
          <w:rFonts w:hint="eastAsia" w:ascii="仿宋_GB2312" w:hAnsi="仿宋_GB2312" w:cs="仿宋_GB2312"/>
          <w:kern w:val="2"/>
          <w:sz w:val="32"/>
        </w:rPr>
        <w:t>　　4. 社会保障和就业支出（类）抚恤（款）  死亡抚恤（项）2022年预算数为4.49万元，主要用于：发放抚恤金。</w:t>
      </w:r>
    </w:p>
    <w:p>
      <w:pPr>
        <w:pStyle w:val="6"/>
        <w:widowControl/>
        <w:spacing w:before="0" w:beforeAutospacing="0" w:after="0" w:afterAutospacing="0" w:line="600" w:lineRule="exact"/>
        <w:rPr>
          <w:rFonts w:hint="eastAsia" w:ascii="仿宋_GB2312" w:hAnsi="仿宋_GB2312" w:cs="仿宋_GB2312"/>
          <w:color w:val="333333"/>
          <w:sz w:val="32"/>
        </w:rPr>
      </w:pPr>
      <w:r>
        <w:rPr>
          <w:rFonts w:hint="eastAsia" w:ascii="仿宋_GB2312" w:hAnsi="仿宋_GB2312" w:cs="仿宋_GB2312"/>
          <w:kern w:val="2"/>
          <w:sz w:val="32"/>
        </w:rPr>
        <w:t>　　5. 住房保障支出（类）住房改革支出（款）住房公积金（项）2022年预算数为591.8万元，主要用于：缴纳职工住房公积金。</w:t>
      </w:r>
    </w:p>
    <w:p>
      <w:pPr>
        <w:spacing w:line="600" w:lineRule="exact"/>
        <w:ind w:firstLine="640" w:firstLineChars="200"/>
        <w:rPr>
          <w:rFonts w:eastAsia="黑体"/>
        </w:rPr>
      </w:pPr>
      <w:r>
        <w:rPr>
          <w:rFonts w:hint="eastAsia" w:eastAsia="黑体"/>
        </w:rPr>
        <w:t>六</w:t>
      </w:r>
      <w:r>
        <w:rPr>
          <w:rFonts w:eastAsia="黑体"/>
        </w:rPr>
        <w:t>、一般公共预算基本支出情况说明</w:t>
      </w:r>
    </w:p>
    <w:p>
      <w:pPr>
        <w:spacing w:line="600" w:lineRule="exact"/>
        <w:ind w:firstLine="640" w:firstLineChars="200"/>
      </w:pPr>
      <w:r>
        <w:rPr>
          <w:rFonts w:hint="eastAsia"/>
        </w:rPr>
        <w:t>攀枝花市公安局西区分局</w:t>
      </w:r>
      <w:r>
        <w:t>2022年一般公共预算基本支出</w:t>
      </w:r>
      <w:r>
        <w:rPr>
          <w:rFonts w:hint="eastAsia"/>
        </w:rPr>
        <w:t>6960.20</w:t>
      </w:r>
      <w:r>
        <w:t>万元，其中：</w:t>
      </w:r>
    </w:p>
    <w:p>
      <w:pPr>
        <w:spacing w:line="600" w:lineRule="exact"/>
        <w:ind w:firstLine="640" w:firstLineChars="200"/>
        <w:rPr>
          <w:rFonts w:hint="eastAsia"/>
        </w:rPr>
      </w:pPr>
      <w:r>
        <w:t>人员经费</w:t>
      </w:r>
      <w:r>
        <w:rPr>
          <w:rFonts w:hint="eastAsia"/>
        </w:rPr>
        <w:t>5937.41</w:t>
      </w:r>
      <w:r>
        <w:t>万元，主要包括：基本工资</w:t>
      </w:r>
      <w:r>
        <w:rPr>
          <w:rFonts w:hint="eastAsia"/>
        </w:rPr>
        <w:t>1093.55万元</w:t>
      </w:r>
      <w:r>
        <w:t>、津贴补贴</w:t>
      </w:r>
      <w:r>
        <w:rPr>
          <w:rFonts w:hint="eastAsia"/>
        </w:rPr>
        <w:t>2502.96万元</w:t>
      </w:r>
      <w:r>
        <w:t>、奖金</w:t>
      </w:r>
      <w:r>
        <w:rPr>
          <w:rFonts w:hint="eastAsia"/>
        </w:rPr>
        <w:t>91.13万元</w:t>
      </w:r>
      <w:r>
        <w:t>、社会保险缴费</w:t>
      </w:r>
      <w:r>
        <w:rPr>
          <w:rFonts w:hint="eastAsia"/>
        </w:rPr>
        <w:t>1049.14万元、其他工资福利支出373.18万元、住房公积金591.80万元。</w:t>
      </w:r>
    </w:p>
    <w:p>
      <w:pPr>
        <w:spacing w:line="600" w:lineRule="exact"/>
        <w:ind w:firstLine="640" w:firstLineChars="200"/>
        <w:rPr>
          <w:u w:val="single"/>
        </w:rPr>
      </w:pPr>
      <w:r>
        <w:t>公用经费</w:t>
      </w:r>
      <w:r>
        <w:rPr>
          <w:rFonts w:hint="eastAsia"/>
        </w:rPr>
        <w:t>1022.79</w:t>
      </w:r>
      <w:r>
        <w:t>万元，主要包括：办公费</w:t>
      </w:r>
      <w:r>
        <w:rPr>
          <w:rFonts w:hint="eastAsia"/>
        </w:rPr>
        <w:t>334.3万元</w:t>
      </w:r>
      <w:r>
        <w:t>、</w:t>
      </w:r>
      <w:r>
        <w:rPr>
          <w:rFonts w:hint="eastAsia"/>
        </w:rPr>
        <w:t>水费10.88万元、电费27.2万元、邮电费4.71万元、差旅费81.6万元、公务接待费5万元、工会经费73.75万元、福利费43.79万元、公务用车运行维护费101.41万元、其他交通费用257.4万元、其他商品和服务支出82.74万元</w:t>
      </w:r>
      <w:r>
        <w:t>。</w:t>
      </w:r>
    </w:p>
    <w:p>
      <w:pPr>
        <w:spacing w:line="600" w:lineRule="exact"/>
        <w:ind w:firstLine="640" w:firstLineChars="200"/>
        <w:rPr>
          <w:rFonts w:eastAsia="黑体"/>
        </w:rPr>
      </w:pPr>
      <w:r>
        <w:rPr>
          <w:rFonts w:hint="eastAsia" w:eastAsia="黑体"/>
        </w:rPr>
        <w:t>七</w:t>
      </w:r>
      <w:r>
        <w:rPr>
          <w:rFonts w:eastAsia="黑体"/>
        </w:rPr>
        <w:t>、“三公”经费财政拨款预算安排情况说明</w:t>
      </w:r>
    </w:p>
    <w:p>
      <w:pPr>
        <w:spacing w:line="600" w:lineRule="exact"/>
        <w:ind w:firstLine="640" w:firstLineChars="200"/>
      </w:pPr>
      <w:r>
        <w:rPr>
          <w:rFonts w:hint="eastAsia"/>
        </w:rPr>
        <w:t>攀枝花市公安局西区分局</w:t>
      </w:r>
      <w:r>
        <w:t>2022年“三公”经费财政拨款预算数</w:t>
      </w:r>
      <w:r>
        <w:rPr>
          <w:rFonts w:hint="eastAsia"/>
        </w:rPr>
        <w:t>106.41</w:t>
      </w:r>
      <w:r>
        <w:t>万元，其中：因公出国（境）经费</w:t>
      </w:r>
      <w:r>
        <w:rPr>
          <w:rFonts w:hint="eastAsia"/>
        </w:rPr>
        <w:t>0</w:t>
      </w:r>
      <w:r>
        <w:t>万元，公务接待费</w:t>
      </w:r>
      <w:r>
        <w:rPr>
          <w:rFonts w:hint="eastAsia"/>
        </w:rPr>
        <w:t>5</w:t>
      </w:r>
      <w:r>
        <w:t>万元，公务用车购置及运行维护费</w:t>
      </w:r>
      <w:r>
        <w:rPr>
          <w:rFonts w:hint="eastAsia"/>
        </w:rPr>
        <w:t>101.41</w:t>
      </w:r>
      <w:r>
        <w:t>万元。</w:t>
      </w:r>
    </w:p>
    <w:p>
      <w:pPr>
        <w:spacing w:line="600" w:lineRule="exact"/>
        <w:ind w:firstLine="640"/>
      </w:pPr>
      <w:r>
        <w:rPr>
          <w:rFonts w:eastAsia="楷体_GB2312"/>
          <w:b/>
        </w:rPr>
        <w:t>（一）因公出国（境）经费与2021年预算持平。</w:t>
      </w:r>
      <w:r>
        <w:t>主要原因是</w:t>
      </w:r>
      <w:r>
        <w:rPr>
          <w:rFonts w:hint="eastAsia"/>
        </w:rPr>
        <w:t>没有产生因公出国（境）费用</w:t>
      </w:r>
      <w:r>
        <w:t>。</w:t>
      </w:r>
    </w:p>
    <w:p>
      <w:pPr>
        <w:spacing w:line="600" w:lineRule="exact"/>
        <w:ind w:firstLine="640"/>
        <w:rPr>
          <w:rFonts w:eastAsia="黑体"/>
          <w:b/>
        </w:rPr>
      </w:pPr>
      <w:r>
        <w:rPr>
          <w:rFonts w:eastAsia="楷体_GB2312"/>
          <w:b/>
        </w:rPr>
        <w:t>（二）公务接待费与2021年预算持平。</w:t>
      </w:r>
      <w:r>
        <w:t>主要原因是</w:t>
      </w:r>
      <w:r>
        <w:rPr>
          <w:rFonts w:hint="eastAsia"/>
        </w:rPr>
        <w:t>按财政要求进行预算编制</w:t>
      </w:r>
      <w:r>
        <w:t>。</w:t>
      </w:r>
    </w:p>
    <w:p>
      <w:pPr>
        <w:spacing w:line="600" w:lineRule="exact"/>
        <w:ind w:firstLine="640"/>
      </w:pPr>
      <w:r>
        <w:t>2022年公务接待费计划用于</w:t>
      </w:r>
      <w:r>
        <w:rPr>
          <w:rFonts w:hint="eastAsia"/>
        </w:rPr>
        <w:t>公务接待</w:t>
      </w:r>
      <w:r>
        <w:t>。</w:t>
      </w:r>
    </w:p>
    <w:p>
      <w:pPr>
        <w:spacing w:line="600" w:lineRule="exact"/>
        <w:ind w:firstLine="640"/>
        <w:rPr>
          <w:rFonts w:eastAsia="黑体"/>
          <w:b/>
        </w:rPr>
      </w:pPr>
      <w:r>
        <w:rPr>
          <w:rFonts w:eastAsia="楷体_GB2312"/>
          <w:b/>
        </w:rPr>
        <w:t>（三）公务用车购置及运行维护费较2021年预算下降</w:t>
      </w:r>
      <w:r>
        <w:rPr>
          <w:rFonts w:hint="eastAsia" w:eastAsia="楷体_GB2312"/>
          <w:b/>
        </w:rPr>
        <w:t>5.32</w:t>
      </w:r>
      <w:r>
        <w:rPr>
          <w:rFonts w:eastAsia="楷体_GB2312"/>
          <w:b/>
        </w:rPr>
        <w:t>%。</w:t>
      </w:r>
      <w:r>
        <w:t>主要原因是</w:t>
      </w:r>
      <w:r>
        <w:rPr>
          <w:rFonts w:hint="eastAsia"/>
        </w:rPr>
        <w:t>严格控制公车运行维护费支出</w:t>
      </w:r>
      <w:r>
        <w:t>。</w:t>
      </w:r>
    </w:p>
    <w:p>
      <w:pPr>
        <w:spacing w:line="600" w:lineRule="exact"/>
        <w:ind w:firstLine="640"/>
      </w:pPr>
      <w:r>
        <w:t>单位现有公务用车</w:t>
      </w:r>
      <w:r>
        <w:rPr>
          <w:rFonts w:hint="eastAsia"/>
        </w:rPr>
        <w:t>63</w:t>
      </w:r>
      <w:r>
        <w:t>辆，其中：轿车（含7座以下商务车、城市越野车）</w:t>
      </w:r>
      <w:r>
        <w:rPr>
          <w:rFonts w:hint="eastAsia"/>
        </w:rPr>
        <w:t>54</w:t>
      </w:r>
      <w:r>
        <w:t>辆，7座以上19座（含19座）以下客车</w:t>
      </w:r>
      <w:r>
        <w:rPr>
          <w:rFonts w:hint="eastAsia"/>
        </w:rPr>
        <w:t>1</w:t>
      </w:r>
      <w:r>
        <w:t>辆，越野车</w:t>
      </w:r>
      <w:r>
        <w:rPr>
          <w:rFonts w:hint="eastAsia"/>
        </w:rPr>
        <w:t>0</w:t>
      </w:r>
      <w:r>
        <w:t>辆，货车及19座以上客车</w:t>
      </w:r>
      <w:r>
        <w:rPr>
          <w:rFonts w:hint="eastAsia"/>
        </w:rPr>
        <w:t>1</w:t>
      </w:r>
      <w:r>
        <w:t>辆，摩托车</w:t>
      </w:r>
      <w:r>
        <w:rPr>
          <w:rFonts w:hint="eastAsia"/>
        </w:rPr>
        <w:t>7</w:t>
      </w:r>
      <w:r>
        <w:t>辆。</w:t>
      </w:r>
    </w:p>
    <w:p>
      <w:pPr>
        <w:spacing w:line="600" w:lineRule="exact"/>
        <w:ind w:firstLine="640"/>
      </w:pPr>
      <w:r>
        <w:t>2022年安排公务用车购置费</w:t>
      </w:r>
      <w:r>
        <w:rPr>
          <w:rFonts w:hint="eastAsia"/>
        </w:rPr>
        <w:t>0</w:t>
      </w:r>
      <w:r>
        <w:t>万元，购置公务用车</w:t>
      </w:r>
      <w:r>
        <w:rPr>
          <w:rFonts w:hint="eastAsia"/>
        </w:rPr>
        <w:t>0</w:t>
      </w:r>
      <w:r>
        <w:t>辆，其中：轿车（含7座以下商务车、城市越野车）</w:t>
      </w:r>
      <w:r>
        <w:rPr>
          <w:rFonts w:hint="eastAsia"/>
        </w:rPr>
        <w:t>0</w:t>
      </w:r>
      <w:r>
        <w:t>辆，7座以上19座（含19座）以下客车</w:t>
      </w:r>
      <w:r>
        <w:rPr>
          <w:rFonts w:hint="eastAsia"/>
        </w:rPr>
        <w:t>0</w:t>
      </w:r>
      <w:r>
        <w:t>辆，越野车</w:t>
      </w:r>
      <w:r>
        <w:rPr>
          <w:rFonts w:hint="eastAsia"/>
        </w:rPr>
        <w:t>0</w:t>
      </w:r>
      <w:r>
        <w:t>辆，货车及19座以上客车</w:t>
      </w:r>
      <w:r>
        <w:rPr>
          <w:rFonts w:hint="eastAsia"/>
        </w:rPr>
        <w:t>0</w:t>
      </w:r>
      <w:r>
        <w:t>辆，摩托车</w:t>
      </w:r>
      <w:r>
        <w:rPr>
          <w:rFonts w:hint="eastAsia"/>
        </w:rPr>
        <w:t>0</w:t>
      </w:r>
      <w:r>
        <w:t>辆。</w:t>
      </w:r>
    </w:p>
    <w:p>
      <w:pPr>
        <w:spacing w:line="600" w:lineRule="exact"/>
        <w:ind w:firstLine="640"/>
      </w:pPr>
      <w:r>
        <w:t>2022年安排公务用车运行维护费</w:t>
      </w:r>
      <w:r>
        <w:rPr>
          <w:rFonts w:hint="eastAsia"/>
        </w:rPr>
        <w:t>101.41</w:t>
      </w:r>
      <w:r>
        <w:t>万元，用于</w:t>
      </w:r>
      <w:r>
        <w:rPr>
          <w:rFonts w:hint="eastAsia"/>
        </w:rPr>
        <w:t>63</w:t>
      </w:r>
      <w:r>
        <w:t>辆公务用车燃油、维修、等方面支出，主要保障</w:t>
      </w:r>
      <w:r>
        <w:rPr>
          <w:rFonts w:hint="eastAsia"/>
        </w:rPr>
        <w:t>执法办案、巡逻执勤、安保维稳</w:t>
      </w:r>
      <w:r>
        <w:t>等工作开展。</w:t>
      </w:r>
    </w:p>
    <w:p>
      <w:pPr>
        <w:spacing w:line="600" w:lineRule="exact"/>
        <w:ind w:firstLine="640" w:firstLineChars="200"/>
        <w:rPr>
          <w:rFonts w:eastAsia="黑体"/>
        </w:rPr>
      </w:pPr>
      <w:r>
        <w:rPr>
          <w:rFonts w:hint="eastAsia" w:eastAsia="黑体"/>
        </w:rPr>
        <w:t>八</w:t>
      </w:r>
      <w:r>
        <w:rPr>
          <w:rFonts w:eastAsia="黑体"/>
        </w:rPr>
        <w:t>、政府性基金预算支出情况说明</w:t>
      </w:r>
    </w:p>
    <w:p>
      <w:pPr>
        <w:spacing w:line="600" w:lineRule="exact"/>
        <w:ind w:firstLine="640" w:firstLineChars="200"/>
      </w:pPr>
      <w:r>
        <w:rPr>
          <w:rFonts w:hint="eastAsia"/>
        </w:rPr>
        <w:t>攀枝花市公安局西区分局</w:t>
      </w:r>
      <w:r>
        <w:t>2022年没有使用政府性基金预算拨款安排的支出。</w:t>
      </w:r>
    </w:p>
    <w:p>
      <w:pPr>
        <w:spacing w:line="600" w:lineRule="exact"/>
        <w:ind w:firstLine="640" w:firstLineChars="200"/>
        <w:rPr>
          <w:u w:val="single"/>
        </w:rPr>
      </w:pPr>
      <w:r>
        <w:rPr>
          <w:rFonts w:hint="eastAsia" w:eastAsia="黑体"/>
        </w:rPr>
        <w:t>九</w:t>
      </w:r>
      <w:r>
        <w:rPr>
          <w:rFonts w:eastAsia="黑体"/>
        </w:rPr>
        <w:t>、国有资本经营预算情况说明</w:t>
      </w:r>
    </w:p>
    <w:p>
      <w:pPr>
        <w:spacing w:line="600" w:lineRule="exact"/>
        <w:ind w:firstLine="640" w:firstLineChars="200"/>
      </w:pPr>
      <w:r>
        <w:rPr>
          <w:rFonts w:hint="eastAsia"/>
        </w:rPr>
        <w:t>攀枝花市公安局西区分局</w:t>
      </w:r>
      <w:r>
        <w:t>2022年没有使用国有资本经营预算拨款安排的支出。</w:t>
      </w:r>
    </w:p>
    <w:p>
      <w:pPr>
        <w:spacing w:line="600" w:lineRule="exact"/>
        <w:ind w:firstLine="640" w:firstLineChars="200"/>
        <w:rPr>
          <w:rFonts w:eastAsia="黑体"/>
        </w:rPr>
      </w:pPr>
      <w:r>
        <w:rPr>
          <w:rFonts w:hint="eastAsia" w:eastAsia="黑体"/>
        </w:rPr>
        <w:t>十</w:t>
      </w:r>
      <w:r>
        <w:rPr>
          <w:rFonts w:eastAsia="黑体"/>
        </w:rPr>
        <w:t>、其他重要事项的情况说明</w:t>
      </w:r>
    </w:p>
    <w:p>
      <w:pPr>
        <w:spacing w:line="600" w:lineRule="exact"/>
        <w:ind w:firstLine="643" w:firstLineChars="200"/>
        <w:rPr>
          <w:rFonts w:eastAsia="楷体_GB2312"/>
          <w:b/>
        </w:rPr>
      </w:pPr>
      <w:r>
        <w:rPr>
          <w:rFonts w:eastAsia="楷体_GB2312"/>
          <w:b/>
        </w:rPr>
        <w:t>（一）机关运行经费。</w:t>
      </w:r>
    </w:p>
    <w:p>
      <w:pPr>
        <w:spacing w:line="600" w:lineRule="exact"/>
        <w:ind w:firstLine="640" w:firstLineChars="200"/>
      </w:pPr>
      <w:r>
        <w:t>2022年，</w:t>
      </w:r>
      <w:r>
        <w:rPr>
          <w:rFonts w:hint="eastAsia"/>
        </w:rPr>
        <w:t>攀枝花市公安局西区分局</w:t>
      </w:r>
      <w:r>
        <w:t>的机关运行经费财政拨款预算为</w:t>
      </w:r>
      <w:r>
        <w:rPr>
          <w:rFonts w:hint="eastAsia"/>
        </w:rPr>
        <w:t>1022.78</w:t>
      </w:r>
      <w:r>
        <w:t>万元，比2021年预算减少</w:t>
      </w:r>
      <w:r>
        <w:rPr>
          <w:rFonts w:hint="eastAsia"/>
        </w:rPr>
        <w:t>18.32</w:t>
      </w:r>
      <w:r>
        <w:t>万元，下降</w:t>
      </w:r>
      <w:r>
        <w:rPr>
          <w:rFonts w:hint="eastAsia"/>
        </w:rPr>
        <w:t>1.76</w:t>
      </w:r>
      <w:r>
        <w:t>%。</w:t>
      </w:r>
    </w:p>
    <w:p>
      <w:pPr>
        <w:spacing w:line="600" w:lineRule="exact"/>
        <w:ind w:firstLine="643" w:firstLineChars="200"/>
        <w:rPr>
          <w:rFonts w:eastAsia="楷体_GB2312"/>
          <w:b/>
        </w:rPr>
      </w:pPr>
      <w:r>
        <w:rPr>
          <w:rFonts w:eastAsia="楷体_GB2312"/>
          <w:b/>
        </w:rPr>
        <w:t>（</w:t>
      </w:r>
      <w:r>
        <w:rPr>
          <w:rFonts w:hint="eastAsia" w:eastAsia="楷体_GB2312"/>
          <w:b/>
        </w:rPr>
        <w:t>二</w:t>
      </w:r>
      <w:r>
        <w:rPr>
          <w:rFonts w:eastAsia="楷体_GB2312"/>
          <w:b/>
        </w:rPr>
        <w:t>）</w:t>
      </w:r>
      <w:r>
        <w:rPr>
          <w:rFonts w:hint="eastAsia" w:eastAsia="楷体_GB2312"/>
          <w:b/>
        </w:rPr>
        <w:t>政府采购情况</w:t>
      </w:r>
      <w:r>
        <w:rPr>
          <w:rFonts w:eastAsia="楷体_GB2312"/>
          <w:b/>
        </w:rPr>
        <w:t>。</w:t>
      </w:r>
    </w:p>
    <w:p>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eastAsia" w:ascii="仿宋_GB2312" w:hAnsi="宋体" w:eastAsia="仿宋_GB2312" w:cs="宋体"/>
          <w:kern w:val="0"/>
          <w:sz w:val="32"/>
          <w:szCs w:val="32"/>
        </w:rPr>
      </w:pPr>
      <w:r>
        <w:rPr>
          <w:rFonts w:hint="eastAsia" w:ascii="Times New Roman" w:hAnsi="Times New Roman" w:cs="Times New Roman"/>
        </w:rPr>
        <w:t>2022年，攀枝花市公安局</w:t>
      </w:r>
      <w:r>
        <w:rPr>
          <w:rFonts w:hint="eastAsia" w:ascii="Times New Roman" w:hAnsi="Times New Roman" w:cs="Times New Roman"/>
          <w:lang w:val="en-US" w:eastAsia="zh-CN"/>
        </w:rPr>
        <w:t>西</w:t>
      </w:r>
      <w:r>
        <w:rPr>
          <w:rFonts w:hint="eastAsia" w:ascii="Times New Roman" w:hAnsi="Times New Roman" w:cs="Times New Roman"/>
        </w:rPr>
        <w:t>区分局年初安排政府采购预算</w:t>
      </w:r>
      <w:r>
        <w:rPr>
          <w:rFonts w:hint="eastAsia" w:ascii="Times New Roman" w:hAnsi="Times New Roman" w:cs="Times New Roman"/>
          <w:lang w:val="en-US" w:eastAsia="zh-CN"/>
        </w:rPr>
        <w:t>129.75</w:t>
      </w:r>
      <w:r>
        <w:rPr>
          <w:rFonts w:hint="eastAsia" w:ascii="Times New Roman" w:hAnsi="Times New Roman" w:cs="Times New Roman"/>
        </w:rPr>
        <w:t>万元，主要用于采购警务装备、视频会议系统、执法办案中心一体化建设等。其中：政府购买服务0万元。</w:t>
      </w:r>
    </w:p>
    <w:p>
      <w:pPr>
        <w:spacing w:line="600" w:lineRule="exact"/>
        <w:ind w:firstLine="643" w:firstLineChars="200"/>
        <w:rPr>
          <w:rFonts w:eastAsia="楷体_GB2312"/>
          <w:b/>
        </w:rPr>
      </w:pPr>
      <w:r>
        <w:rPr>
          <w:rFonts w:eastAsia="楷体_GB2312"/>
          <w:b/>
        </w:rPr>
        <w:t>（</w:t>
      </w:r>
      <w:r>
        <w:rPr>
          <w:rFonts w:hint="eastAsia" w:eastAsia="楷体_GB2312"/>
          <w:b/>
        </w:rPr>
        <w:t>三</w:t>
      </w:r>
      <w:r>
        <w:rPr>
          <w:rFonts w:eastAsia="楷体_GB2312"/>
          <w:b/>
        </w:rPr>
        <w:t>）国有资产占有使用情况。</w:t>
      </w:r>
    </w:p>
    <w:p>
      <w:pPr>
        <w:spacing w:line="600" w:lineRule="exact"/>
        <w:ind w:firstLine="640" w:firstLineChars="200"/>
      </w:pPr>
      <w:r>
        <w:t>截至2021年底，</w:t>
      </w:r>
      <w:r>
        <w:rPr>
          <w:rFonts w:hint="eastAsia"/>
        </w:rPr>
        <w:t>攀枝花市公安局西区分局</w:t>
      </w:r>
      <w:r>
        <w:t>及所属的非独立核算单位共有车辆</w:t>
      </w:r>
      <w:r>
        <w:rPr>
          <w:rFonts w:hint="eastAsia"/>
        </w:rPr>
        <w:t>63</w:t>
      </w:r>
      <w:r>
        <w:t>辆</w:t>
      </w:r>
      <w:r>
        <w:rPr>
          <w:rFonts w:hint="eastAsia"/>
        </w:rPr>
        <w:t>，</w:t>
      </w:r>
      <w:r>
        <w:t>其中，执法执勤用车</w:t>
      </w:r>
      <w:r>
        <w:rPr>
          <w:rFonts w:hint="eastAsia"/>
        </w:rPr>
        <w:t>63</w:t>
      </w:r>
      <w:r>
        <w:t>辆单位价值200万元以上大型设备</w:t>
      </w:r>
      <w:r>
        <w:rPr>
          <w:rFonts w:hint="eastAsia"/>
        </w:rPr>
        <w:t>0</w:t>
      </w:r>
      <w:r>
        <w:t>台。</w:t>
      </w:r>
    </w:p>
    <w:p>
      <w:pPr>
        <w:spacing w:line="600" w:lineRule="exact"/>
        <w:ind w:firstLine="643" w:firstLineChars="200"/>
        <w:rPr>
          <w:rFonts w:eastAsia="楷体_GB2312"/>
          <w:b/>
        </w:rPr>
      </w:pPr>
      <w:r>
        <w:rPr>
          <w:rFonts w:eastAsia="楷体_GB2312"/>
          <w:b/>
        </w:rPr>
        <w:t>（</w:t>
      </w:r>
      <w:r>
        <w:rPr>
          <w:rFonts w:hint="eastAsia" w:eastAsia="楷体_GB2312"/>
          <w:b/>
        </w:rPr>
        <w:t>四</w:t>
      </w:r>
      <w:r>
        <w:rPr>
          <w:rFonts w:eastAsia="楷体_GB2312"/>
          <w:b/>
        </w:rPr>
        <w:t>）绩效目标设置情况。</w:t>
      </w:r>
    </w:p>
    <w:p>
      <w:pPr>
        <w:spacing w:line="600" w:lineRule="exact"/>
        <w:ind w:firstLine="640" w:firstLineChars="200"/>
        <w:rPr>
          <w:u w:val="single"/>
        </w:rPr>
      </w:pPr>
      <w:r>
        <w:t>2022年</w:t>
      </w:r>
      <w:r>
        <w:rPr>
          <w:rFonts w:hint="eastAsia"/>
        </w:rPr>
        <w:t>攀枝花市公安局西区分局</w:t>
      </w:r>
      <w:r>
        <w:t>部门通用项目和专用项目均按要求实行绩效目标管理，涉及一般公共预算当年拨款</w:t>
      </w:r>
      <w:r>
        <w:rPr>
          <w:rFonts w:hint="eastAsia"/>
        </w:rPr>
        <w:t>0</w:t>
      </w:r>
      <w:r>
        <w:t>万元。</w:t>
      </w:r>
      <w:bookmarkStart w:id="0" w:name="_GoBack"/>
      <w:bookmarkEnd w:id="0"/>
    </w:p>
    <w:p>
      <w:pPr>
        <w:spacing w:line="600" w:lineRule="exact"/>
        <w:ind w:firstLine="640" w:firstLineChars="200"/>
        <w:rPr>
          <w:rFonts w:eastAsia="黑体"/>
        </w:rPr>
      </w:pPr>
    </w:p>
    <w:p>
      <w:pPr>
        <w:spacing w:line="600" w:lineRule="exact"/>
        <w:ind w:firstLine="640" w:firstLineChars="200"/>
        <w:rPr>
          <w:rFonts w:eastAsia="黑体"/>
        </w:rPr>
      </w:pPr>
    </w:p>
    <w:p>
      <w:pPr>
        <w:spacing w:line="600" w:lineRule="exact"/>
        <w:ind w:firstLine="640" w:firstLineChars="200"/>
        <w:rPr>
          <w:rFonts w:eastAsia="黑体"/>
        </w:rPr>
      </w:pPr>
    </w:p>
    <w:p>
      <w:pPr>
        <w:spacing w:line="600" w:lineRule="exact"/>
        <w:ind w:firstLine="640" w:firstLineChars="200"/>
        <w:rPr>
          <w:rFonts w:eastAsia="黑体"/>
        </w:rPr>
      </w:pPr>
    </w:p>
    <w:p>
      <w:pPr>
        <w:spacing w:line="600" w:lineRule="exact"/>
        <w:ind w:firstLine="640" w:firstLineChars="200"/>
        <w:rPr>
          <w:rFonts w:eastAsia="黑体"/>
        </w:rPr>
      </w:pPr>
    </w:p>
    <w:p>
      <w:pPr>
        <w:spacing w:line="600" w:lineRule="exact"/>
        <w:ind w:firstLine="640" w:firstLineChars="200"/>
        <w:rPr>
          <w:rFonts w:eastAsia="黑体"/>
        </w:rPr>
      </w:pPr>
    </w:p>
    <w:p>
      <w:pPr>
        <w:spacing w:line="600" w:lineRule="exact"/>
        <w:ind w:firstLine="640" w:firstLineChars="200"/>
        <w:rPr>
          <w:rFonts w:eastAsia="黑体"/>
        </w:rPr>
      </w:pPr>
    </w:p>
    <w:p>
      <w:pPr>
        <w:spacing w:line="600" w:lineRule="exact"/>
        <w:ind w:firstLine="640" w:firstLineChars="200"/>
        <w:rPr>
          <w:rFonts w:eastAsia="黑体"/>
        </w:rPr>
      </w:pPr>
    </w:p>
    <w:p>
      <w:pPr>
        <w:spacing w:line="600" w:lineRule="exact"/>
        <w:ind w:firstLine="640" w:firstLineChars="200"/>
        <w:rPr>
          <w:rFonts w:eastAsia="黑体"/>
        </w:rPr>
      </w:pPr>
    </w:p>
    <w:p>
      <w:pPr>
        <w:spacing w:line="600" w:lineRule="exact"/>
        <w:ind w:firstLine="640" w:firstLineChars="200"/>
        <w:rPr>
          <w:rFonts w:eastAsia="黑体"/>
        </w:rPr>
      </w:pPr>
    </w:p>
    <w:p>
      <w:pPr>
        <w:spacing w:line="600" w:lineRule="exact"/>
        <w:ind w:firstLine="640" w:firstLineChars="200"/>
        <w:rPr>
          <w:rFonts w:eastAsia="黑体"/>
        </w:rPr>
      </w:pPr>
      <w:r>
        <w:rPr>
          <w:rFonts w:eastAsia="黑体"/>
        </w:rPr>
        <w:t>十</w:t>
      </w:r>
      <w:r>
        <w:rPr>
          <w:rFonts w:hint="eastAsia" w:eastAsia="黑体"/>
        </w:rPr>
        <w:t>一</w:t>
      </w:r>
      <w:r>
        <w:rPr>
          <w:rFonts w:eastAsia="黑体"/>
        </w:rPr>
        <w:t>、名词解释</w:t>
      </w:r>
    </w:p>
    <w:p>
      <w:pPr>
        <w:spacing w:line="600" w:lineRule="exact"/>
        <w:rPr>
          <w:rFonts w:hint="eastAsia"/>
        </w:rPr>
      </w:pPr>
      <w:r>
        <w:rPr>
          <w:rFonts w:hint="eastAsia" w:ascii="微软雅黑" w:hAnsi="微软雅黑" w:eastAsia="微软雅黑" w:cs="微软雅黑"/>
          <w:color w:val="333333"/>
          <w:szCs w:val="27"/>
        </w:rPr>
        <w:t xml:space="preserve">　  </w:t>
      </w:r>
      <w:r>
        <w:rPr>
          <w:rFonts w:hint="eastAsia"/>
        </w:rPr>
        <w:t>1.一般公共预算拨款收入：指市级财政当年拨付的资金。</w:t>
      </w:r>
    </w:p>
    <w:p>
      <w:pPr>
        <w:spacing w:line="600" w:lineRule="exact"/>
        <w:rPr>
          <w:rFonts w:hint="eastAsia"/>
        </w:rPr>
      </w:pPr>
      <w:r>
        <w:rPr>
          <w:rFonts w:hint="eastAsia"/>
        </w:rPr>
        <w:t>　　2.公共安全支出：反映政府维护社会公共安全方面的支出。</w:t>
      </w:r>
    </w:p>
    <w:p>
      <w:pPr>
        <w:spacing w:line="600" w:lineRule="exact"/>
        <w:ind w:firstLine="640" w:firstLineChars="200"/>
        <w:rPr>
          <w:rFonts w:hint="eastAsia"/>
        </w:rPr>
      </w:pPr>
      <w:r>
        <w:rPr>
          <w:rFonts w:hint="eastAsia"/>
        </w:rPr>
        <w:t>3.社会保障和就业支出：反映政府在社会保障与就业方面的支出。</w:t>
      </w:r>
    </w:p>
    <w:p>
      <w:pPr>
        <w:spacing w:line="600" w:lineRule="exact"/>
        <w:ind w:firstLine="640" w:firstLineChars="200"/>
        <w:rPr>
          <w:rFonts w:hint="eastAsia"/>
        </w:rPr>
      </w:pPr>
      <w:r>
        <w:rPr>
          <w:rFonts w:hint="eastAsia"/>
        </w:rPr>
        <w:t>4.住房保障支出：反映行政事业单位按人力资源和社会保障部、财政部规定的基本工资和津贴补贴以及规定比例为职工缴纳的住房公积金。</w:t>
      </w:r>
    </w:p>
    <w:p>
      <w:pPr>
        <w:spacing w:line="600" w:lineRule="exact"/>
        <w:rPr>
          <w:rFonts w:hint="eastAsia"/>
        </w:rPr>
      </w:pPr>
      <w:r>
        <w:rPr>
          <w:rFonts w:hint="eastAsia"/>
        </w:rPr>
        <w:t>　　5.基本支出：指为保证机构正常运转，完成日常工作任务而发生的人员支出和公用支出。</w:t>
      </w:r>
    </w:p>
    <w:p>
      <w:pPr>
        <w:spacing w:line="600" w:lineRule="exact"/>
        <w:rPr>
          <w:rFonts w:hint="eastAsia"/>
        </w:rPr>
      </w:pPr>
      <w:r>
        <w:rPr>
          <w:rFonts w:hint="eastAsia"/>
        </w:rPr>
        <w:t>　　6.项目支出：指在基本支出之外为完成特定的工作任务和事业发展目标所发生的支出。</w:t>
      </w:r>
    </w:p>
    <w:p>
      <w:pPr>
        <w:spacing w:line="600" w:lineRule="exact"/>
        <w:rPr>
          <w:rFonts w:hint="eastAsia"/>
        </w:rPr>
      </w:pPr>
      <w:r>
        <w:rPr>
          <w:rFonts w:hint="eastAsia"/>
        </w:rPr>
        <w:t>　　7.“三公”经费：纳入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rPr>
          <w:rFonts w:hint="eastAsia"/>
        </w:rPr>
      </w:pPr>
      <w:r>
        <w:rPr>
          <w:rFonts w:hint="eastAsia"/>
        </w:rPr>
        <w:t>　　8.机关运行经费：为保障行政单位（包含参照公务员法管理的事业单位）运行用于购买货物和服务的各项资金。包括办公及办公费、水费、电费、印刷费、邮电费、差旅费、会议费等费用开支。</w:t>
      </w:r>
    </w:p>
    <w:p>
      <w:pPr>
        <w:spacing w:line="600" w:lineRule="exact"/>
        <w:ind w:firstLine="640" w:firstLineChars="200"/>
      </w:pPr>
      <w:r>
        <w:t>附件：表1.</w:t>
      </w:r>
      <w:r>
        <w:rPr>
          <w:rFonts w:hint="eastAsia"/>
        </w:rPr>
        <w:t>单位</w:t>
      </w:r>
      <w:r>
        <w:t>收支总表</w:t>
      </w:r>
    </w:p>
    <w:p>
      <w:pPr>
        <w:spacing w:line="600" w:lineRule="exact"/>
      </w:pPr>
      <w:r>
        <w:t xml:space="preserve">          表1-1.</w:t>
      </w:r>
      <w:r>
        <w:rPr>
          <w:rFonts w:hint="eastAsia"/>
        </w:rPr>
        <w:t>单位</w:t>
      </w:r>
      <w:r>
        <w:t>收入总表</w:t>
      </w:r>
    </w:p>
    <w:p>
      <w:pPr>
        <w:spacing w:line="600" w:lineRule="exact"/>
      </w:pPr>
      <w:r>
        <w:t xml:space="preserve">          表1-2.</w:t>
      </w:r>
      <w:r>
        <w:rPr>
          <w:rFonts w:hint="eastAsia"/>
        </w:rPr>
        <w:t>单位</w:t>
      </w:r>
      <w:r>
        <w:t>支出总表</w:t>
      </w:r>
    </w:p>
    <w:p>
      <w:pPr>
        <w:spacing w:line="600" w:lineRule="exact"/>
        <w:ind w:firstLine="1600" w:firstLineChars="500"/>
      </w:pPr>
      <w:r>
        <w:t>表2.财政拨款收支预算总表</w:t>
      </w:r>
    </w:p>
    <w:p>
      <w:pPr>
        <w:spacing w:line="600" w:lineRule="exact"/>
        <w:ind w:firstLine="1600" w:firstLineChars="500"/>
      </w:pPr>
      <w:r>
        <w:t>表2-1.财政拨款支出预算表</w:t>
      </w:r>
    </w:p>
    <w:p>
      <w:pPr>
        <w:spacing w:line="600" w:lineRule="exact"/>
        <w:ind w:firstLine="1600" w:firstLineChars="500"/>
      </w:pPr>
      <w:r>
        <w:t>表3.一般公共预算支出预算表</w:t>
      </w:r>
    </w:p>
    <w:p>
      <w:pPr>
        <w:spacing w:line="600" w:lineRule="exact"/>
        <w:ind w:firstLine="1600" w:firstLineChars="500"/>
      </w:pPr>
      <w:r>
        <w:t>表3-1.一般公共预算基本支出预算表</w:t>
      </w:r>
    </w:p>
    <w:p>
      <w:pPr>
        <w:spacing w:line="600" w:lineRule="exact"/>
        <w:ind w:firstLine="1600" w:firstLineChars="500"/>
      </w:pPr>
      <w:r>
        <w:t>表3-2.一般公共预算项目支出预算表</w:t>
      </w:r>
    </w:p>
    <w:p>
      <w:pPr>
        <w:spacing w:line="600" w:lineRule="exact"/>
        <w:ind w:firstLine="1600" w:firstLineChars="500"/>
      </w:pPr>
      <w:r>
        <w:t>表3-3.一般公共预算“三公”经费支出预算表</w:t>
      </w:r>
    </w:p>
    <w:p>
      <w:pPr>
        <w:spacing w:line="600" w:lineRule="exact"/>
        <w:ind w:firstLine="1600" w:firstLineChars="500"/>
      </w:pPr>
      <w:r>
        <w:t>表4.政府性基金支出预算表</w:t>
      </w:r>
    </w:p>
    <w:p>
      <w:pPr>
        <w:spacing w:line="600" w:lineRule="exact"/>
        <w:ind w:firstLine="1600" w:firstLineChars="500"/>
      </w:pPr>
      <w:r>
        <w:t>表4-1.政府性基金预算“三公”经费支出预算表</w:t>
      </w:r>
    </w:p>
    <w:p>
      <w:pPr>
        <w:spacing w:line="600" w:lineRule="exact"/>
        <w:ind w:firstLine="1600" w:firstLineChars="500"/>
      </w:pPr>
      <w:r>
        <w:t>表5.国有资本经营预算支出预算表</w:t>
      </w:r>
    </w:p>
    <w:p>
      <w:pPr>
        <w:spacing w:line="600" w:lineRule="exact"/>
        <w:ind w:firstLine="1600" w:firstLineChars="500"/>
      </w:pPr>
      <w:r>
        <w:t>表6.</w:t>
      </w:r>
      <w:r>
        <w:rPr>
          <w:rFonts w:hint="eastAsia"/>
        </w:rPr>
        <w:t>单位</w:t>
      </w:r>
      <w:r>
        <w:t>整体支出绩效目标表</w:t>
      </w:r>
    </w:p>
    <w:p>
      <w:pPr>
        <w:spacing w:line="600" w:lineRule="exact"/>
        <w:ind w:firstLine="1600" w:firstLineChars="500"/>
      </w:pPr>
      <w:r>
        <w:t>表7.单位预算项目绩效目标表</w:t>
      </w:r>
    </w:p>
    <w:p>
      <w:pPr>
        <w:spacing w:line="600" w:lineRule="exact"/>
        <w:ind w:firstLine="640" w:firstLineChars="200"/>
        <w:rPr>
          <w:u w:val="single"/>
        </w:rPr>
      </w:pPr>
    </w:p>
    <w:sectPr>
      <w:footerReference r:id="rId4" w:type="default"/>
      <w:pgSz w:w="11906" w:h="16838"/>
      <w:pgMar w:top="1247" w:right="1542" w:bottom="1247" w:left="2098" w:header="851" w:footer="992" w:gutter="0"/>
      <w:pgNumType w:fmt="numberInDash"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Fonts w:ascii="宋体" w:hAnsi="宋体"/>
        <w:sz w:val="30"/>
        <w:szCs w:val="30"/>
      </w:rPr>
    </w:pPr>
    <w:r>
      <w:rPr>
        <w:rFonts w:ascii="宋体" w:hAnsi="宋体"/>
        <w:sz w:val="30"/>
        <w:szCs w:val="30"/>
      </w:rPr>
      <w:fldChar w:fldCharType="begin"/>
    </w:r>
    <w:r>
      <w:rPr>
        <w:rStyle w:val="9"/>
        <w:rFonts w:ascii="宋体" w:hAnsi="宋体"/>
        <w:sz w:val="30"/>
        <w:szCs w:val="30"/>
      </w:rPr>
      <w:instrText xml:space="preserve">PAGE  </w:instrText>
    </w:r>
    <w:r>
      <w:rPr>
        <w:rFonts w:ascii="宋体" w:hAnsi="宋体"/>
        <w:sz w:val="30"/>
        <w:szCs w:val="30"/>
      </w:rPr>
      <w:fldChar w:fldCharType="separate"/>
    </w:r>
    <w:r>
      <w:rPr>
        <w:rStyle w:val="9"/>
        <w:rFonts w:ascii="宋体" w:hAnsi="宋体"/>
        <w:sz w:val="30"/>
        <w:szCs w:val="30"/>
        <w:lang/>
      </w:rPr>
      <w:t>- 9 -</w:t>
    </w:r>
    <w:r>
      <w:rPr>
        <w:rFonts w:ascii="宋体" w:hAnsi="宋体"/>
        <w:sz w:val="30"/>
        <w:szCs w:val="30"/>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43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xNDMxNDlmZDQ3MTM4MmE5OGZmYTNhMmJiMDA1NTgifQ=="/>
  </w:docVars>
  <w:rsids>
    <w:rsidRoot w:val="00172A27"/>
    <w:rsid w:val="00436EB1"/>
    <w:rsid w:val="00906C1A"/>
    <w:rsid w:val="03E13B04"/>
    <w:rsid w:val="09C006D3"/>
    <w:rsid w:val="0F711586"/>
    <w:rsid w:val="10E0290C"/>
    <w:rsid w:val="13B925F8"/>
    <w:rsid w:val="14117320"/>
    <w:rsid w:val="17174C81"/>
    <w:rsid w:val="178E5CB4"/>
    <w:rsid w:val="17BB1A9C"/>
    <w:rsid w:val="1B371A34"/>
    <w:rsid w:val="24E113C6"/>
    <w:rsid w:val="29BB1523"/>
    <w:rsid w:val="2A7A4CF5"/>
    <w:rsid w:val="2C84616F"/>
    <w:rsid w:val="32483DF0"/>
    <w:rsid w:val="357F58F8"/>
    <w:rsid w:val="35A63982"/>
    <w:rsid w:val="35C0775B"/>
    <w:rsid w:val="36641C2D"/>
    <w:rsid w:val="39225C4F"/>
    <w:rsid w:val="3AC04E69"/>
    <w:rsid w:val="4AB630F1"/>
    <w:rsid w:val="4B270992"/>
    <w:rsid w:val="53CB34A6"/>
    <w:rsid w:val="54EF5AAC"/>
    <w:rsid w:val="55612CC8"/>
    <w:rsid w:val="590402F8"/>
    <w:rsid w:val="590F7FFF"/>
    <w:rsid w:val="5C3B7D12"/>
    <w:rsid w:val="5D380764"/>
    <w:rsid w:val="657345E0"/>
    <w:rsid w:val="6592617F"/>
    <w:rsid w:val="68975DAC"/>
    <w:rsid w:val="69F70101"/>
    <w:rsid w:val="6B3629A6"/>
    <w:rsid w:val="72244183"/>
    <w:rsid w:val="73A008DD"/>
    <w:rsid w:val="75BC76E9"/>
    <w:rsid w:val="7A3F4E9E"/>
    <w:rsid w:val="7ACC345E"/>
    <w:rsid w:val="7ADC7036"/>
    <w:rsid w:val="7B790618"/>
    <w:rsid w:val="7C3D6891"/>
    <w:rsid w:val="7E36682B"/>
    <w:rsid w:val="7E6243A5"/>
    <w:rsid w:val="7F8B09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32"/>
      <w:lang w:val="en-US" w:eastAsia="zh-CN" w:bidi="ar-SA"/>
    </w:rPr>
  </w:style>
  <w:style w:type="character" w:default="1" w:styleId="8">
    <w:name w:val="Default Paragraph Font"/>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ody Text"/>
    <w:basedOn w:val="1"/>
    <w:link w:val="10"/>
    <w:uiPriority w:val="0"/>
    <w:pPr>
      <w:spacing w:before="93" w:beforeLines="30"/>
    </w:pPr>
    <w:rPr>
      <w:rFonts w:ascii="仿宋_GB2312" w:eastAsia="仿宋_GB2312"/>
      <w:sz w:val="30"/>
    </w:rPr>
  </w:style>
  <w:style w:type="paragraph" w:styleId="3">
    <w:name w:val="Balloon Text"/>
    <w:basedOn w:val="1"/>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character" w:styleId="9">
    <w:name w:val="page number"/>
    <w:uiPriority w:val="0"/>
  </w:style>
  <w:style w:type="character" w:customStyle="1" w:styleId="10">
    <w:name w:val="正文文本 Char"/>
    <w:link w:val="2"/>
    <w:uiPriority w:val="0"/>
    <w:rPr>
      <w:rFonts w:ascii="仿宋_GB2312" w:eastAsia="仿宋_GB2312"/>
      <w:sz w:val="30"/>
    </w:rPr>
  </w:style>
  <w:style w:type="paragraph" w:customStyle="1" w:styleId="11">
    <w:name w:val="Char Char Char Char Char Char Char Char Char Char Char Char"/>
    <w:basedOn w:val="1"/>
    <w:uiPriority w:val="0"/>
    <w:rPr>
      <w:szCs w:val="21"/>
    </w:rPr>
  </w:style>
  <w:style w:type="paragraph" w:customStyle="1" w:styleId="12">
    <w:name w:val=" Char Char1 Char Char Char Char Char Char Char Char"/>
    <w:basedOn w:val="1"/>
    <w:next w:val="1"/>
    <w:uiPriority w:val="0"/>
    <w:pPr>
      <w:spacing w:line="240" w:lineRule="atLeast"/>
      <w:ind w:left="420" w:firstLine="420"/>
      <w:jc w:val="left"/>
    </w:pPr>
    <w:rPr>
      <w:rFonts w:eastAsia="宋体"/>
      <w:kern w:val="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Pages>
  <Words>768</Words>
  <Characters>4382</Characters>
  <Lines>36</Lines>
  <Paragraphs>10</Paragraphs>
  <TotalTime>15</TotalTime>
  <ScaleCrop>false</ScaleCrop>
  <LinksUpToDate>false</LinksUpToDate>
  <CharactersWithSpaces>5140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2014-03-03T08:31:00Z</dcterms:created>
  <dc:creator>赵树子</dc:creator>
  <cp:lastModifiedBy>如果范广阳会唱歌</cp:lastModifiedBy>
  <cp:lastPrinted>2023-07-13T03:52:00Z</cp:lastPrinted>
  <dcterms:modified xsi:type="dcterms:W3CDTF">2023-10-19T00:58:23Z</dcterms:modified>
  <dc:title>四川省财政厅2011年部门预算编制说明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0FED7995C0F644418FC7C4EED09DB3EA_13</vt:lpwstr>
  </property>
</Properties>
</file>