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7CC5C">
      <w:pPr>
        <w:spacing w:line="600" w:lineRule="exact"/>
        <w:jc w:val="center"/>
        <w:outlineLvl w:val="0"/>
        <w:rPr>
          <w:rFonts w:ascii="方正小标宋简体" w:hAnsi="宋体" w:eastAsia="方正小标宋简体"/>
          <w:sz w:val="72"/>
          <w:szCs w:val="72"/>
        </w:rPr>
      </w:pPr>
      <w:bookmarkStart w:id="0" w:name="_Toc15306267"/>
    </w:p>
    <w:p w14:paraId="7E35BDED">
      <w:pPr>
        <w:spacing w:line="600" w:lineRule="exact"/>
        <w:jc w:val="center"/>
        <w:outlineLvl w:val="0"/>
        <w:rPr>
          <w:rFonts w:ascii="方正小标宋简体" w:hAnsi="宋体" w:eastAsia="方正小标宋简体"/>
          <w:sz w:val="72"/>
          <w:szCs w:val="72"/>
        </w:rPr>
      </w:pPr>
    </w:p>
    <w:p w14:paraId="62AAA93C">
      <w:pPr>
        <w:spacing w:line="600" w:lineRule="exact"/>
        <w:jc w:val="center"/>
        <w:outlineLvl w:val="0"/>
        <w:rPr>
          <w:rFonts w:ascii="方正小标宋简体" w:hAnsi="宋体" w:eastAsia="方正小标宋简体"/>
          <w:sz w:val="72"/>
          <w:szCs w:val="72"/>
        </w:rPr>
      </w:pPr>
    </w:p>
    <w:p w14:paraId="53627CB3">
      <w:pPr>
        <w:spacing w:line="600" w:lineRule="exact"/>
        <w:jc w:val="center"/>
        <w:outlineLvl w:val="0"/>
        <w:rPr>
          <w:rFonts w:ascii="方正小标宋简体" w:hAnsi="宋体" w:eastAsia="方正小标宋简体"/>
          <w:sz w:val="72"/>
          <w:szCs w:val="72"/>
        </w:rPr>
      </w:pPr>
    </w:p>
    <w:p w14:paraId="295D123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425"/>
      <w:bookmarkStart w:id="4" w:name="_Toc15377193"/>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14:paraId="5FE6233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77426"/>
      <w:bookmarkStart w:id="9" w:name="_Toc15396476"/>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攀枝花市公安局</w:t>
      </w:r>
    </w:p>
    <w:p w14:paraId="18289352">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西区分局单位决算</w:t>
      </w:r>
      <w:bookmarkEnd w:id="6"/>
      <w:bookmarkEnd w:id="7"/>
      <w:bookmarkEnd w:id="8"/>
      <w:bookmarkEnd w:id="9"/>
      <w:bookmarkEnd w:id="10"/>
      <w:bookmarkEnd w:id="11"/>
    </w:p>
    <w:p w14:paraId="2E079AD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1E9CB89">
      <w:pPr>
        <w:widowControl/>
        <w:jc w:val="center"/>
        <w:rPr>
          <w:rFonts w:ascii="黑体" w:hAnsi="黑体" w:eastAsia="黑体" w:cstheme="minorBidi"/>
          <w:sz w:val="28"/>
          <w:szCs w:val="28"/>
        </w:rPr>
      </w:pPr>
    </w:p>
    <w:p w14:paraId="2E15D39C">
      <w:pPr>
        <w:pStyle w:val="10"/>
      </w:pPr>
      <w:r>
        <w:rPr>
          <w:rFonts w:hint="eastAsia"/>
        </w:rPr>
        <w:t>公开时间：2022年9月13日</w:t>
      </w:r>
    </w:p>
    <w:p w14:paraId="093A832E"/>
    <w:p w14:paraId="10C34404">
      <w:pPr>
        <w:pStyle w:val="10"/>
        <w:adjustRightInd w:val="0"/>
        <w:snapToGrid w:val="0"/>
        <w:spacing w:before="0" w:line="440" w:lineRule="exact"/>
        <w:jc w:val="left"/>
        <w:rPr>
          <w:rFonts w:cstheme="minorBidi"/>
          <w:sz w:val="24"/>
          <w:szCs w:val="24"/>
        </w:rPr>
      </w:pPr>
      <w:r>
        <w:rPr>
          <w:rFonts w:hint="eastAsia"/>
          <w:sz w:val="24"/>
        </w:rPr>
        <w:t>第一部分单位概况</w:t>
      </w:r>
    </w:p>
    <w:p w14:paraId="4D7FC681">
      <w:pPr>
        <w:pStyle w:val="11"/>
        <w:adjustRightInd w:val="0"/>
        <w:snapToGrid w:val="0"/>
        <w:spacing w:line="440" w:lineRule="exact"/>
        <w:jc w:val="left"/>
        <w:rPr>
          <w:sz w:val="24"/>
        </w:rPr>
      </w:pPr>
      <w:r>
        <w:rPr>
          <w:rFonts w:hint="eastAsia"/>
          <w:sz w:val="24"/>
        </w:rPr>
        <w:t>一、职能简介--------------------------------------------------------------------------------</w:t>
      </w:r>
      <w:r>
        <w:rPr>
          <w:rFonts w:hint="eastAsia" w:asciiTheme="minorEastAsia" w:hAnsiTheme="minorEastAsia" w:eastAsiaTheme="minorEastAsia" w:cstheme="minorEastAsia"/>
          <w:sz w:val="24"/>
        </w:rPr>
        <w:t>4</w:t>
      </w:r>
    </w:p>
    <w:p w14:paraId="12556051">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二、2021年重点工作完成情况---------------------------------------4</w:t>
      </w:r>
    </w:p>
    <w:p w14:paraId="778E92FD">
      <w:pPr>
        <w:pStyle w:val="11"/>
        <w:adjustRightInd w:val="0"/>
        <w:snapToGrid w:val="0"/>
        <w:spacing w:line="440" w:lineRule="exact"/>
        <w:jc w:val="left"/>
        <w:rPr>
          <w:rFonts w:eastAsiaTheme="minorEastAsia"/>
        </w:rPr>
      </w:pPr>
      <w:r>
        <w:rPr>
          <w:rFonts w:hint="eastAsia" w:asciiTheme="minorEastAsia" w:hAnsiTheme="minorEastAsia" w:eastAsiaTheme="minorEastAsia" w:cstheme="minorEastAsia"/>
          <w:sz w:val="24"/>
        </w:rPr>
        <w:t>三、机构设置情况------------------------------------------------10</w:t>
      </w:r>
    </w:p>
    <w:p w14:paraId="70CF519B">
      <w:pPr>
        <w:pStyle w:val="10"/>
        <w:adjustRightInd w:val="0"/>
        <w:snapToGrid w:val="0"/>
        <w:spacing w:before="0" w:line="440" w:lineRule="exact"/>
        <w:jc w:val="left"/>
        <w:rPr>
          <w:sz w:val="24"/>
          <w:szCs w:val="24"/>
        </w:rPr>
      </w:pPr>
      <w:r>
        <w:rPr>
          <w:rFonts w:hint="eastAsia"/>
          <w:sz w:val="24"/>
        </w:rPr>
        <w:t>第二部分 2021年度单位决算情况说明</w:t>
      </w:r>
    </w:p>
    <w:p w14:paraId="13D57E00">
      <w:pPr>
        <w:pStyle w:val="11"/>
        <w:adjustRightInd w:val="0"/>
        <w:snapToGrid w:val="0"/>
        <w:spacing w:line="440" w:lineRule="exact"/>
        <w:jc w:val="left"/>
        <w:rPr>
          <w:rFonts w:ascii="仿宋" w:hAnsi="仿宋" w:eastAsiaTheme="minorEastAsia" w:cstheme="minorBidi"/>
          <w:sz w:val="24"/>
        </w:rPr>
      </w:pPr>
      <w:r>
        <w:rPr>
          <w:rFonts w:hint="eastAsia"/>
          <w:sz w:val="24"/>
        </w:rPr>
        <w:t>一、收入支出决算总体情况说明-------------------------------------------------------</w:t>
      </w:r>
      <w:r>
        <w:rPr>
          <w:rFonts w:hint="eastAsia" w:asciiTheme="minorEastAsia" w:hAnsiTheme="minorEastAsia" w:eastAsiaTheme="minorEastAsia" w:cstheme="minorEastAsia"/>
          <w:sz w:val="24"/>
        </w:rPr>
        <w:t>11</w:t>
      </w:r>
    </w:p>
    <w:p w14:paraId="313DB06D">
      <w:pPr>
        <w:pStyle w:val="11"/>
        <w:adjustRightInd w:val="0"/>
        <w:snapToGrid w:val="0"/>
        <w:spacing w:line="440" w:lineRule="exact"/>
        <w:jc w:val="left"/>
        <w:rPr>
          <w:rFonts w:ascii="仿宋" w:hAnsi="仿宋" w:cstheme="minorBidi"/>
          <w:sz w:val="24"/>
        </w:rPr>
      </w:pPr>
      <w:r>
        <w:rPr>
          <w:rFonts w:hint="eastAsia"/>
          <w:sz w:val="24"/>
        </w:rPr>
        <w:t>二、收入决算情况说明------------------------------------------------------------------11</w:t>
      </w:r>
    </w:p>
    <w:p w14:paraId="7424C0E2">
      <w:pPr>
        <w:pStyle w:val="11"/>
        <w:adjustRightInd w:val="0"/>
        <w:snapToGrid w:val="0"/>
        <w:spacing w:line="440" w:lineRule="exact"/>
        <w:jc w:val="left"/>
        <w:rPr>
          <w:rFonts w:ascii="仿宋" w:hAnsi="仿宋" w:cstheme="minorBidi"/>
          <w:sz w:val="24"/>
        </w:rPr>
      </w:pPr>
      <w:r>
        <w:rPr>
          <w:rFonts w:hint="eastAsia"/>
          <w:sz w:val="24"/>
        </w:rPr>
        <w:t>三、支出决算情况说明------------------------------------------------------------------12</w:t>
      </w:r>
    </w:p>
    <w:p w14:paraId="05B79687">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四、财政拨款收入支出决算总体情况说明------------------------------------------13五、一般公共预算财政拨款支出决算情况说明------------------------------------14</w:t>
      </w:r>
    </w:p>
    <w:p w14:paraId="1DA5E15D">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六、一般公共预算财政拨款基本支出决算情况说明------------------------------17</w:t>
      </w:r>
    </w:p>
    <w:p w14:paraId="52807B47">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七、“三公”经费财政拨款支出决算情况说明--------------------------------------17</w:t>
      </w:r>
    </w:p>
    <w:p w14:paraId="71BB098F">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八、政府性基金预算支出决算情况说明---------------------------------------------19</w:t>
      </w:r>
    </w:p>
    <w:p w14:paraId="42910CC2">
      <w:pPr>
        <w:pStyle w:val="11"/>
        <w:adjustRightInd w:val="0"/>
        <w:snapToGrid w:val="0"/>
        <w:spacing w:line="440" w:lineRule="exact"/>
        <w:jc w:val="left"/>
        <w:rPr>
          <w:sz w:val="24"/>
        </w:rPr>
      </w:pPr>
      <w:r>
        <w:rPr>
          <w:rFonts w:hint="eastAsia"/>
          <w:sz w:val="24"/>
        </w:rPr>
        <w:t>九、国有资本经营预算支出决算情况说明------------------------------------------19</w:t>
      </w:r>
    </w:p>
    <w:p w14:paraId="708545D8">
      <w:pPr>
        <w:pStyle w:val="11"/>
        <w:adjustRightInd w:val="0"/>
        <w:snapToGrid w:val="0"/>
        <w:spacing w:line="440" w:lineRule="exact"/>
        <w:jc w:val="left"/>
        <w:rPr>
          <w:sz w:val="24"/>
        </w:rPr>
      </w:pPr>
      <w:r>
        <w:rPr>
          <w:rFonts w:hint="eastAsia"/>
          <w:sz w:val="24"/>
        </w:rPr>
        <w:t>十、其他重要事项的情况说明---------------------------------------------------------19</w:t>
      </w:r>
    </w:p>
    <w:p w14:paraId="6BB4D3A1">
      <w:pPr>
        <w:pStyle w:val="10"/>
        <w:adjustRightInd w:val="0"/>
        <w:snapToGrid w:val="0"/>
        <w:spacing w:before="0" w:line="440" w:lineRule="exact"/>
        <w:jc w:val="left"/>
        <w:rPr>
          <w:rFonts w:cstheme="minorBidi"/>
          <w:sz w:val="24"/>
          <w:szCs w:val="24"/>
        </w:rPr>
      </w:pPr>
      <w:r>
        <w:rPr>
          <w:rFonts w:hint="eastAsia"/>
          <w:sz w:val="24"/>
        </w:rPr>
        <w:t>第三部分名词解释第四部分附件---------------------------------------23</w:t>
      </w:r>
    </w:p>
    <w:p w14:paraId="06EEF6CF">
      <w:pPr>
        <w:pStyle w:val="10"/>
        <w:adjustRightInd w:val="0"/>
        <w:snapToGrid w:val="0"/>
        <w:spacing w:before="0" w:line="440" w:lineRule="exact"/>
        <w:jc w:val="left"/>
        <w:rPr>
          <w:rFonts w:cstheme="minorBidi"/>
          <w:sz w:val="24"/>
          <w:szCs w:val="24"/>
        </w:rPr>
      </w:pPr>
      <w:r>
        <w:rPr>
          <w:rFonts w:hint="eastAsia"/>
          <w:sz w:val="24"/>
        </w:rPr>
        <w:t>第五部分附表-------------------------------------------------------24</w:t>
      </w:r>
    </w:p>
    <w:p w14:paraId="072560F8">
      <w:pPr>
        <w:pStyle w:val="11"/>
        <w:adjustRightInd w:val="0"/>
        <w:snapToGrid w:val="0"/>
        <w:spacing w:line="440" w:lineRule="exact"/>
        <w:jc w:val="left"/>
        <w:rPr>
          <w:sz w:val="24"/>
        </w:rPr>
      </w:pPr>
      <w:r>
        <w:rPr>
          <w:rFonts w:hint="eastAsia"/>
          <w:sz w:val="24"/>
        </w:rPr>
        <w:t>一、收入支出决算总表------------------------------------------------------------------24</w:t>
      </w:r>
    </w:p>
    <w:p w14:paraId="084923A2">
      <w:pPr>
        <w:pStyle w:val="11"/>
        <w:adjustRightInd w:val="0"/>
        <w:snapToGrid w:val="0"/>
        <w:spacing w:line="440" w:lineRule="exact"/>
        <w:jc w:val="left"/>
        <w:rPr>
          <w:sz w:val="24"/>
        </w:rPr>
      </w:pPr>
      <w:r>
        <w:rPr>
          <w:rFonts w:hint="eastAsia"/>
          <w:sz w:val="24"/>
        </w:rPr>
        <w:t>二、收入决算表---------------------------------------------------------------------------24三、支出决算表---------------------------------------------------------------------------24四、财政拨款收入支出决算总表------------------------------------------------------24五、财政拨款支出决算明细表---------------------------------------------------------24</w:t>
      </w:r>
    </w:p>
    <w:p w14:paraId="05218AA2">
      <w:pPr>
        <w:pStyle w:val="11"/>
        <w:adjustRightInd w:val="0"/>
        <w:snapToGrid w:val="0"/>
        <w:spacing w:line="440" w:lineRule="exact"/>
        <w:jc w:val="left"/>
        <w:rPr>
          <w:sz w:val="24"/>
        </w:rPr>
      </w:pPr>
      <w:r>
        <w:rPr>
          <w:rFonts w:hint="eastAsia"/>
          <w:sz w:val="24"/>
        </w:rPr>
        <w:t>六、一般公共预算财政拨款支出决算表----------------------------------------------24七、一般公共预算财政拨款支出决算明细表---------------------------------------24八、一般公共预算财政拨款基本支出决算表---------------------------------------24九、一般公共预算财政拨款项目支出决算表---------------------------------------24十、一般公共预算财政拨款“三公”经费支出决算表---------------------------24</w:t>
      </w:r>
    </w:p>
    <w:p w14:paraId="34DBECC5">
      <w:pPr>
        <w:pStyle w:val="11"/>
        <w:adjustRightInd w:val="0"/>
        <w:snapToGrid w:val="0"/>
        <w:spacing w:line="440" w:lineRule="exact"/>
        <w:jc w:val="left"/>
        <w:rPr>
          <w:sz w:val="24"/>
        </w:rPr>
      </w:pPr>
      <w:r>
        <w:rPr>
          <w:rFonts w:hint="eastAsia"/>
          <w:sz w:val="24"/>
        </w:rPr>
        <w:t>十一、政府性基金预算财政拨款收入支出决算表---------------------------------24</w:t>
      </w:r>
    </w:p>
    <w:p w14:paraId="1BF400F0">
      <w:pPr>
        <w:pStyle w:val="11"/>
        <w:adjustRightInd w:val="0"/>
        <w:snapToGrid w:val="0"/>
        <w:spacing w:line="440" w:lineRule="exact"/>
        <w:jc w:val="left"/>
        <w:rPr>
          <w:sz w:val="24"/>
        </w:rPr>
      </w:pPr>
      <w:r>
        <w:rPr>
          <w:rFonts w:hint="eastAsia"/>
          <w:sz w:val="24"/>
        </w:rPr>
        <w:t>十二、政府性基金预算财政拨款“三公”经费支出决算表---------------------24</w:t>
      </w:r>
    </w:p>
    <w:p w14:paraId="5A5B1065">
      <w:pPr>
        <w:pStyle w:val="11"/>
        <w:adjustRightInd w:val="0"/>
        <w:snapToGrid w:val="0"/>
        <w:spacing w:line="440" w:lineRule="exact"/>
        <w:jc w:val="left"/>
        <w:rPr>
          <w:sz w:val="24"/>
        </w:rPr>
      </w:pPr>
      <w:r>
        <w:rPr>
          <w:rFonts w:hint="eastAsia"/>
          <w:sz w:val="24"/>
        </w:rPr>
        <w:t>十三、国有资本经营预算财政拨款收入支出决算表------------------------------24</w:t>
      </w:r>
    </w:p>
    <w:p w14:paraId="6F9E2520">
      <w:pPr>
        <w:pStyle w:val="11"/>
        <w:adjustRightInd w:val="0"/>
        <w:snapToGrid w:val="0"/>
        <w:spacing w:line="440" w:lineRule="exact"/>
        <w:jc w:val="left"/>
        <w:rPr>
          <w:sz w:val="24"/>
        </w:rPr>
      </w:pPr>
      <w:r>
        <w:rPr>
          <w:rFonts w:hint="eastAsia"/>
          <w:sz w:val="24"/>
        </w:rPr>
        <w:t>十四、国有资本经营预算财政拨款支出决算表------------------------------------24</w:t>
      </w:r>
    </w:p>
    <w:p w14:paraId="4956FFEA">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415F9606">
      <w:pPr>
        <w:pStyle w:val="3"/>
        <w:jc w:val="center"/>
        <w:rPr>
          <w:rFonts w:ascii="黑体" w:eastAsia="黑体"/>
          <w:sz w:val="32"/>
          <w:szCs w:val="32"/>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14:paraId="7457CE94">
      <w:pPr>
        <w:pStyle w:val="23"/>
        <w:numPr>
          <w:ilvl w:val="0"/>
          <w:numId w:val="1"/>
        </w:numPr>
        <w:spacing w:line="600" w:lineRule="exact"/>
        <w:ind w:firstLineChars="0"/>
        <w:outlineLvl w:val="1"/>
        <w:rPr>
          <w:rFonts w:ascii="黑体" w:hAnsi="黑体" w:eastAsia="黑体"/>
          <w:sz w:val="32"/>
          <w:szCs w:val="32"/>
        </w:rPr>
      </w:pPr>
      <w:bookmarkStart w:id="14" w:name="_Toc15396600"/>
      <w:bookmarkStart w:id="15" w:name="_Toc15377197"/>
      <w:r>
        <w:rPr>
          <w:rFonts w:hint="eastAsia" w:ascii="黑体" w:hAnsi="黑体" w:eastAsia="黑体"/>
          <w:sz w:val="32"/>
          <w:szCs w:val="32"/>
        </w:rPr>
        <w:t>职能简介</w:t>
      </w:r>
    </w:p>
    <w:p w14:paraId="1C31BE21">
      <w:pPr>
        <w:ind w:firstLine="640" w:firstLineChars="200"/>
        <w:rPr>
          <w:rFonts w:ascii="仿宋" w:hAnsi="仿宋" w:eastAsia="仿宋"/>
          <w:sz w:val="32"/>
          <w:szCs w:val="32"/>
        </w:rPr>
      </w:pPr>
      <w:r>
        <w:rPr>
          <w:rFonts w:hint="eastAsia" w:ascii="仿宋" w:hAnsi="仿宋" w:eastAsia="仿宋"/>
          <w:color w:val="333333"/>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14:paraId="47A55EA7">
      <w:pPr>
        <w:pStyle w:val="23"/>
        <w:numPr>
          <w:ilvl w:val="0"/>
          <w:numId w:val="1"/>
        </w:numPr>
        <w:spacing w:line="600" w:lineRule="exact"/>
        <w:ind w:firstLineChars="0"/>
        <w:outlineLvl w:val="1"/>
        <w:rPr>
          <w:rFonts w:ascii="黑体" w:hAnsi="黑体" w:eastAsia="黑体"/>
          <w:sz w:val="32"/>
          <w:szCs w:val="32"/>
        </w:rPr>
      </w:pPr>
      <w:r>
        <w:rPr>
          <w:rFonts w:hint="eastAsia" w:ascii="黑体" w:hAnsi="黑体" w:eastAsia="黑体"/>
          <w:sz w:val="32"/>
          <w:szCs w:val="32"/>
        </w:rPr>
        <w:t>2021年重点工作</w:t>
      </w:r>
      <w:bookmarkEnd w:id="14"/>
      <w:bookmarkEnd w:id="15"/>
      <w:r>
        <w:rPr>
          <w:rFonts w:hint="eastAsia" w:ascii="黑体" w:hAnsi="黑体" w:eastAsia="黑体"/>
          <w:sz w:val="32"/>
          <w:szCs w:val="32"/>
        </w:rPr>
        <w:t>完成情况</w:t>
      </w:r>
    </w:p>
    <w:p w14:paraId="7A8A9467">
      <w:pPr>
        <w:spacing w:line="560" w:lineRule="exact"/>
        <w:ind w:firstLine="643" w:firstLineChars="200"/>
        <w:rPr>
          <w:rFonts w:eastAsia="仿宋_GB2312"/>
          <w:color w:val="000000"/>
          <w:sz w:val="32"/>
          <w:szCs w:val="32"/>
        </w:rPr>
      </w:pPr>
      <w:r>
        <w:rPr>
          <w:rFonts w:eastAsia="楷体_GB2312"/>
          <w:b/>
          <w:bCs/>
          <w:color w:val="000000"/>
          <w:sz w:val="32"/>
          <w:szCs w:val="32"/>
        </w:rPr>
        <w:t>（一）“三个立足”狠抓政治建警，锤炼党性，忠诚根基进一步筑牢</w:t>
      </w:r>
      <w:r>
        <w:rPr>
          <w:rFonts w:eastAsia="仿宋_GB2312"/>
          <w:b/>
          <w:bCs/>
          <w:color w:val="000000"/>
          <w:sz w:val="32"/>
          <w:szCs w:val="32"/>
        </w:rPr>
        <w:t>。一是立足政治建设。</w:t>
      </w:r>
      <w:r>
        <w:rPr>
          <w:rFonts w:eastAsia="仿宋_GB2312"/>
          <w:color w:val="000000"/>
          <w:sz w:val="32"/>
          <w:szCs w:val="32"/>
        </w:rPr>
        <w:t>坚持和完善“第一议题”制度，紧扣队伍教育整顿及党史学习教育，全年开展党委理论学习中心组专题学习10次、讲授主题党课5次、专题讨论4期，各基层党组织结合“三会一课”“主题党日活动”开展学习190余次。</w:t>
      </w:r>
      <w:r>
        <w:rPr>
          <w:rFonts w:eastAsia="仿宋_GB2312"/>
          <w:b/>
          <w:bCs/>
          <w:color w:val="000000"/>
          <w:sz w:val="32"/>
          <w:szCs w:val="32"/>
        </w:rPr>
        <w:t>二是立足思想建设。</w:t>
      </w:r>
      <w:r>
        <w:rPr>
          <w:rFonts w:eastAsia="仿宋_GB2312"/>
          <w:color w:val="000000"/>
          <w:sz w:val="32"/>
          <w:szCs w:val="32"/>
        </w:rPr>
        <w:t>坚持不懈武装头</w:t>
      </w:r>
      <w:bookmarkStart w:id="67" w:name="_GoBack"/>
      <w:bookmarkEnd w:id="67"/>
      <w:r>
        <w:rPr>
          <w:rFonts w:eastAsia="仿宋_GB2312"/>
          <w:color w:val="000000"/>
          <w:sz w:val="32"/>
          <w:szCs w:val="32"/>
        </w:rPr>
        <w:t>脑，创新“晨练+夜读”模式，全面开展“线上学+线下学”“集体学+自主学+补课学”，常态化抓好教育整顿“四项教育”，高标准抓实意识形态领域建设</w:t>
      </w:r>
      <w:r>
        <w:rPr>
          <w:rFonts w:hint="eastAsia" w:eastAsia="仿宋_GB2312"/>
          <w:color w:val="000000"/>
          <w:sz w:val="32"/>
          <w:szCs w:val="32"/>
        </w:rPr>
        <w:t>。</w:t>
      </w:r>
      <w:r>
        <w:rPr>
          <w:rFonts w:eastAsia="仿宋_GB2312"/>
          <w:color w:val="000000"/>
          <w:sz w:val="32"/>
          <w:szCs w:val="32"/>
        </w:rPr>
        <w:t>全年，围绕队伍教育整顿，开展集中学习10次，以部门为单位开展学习162次；开展意识形态专题学习10次、专题研究4次、分析研判6次。</w:t>
      </w:r>
      <w:r>
        <w:rPr>
          <w:rFonts w:eastAsia="仿宋_GB2312"/>
          <w:b/>
          <w:bCs/>
          <w:color w:val="000000"/>
          <w:sz w:val="32"/>
          <w:szCs w:val="32"/>
        </w:rPr>
        <w:t>三是立足组织建设。</w:t>
      </w:r>
      <w:r>
        <w:rPr>
          <w:rFonts w:eastAsia="仿宋_GB2312"/>
          <w:color w:val="000000"/>
          <w:sz w:val="32"/>
          <w:szCs w:val="32"/>
        </w:rPr>
        <w:t>依托“最强支部”创建，深入推进基层党组织标准化规范化科学化建设，深入整治“灯下黑”问题，持续推树在全省、全市具有一定影响力的党建品牌。</w:t>
      </w:r>
    </w:p>
    <w:p w14:paraId="5D938A22">
      <w:pPr>
        <w:spacing w:line="560" w:lineRule="exact"/>
        <w:ind w:firstLine="643" w:firstLineChars="200"/>
        <w:rPr>
          <w:rFonts w:eastAsia="仿宋_GB2312"/>
          <w:color w:val="000000"/>
          <w:sz w:val="32"/>
          <w:szCs w:val="32"/>
        </w:rPr>
      </w:pPr>
      <w:r>
        <w:rPr>
          <w:rFonts w:eastAsia="楷体_GB2312"/>
          <w:b/>
          <w:bCs/>
          <w:color w:val="000000"/>
          <w:sz w:val="32"/>
          <w:szCs w:val="32"/>
        </w:rPr>
        <w:t>（二）“三个聚力”狠抓主责主业，合力攻坚，工作业绩进一步显现。</w:t>
      </w:r>
      <w:r>
        <w:rPr>
          <w:rFonts w:eastAsia="仿宋_GB2312"/>
          <w:b/>
          <w:bCs/>
          <w:color w:val="000000"/>
          <w:sz w:val="32"/>
          <w:szCs w:val="32"/>
        </w:rPr>
        <w:t>一是聚力阵地建设</w:t>
      </w:r>
      <w:r>
        <w:rPr>
          <w:rFonts w:eastAsia="仿宋_GB2312"/>
          <w:color w:val="000000"/>
          <w:kern w:val="0"/>
          <w:sz w:val="32"/>
          <w:szCs w:val="32"/>
        </w:rPr>
        <w:t>。</w:t>
      </w:r>
      <w:r>
        <w:rPr>
          <w:rFonts w:eastAsia="仿宋_GB2312"/>
          <w:b/>
          <w:bCs/>
          <w:color w:val="000000"/>
          <w:sz w:val="32"/>
          <w:szCs w:val="32"/>
        </w:rPr>
        <w:t>二是聚力目标晋位。</w:t>
      </w:r>
      <w:r>
        <w:rPr>
          <w:rFonts w:eastAsia="仿宋_GB2312"/>
          <w:color w:val="000000"/>
          <w:kern w:val="0"/>
          <w:sz w:val="32"/>
          <w:szCs w:val="32"/>
        </w:rPr>
        <w:t>立足</w:t>
      </w:r>
      <w:r>
        <w:rPr>
          <w:rFonts w:eastAsia="仿宋_GB2312"/>
          <w:color w:val="000000"/>
          <w:sz w:val="32"/>
          <w:szCs w:val="32"/>
        </w:rPr>
        <w:t>全年目标任务以及KPI目标绩</w:t>
      </w:r>
      <w:r>
        <w:rPr>
          <w:rFonts w:eastAsia="仿宋_GB2312"/>
          <w:color w:val="000000"/>
          <w:kern w:val="0"/>
          <w:sz w:val="32"/>
          <w:szCs w:val="32"/>
        </w:rPr>
        <w:t>效考核，紧扣扫黑除恶专项斗争、“护旗”系列专项行动</w:t>
      </w:r>
      <w:r>
        <w:rPr>
          <w:rFonts w:hint="eastAsia" w:eastAsia="仿宋_GB2312"/>
          <w:color w:val="000000"/>
          <w:kern w:val="0"/>
          <w:sz w:val="32"/>
          <w:szCs w:val="32"/>
        </w:rPr>
        <w:t>、破案攻坚</w:t>
      </w:r>
      <w:r>
        <w:rPr>
          <w:rFonts w:eastAsia="仿宋_GB2312"/>
          <w:color w:val="000000"/>
          <w:kern w:val="0"/>
          <w:sz w:val="32"/>
          <w:szCs w:val="32"/>
        </w:rPr>
        <w:t>等，严厉打击突出违法犯罪，全方位整治社会治安，</w:t>
      </w:r>
      <w:r>
        <w:rPr>
          <w:rFonts w:eastAsia="仿宋_GB2312"/>
          <w:color w:val="000000"/>
          <w:sz w:val="32"/>
          <w:szCs w:val="32"/>
        </w:rPr>
        <w:t>有力震慑了各类违法犯罪活动</w:t>
      </w:r>
      <w:r>
        <w:rPr>
          <w:rFonts w:eastAsia="仿宋_GB2312"/>
          <w:color w:val="000000"/>
          <w:kern w:val="0"/>
          <w:sz w:val="32"/>
          <w:szCs w:val="32"/>
        </w:rPr>
        <w:t>。全年共立各类刑事案件443起，破获220起，抓获违法犯罪嫌疑人425人，起诉360人；办理九类涉恶案件18件，抓获59人，移送审查起诉46人；抓获各类网上逃犯52名，其中抓获历年上网逃犯2名，完成公安部认定跨区逃犯线索16条；</w:t>
      </w:r>
      <w:r>
        <w:rPr>
          <w:rFonts w:eastAsia="仿宋_GB2312"/>
          <w:color w:val="000000"/>
          <w:sz w:val="32"/>
          <w:szCs w:val="32"/>
        </w:rPr>
        <w:t>受理治安案件1467起，行政拘留489人、强制隔离戒毒42人，社区戒毒8人。</w:t>
      </w:r>
      <w:r>
        <w:rPr>
          <w:rFonts w:eastAsia="仿宋_GB2312"/>
          <w:b/>
          <w:bCs/>
          <w:color w:val="000000"/>
          <w:sz w:val="32"/>
          <w:szCs w:val="32"/>
        </w:rPr>
        <w:t>三是聚力安全防控。</w:t>
      </w:r>
      <w:r>
        <w:rPr>
          <w:rFonts w:eastAsia="仿宋_GB2312"/>
          <w:color w:val="000000"/>
          <w:sz w:val="32"/>
          <w:szCs w:val="32"/>
        </w:rPr>
        <w:t>深入贯彻习近平总书记关于森林草原防灭火重要指示批示精神，高位推进森林草原防灭火专项整治，组建29人的“生态警长”队伍，派警350余人次对7个卡点、11村（街道），全方位、无死角开展森林草原防灭火值守、巡防；分片区举办“夜校”5期，受教育群众达6万余人；</w:t>
      </w:r>
      <w:r>
        <w:rPr>
          <w:rFonts w:eastAsia="仿宋_GB2312"/>
          <w:color w:val="000000"/>
          <w:kern w:val="0"/>
          <w:sz w:val="32"/>
          <w:szCs w:val="32"/>
        </w:rPr>
        <w:t>办理</w:t>
      </w:r>
      <w:r>
        <w:rPr>
          <w:rFonts w:eastAsia="仿宋_GB2312"/>
          <w:color w:val="000000"/>
          <w:sz w:val="32"/>
          <w:szCs w:val="32"/>
        </w:rPr>
        <w:t>违规野外用火</w:t>
      </w:r>
      <w:r>
        <w:rPr>
          <w:rFonts w:eastAsia="仿宋_GB2312"/>
          <w:color w:val="000000"/>
          <w:kern w:val="0"/>
          <w:sz w:val="32"/>
          <w:szCs w:val="32"/>
        </w:rPr>
        <w:t>行政案件6件、处罚10人。聚</w:t>
      </w:r>
      <w:r>
        <w:rPr>
          <w:rFonts w:eastAsia="仿宋_GB2312"/>
          <w:color w:val="000000"/>
          <w:sz w:val="32"/>
          <w:szCs w:val="32"/>
        </w:rPr>
        <w:t>焦“减量控大”总目标，</w:t>
      </w:r>
      <w:r>
        <w:rPr>
          <w:rFonts w:eastAsia="仿宋_GB2312"/>
          <w:color w:val="000000"/>
          <w:kern w:val="0"/>
          <w:sz w:val="32"/>
          <w:szCs w:val="32"/>
        </w:rPr>
        <w:t>持续抓深交通安全保障</w:t>
      </w:r>
      <w:r>
        <w:rPr>
          <w:rFonts w:eastAsia="仿宋_GB2312"/>
          <w:color w:val="000000"/>
          <w:sz w:val="32"/>
          <w:szCs w:val="32"/>
        </w:rPr>
        <w:t>，全力打击道路交通违法，全年共发生交通事故1417起，查处各类交通违法43858起，未发生一次死亡3人及以上的重特大交通事故。结合“两整治一排查”，全力抓好危化品、民爆物品安全检查，</w:t>
      </w:r>
      <w:r>
        <w:rPr>
          <w:rFonts w:eastAsia="仿宋_GB2312"/>
          <w:bCs/>
          <w:snapToGrid w:val="0"/>
          <w:color w:val="000000"/>
          <w:kern w:val="0"/>
          <w:sz w:val="32"/>
          <w:szCs w:val="32"/>
        </w:rPr>
        <w:t>查处涉危涉爆</w:t>
      </w:r>
      <w:r>
        <w:rPr>
          <w:rFonts w:eastAsia="仿宋_GB2312"/>
          <w:bCs/>
          <w:color w:val="000000"/>
          <w:kern w:val="0"/>
          <w:sz w:val="32"/>
          <w:szCs w:val="32"/>
        </w:rPr>
        <w:t>行政案件17件，破获涉枪案件3案4人、涉爆案件2案2人，收缴枪支39支，子弹</w:t>
      </w:r>
      <w:r>
        <w:rPr>
          <w:rFonts w:eastAsia="仿宋_GB2312"/>
          <w:bCs/>
          <w:color w:val="000000"/>
          <w:sz w:val="32"/>
          <w:szCs w:val="32"/>
          <w:shd w:val="clear" w:color="auto" w:fill="FFFFFF"/>
        </w:rPr>
        <w:t>39982发，</w:t>
      </w:r>
      <w:r>
        <w:rPr>
          <w:rFonts w:eastAsia="仿宋_GB2312"/>
          <w:bCs/>
          <w:color w:val="000000"/>
          <w:kern w:val="0"/>
          <w:sz w:val="32"/>
          <w:szCs w:val="32"/>
        </w:rPr>
        <w:t>雷管832枚，炸药168共计，黑火药2.5千克，导火索200米</w:t>
      </w:r>
      <w:r>
        <w:rPr>
          <w:rFonts w:eastAsia="仿宋_GB2312"/>
          <w:bCs/>
          <w:snapToGrid w:val="0"/>
          <w:color w:val="000000"/>
          <w:kern w:val="0"/>
          <w:sz w:val="32"/>
          <w:szCs w:val="32"/>
        </w:rPr>
        <w:t>，</w:t>
      </w:r>
      <w:r>
        <w:rPr>
          <w:rFonts w:eastAsia="仿宋_GB2312"/>
          <w:color w:val="000000"/>
          <w:sz w:val="32"/>
          <w:szCs w:val="32"/>
        </w:rPr>
        <w:t>全年未发生五类持枪作案和枪支打响案件。</w:t>
      </w:r>
    </w:p>
    <w:p w14:paraId="60A07EC2">
      <w:pPr>
        <w:spacing w:line="560" w:lineRule="exact"/>
        <w:ind w:firstLine="643" w:firstLineChars="200"/>
        <w:rPr>
          <w:rFonts w:eastAsia="仿宋_GB2312"/>
          <w:color w:val="000000"/>
          <w:sz w:val="32"/>
          <w:szCs w:val="32"/>
        </w:rPr>
      </w:pPr>
      <w:r>
        <w:rPr>
          <w:rFonts w:eastAsia="楷体_GB2312"/>
          <w:b/>
          <w:bCs/>
          <w:color w:val="000000"/>
          <w:sz w:val="32"/>
          <w:szCs w:val="32"/>
        </w:rPr>
        <w:t>（三）“三个聚焦”狠抓实战练兵，磨锋利刃，队伍战力进一步增强。</w:t>
      </w:r>
      <w:r>
        <w:rPr>
          <w:rFonts w:eastAsia="仿宋_GB2312"/>
          <w:b/>
          <w:bCs/>
          <w:color w:val="000000"/>
          <w:sz w:val="32"/>
          <w:szCs w:val="32"/>
        </w:rPr>
        <w:t>一是聚焦政治练兵。</w:t>
      </w:r>
      <w:r>
        <w:rPr>
          <w:rFonts w:eastAsia="仿宋_GB2312"/>
          <w:color w:val="000000"/>
          <w:sz w:val="32"/>
          <w:szCs w:val="32"/>
        </w:rPr>
        <w:t>紧扣队伍教育整顿、党史学习教育，用活用好“三会一课”、主题党日等载体，组织全警学习必读必学篇目50余篇，印制读本2100余本，全覆盖开展政治轮训7期，组织和参加知识竞赛各1次，开展专题讨论4次，线上测试4次，线下测试1次，全警高举旗帜、听党指挥、忠诚使命的思想根基更加筑牢。</w:t>
      </w:r>
      <w:r>
        <w:rPr>
          <w:rFonts w:eastAsia="仿宋_GB2312"/>
          <w:b/>
          <w:bCs/>
          <w:color w:val="000000"/>
          <w:sz w:val="32"/>
          <w:szCs w:val="32"/>
        </w:rPr>
        <w:t>二是聚焦岗位练兵。</w:t>
      </w:r>
      <w:r>
        <w:rPr>
          <w:rFonts w:eastAsia="仿宋_GB2312"/>
          <w:color w:val="000000"/>
          <w:sz w:val="32"/>
          <w:szCs w:val="32"/>
        </w:rPr>
        <w:t>坚持把实战练兵与公安主责主业相结合，紧扣队列训练、接处警等基础技能，先</w:t>
      </w:r>
      <w:r>
        <w:rPr>
          <w:rFonts w:eastAsia="仿宋_GB2312"/>
          <w:bCs/>
          <w:color w:val="000000"/>
          <w:sz w:val="32"/>
          <w:szCs w:val="32"/>
        </w:rPr>
        <w:t>后开展晨练活动8期3000余人次，</w:t>
      </w:r>
      <w:r>
        <w:rPr>
          <w:rFonts w:eastAsia="仿宋_GB2312"/>
          <w:color w:val="000000"/>
          <w:sz w:val="32"/>
          <w:szCs w:val="32"/>
        </w:rPr>
        <w:t>不断提高民辅警实战能力；针对舆情处置、足迹采集、执法执勤等先后开展练兵9期2900余人次，同时参加市局2021年机要保密知识大比武取得团体三等奖的优异成绩，组织民警参加“全市经侦部门实战比武竞赛”取得了第二名的好成绩。</w:t>
      </w:r>
      <w:r>
        <w:rPr>
          <w:rFonts w:eastAsia="仿宋_GB2312"/>
          <w:b/>
          <w:bCs/>
          <w:color w:val="000000"/>
          <w:sz w:val="32"/>
          <w:szCs w:val="32"/>
        </w:rPr>
        <w:t>三是聚焦实战练兵。</w:t>
      </w:r>
      <w:r>
        <w:rPr>
          <w:rFonts w:eastAsia="仿宋_GB2312"/>
          <w:color w:val="000000"/>
          <w:sz w:val="32"/>
          <w:szCs w:val="32"/>
        </w:rPr>
        <w:t>立足红蓝对抗，进一步建强红军队伍，全年共开展红蓝对抗测试2次，在五个分县局中分别排第一、二名；立足安保维稳、应急处突、人员抓捕等急难险重任务，抽调精兵强将组成80人的应急队伍，确保战时拉得出、顶得上、打得赢；立足火灾抢险、防汛救援、交通保畅等实战类目，开展综合演练4次，实战培训6期1500余人次。</w:t>
      </w:r>
    </w:p>
    <w:p w14:paraId="7B383768">
      <w:pPr>
        <w:spacing w:line="560" w:lineRule="exact"/>
        <w:ind w:firstLine="643" w:firstLineChars="200"/>
        <w:rPr>
          <w:rFonts w:eastAsia="仿宋_GB2312"/>
          <w:color w:val="000000"/>
          <w:sz w:val="32"/>
          <w:szCs w:val="32"/>
        </w:rPr>
      </w:pPr>
      <w:r>
        <w:rPr>
          <w:rFonts w:eastAsia="楷体_GB2312"/>
          <w:b/>
          <w:bCs/>
          <w:color w:val="000000"/>
          <w:sz w:val="32"/>
          <w:szCs w:val="32"/>
        </w:rPr>
        <w:t>（四）“三个着力”狠抓为民服务，协力共建，警民关系进一步融洽。</w:t>
      </w:r>
      <w:r>
        <w:rPr>
          <w:rFonts w:eastAsia="仿宋_GB2312"/>
          <w:b/>
          <w:bCs/>
          <w:color w:val="000000"/>
          <w:sz w:val="32"/>
          <w:szCs w:val="32"/>
        </w:rPr>
        <w:t>一是着力抓实便民利民举措。</w:t>
      </w:r>
      <w:r>
        <w:rPr>
          <w:rFonts w:eastAsia="仿宋_GB2312"/>
          <w:color w:val="000000"/>
          <w:sz w:val="32"/>
          <w:szCs w:val="32"/>
        </w:rPr>
        <w:t>以“我为群众办实事”实践活动为契机，引导基层民警进企业、进社区、进村组、进学校、进单位，积极开展社会帮扶、反电诈宣传、“护学岗”等便民利民工作，健全系列便民服务设施，打通服务群众的“最后一公里”，共计改造窗口单位8个，提供便民服务设施30余套，开展为群众办实事3530余次，各类户政上门服务438余次。</w:t>
      </w:r>
      <w:r>
        <w:rPr>
          <w:rFonts w:eastAsia="仿宋_GB2312"/>
          <w:b/>
          <w:bCs/>
          <w:color w:val="000000"/>
          <w:sz w:val="32"/>
          <w:szCs w:val="32"/>
        </w:rPr>
        <w:t>二是着力抓实反诈共治。</w:t>
      </w:r>
      <w:r>
        <w:rPr>
          <w:rFonts w:eastAsia="仿宋_GB2312"/>
          <w:color w:val="000000"/>
          <w:sz w:val="32"/>
          <w:szCs w:val="32"/>
        </w:rPr>
        <w:t>立足当前电信网络诈骗案件高发态势，多措并举开展“反诈”宣传及“无诈”社区创建，开展集中反诈宣讲活动146次，发放宣传资料5万余份，引导居民关注反诈公众号1.6万人次，推出双微“反诈日历”150期，通过微信推送反诈宣传小贴士4000余条，抖音发送原创反诈小视频3条；捣毁电诈窝点1个，抓获犯罪嫌疑人8人，精准预警劝阻2171条，成功劝阻挽回损失29万余元，辖区电诈案件呈现“两降一升”的良好态势，群众安全感满意度显著提升。</w:t>
      </w:r>
      <w:r>
        <w:rPr>
          <w:rFonts w:eastAsia="仿宋_GB2312"/>
          <w:b/>
          <w:bCs/>
          <w:color w:val="000000"/>
          <w:sz w:val="32"/>
          <w:szCs w:val="32"/>
        </w:rPr>
        <w:t>三是着力抓实疫情防控。</w:t>
      </w:r>
      <w:r>
        <w:rPr>
          <w:rFonts w:eastAsia="仿宋_GB2312"/>
          <w:color w:val="000000"/>
          <w:sz w:val="32"/>
          <w:szCs w:val="32"/>
        </w:rPr>
        <w:t>坚持把疫情防控作为当前一项重要政治任务常抓不懈，严格落实各项防控要求，全年精准落地核查</w:t>
      </w:r>
      <w:r>
        <w:rPr>
          <w:rFonts w:eastAsia="仿宋_GB2312"/>
          <w:color w:val="000000"/>
          <w:kern w:val="0"/>
          <w:sz w:val="32"/>
          <w:szCs w:val="32"/>
        </w:rPr>
        <w:t>涉疫密切接触者5人，筛查各类数据600余条；</w:t>
      </w:r>
      <w:r>
        <w:rPr>
          <w:rFonts w:eastAsia="仿宋_GB2312"/>
          <w:color w:val="000000"/>
          <w:sz w:val="32"/>
          <w:szCs w:val="32"/>
        </w:rPr>
        <w:t>先后5次派出警力联合区级相关部门至成都接境外返攀人员6人；出动警力600余人次，对市二医院、陶家渡攀煤俱乐部新冠疫苗集中接种点进行执勤值守；出动警力130余人次，开展隔离点值守，为维护辖区群众身体健康、生命安全贡献了西区公安力量。</w:t>
      </w:r>
    </w:p>
    <w:p w14:paraId="08976B7F">
      <w:pPr>
        <w:spacing w:line="560" w:lineRule="exact"/>
        <w:ind w:firstLine="643" w:firstLineChars="200"/>
        <w:rPr>
          <w:rStyle w:val="30"/>
          <w:rFonts w:eastAsia="仿宋_GB2312"/>
          <w:color w:val="000000"/>
          <w:kern w:val="0"/>
          <w:sz w:val="32"/>
          <w:szCs w:val="32"/>
        </w:rPr>
      </w:pPr>
      <w:r>
        <w:rPr>
          <w:rFonts w:eastAsia="楷体_GB2312"/>
          <w:b/>
          <w:bCs/>
          <w:color w:val="000000"/>
          <w:sz w:val="32"/>
          <w:szCs w:val="32"/>
        </w:rPr>
        <w:t>（五）“三个牵引”狠抓从严治警，刀刃向内，纪律作风进一步转变。</w:t>
      </w:r>
      <w:r>
        <w:rPr>
          <w:rFonts w:eastAsia="仿宋_GB2312"/>
          <w:b/>
          <w:bCs/>
          <w:color w:val="000000"/>
          <w:sz w:val="32"/>
          <w:szCs w:val="32"/>
        </w:rPr>
        <w:t>一是以压实管党治警责任为牵引。</w:t>
      </w:r>
      <w:r>
        <w:rPr>
          <w:rStyle w:val="30"/>
          <w:rFonts w:eastAsia="仿宋_GB2312"/>
          <w:color w:val="000000"/>
          <w:kern w:val="0"/>
          <w:sz w:val="32"/>
          <w:szCs w:val="32"/>
        </w:rPr>
        <w:t>始终坚持严的主基调，严格对照省厅、市局关于全面从严管党治警、党风廉政建设和反腐败斗争部署要求，持续抓实党委书记第一责任人责任、党委班子成员“一岗双责”和各科室队所具体负责人责任，形成上下贯通、各负其责、齐抓共管的工作格局，为推动各项工作开展奠定了坚实的组织基础。全年共召开全面从严管党治警、党风廉政建设和反腐败斗争专题会议3次，班子成员听取汇报40余次；开展督导检查50余次，现场纠正警容风纪8次，提出督察建议3条，编发《督察通报》12期和问题类通报11份。</w:t>
      </w:r>
      <w:r>
        <w:rPr>
          <w:rFonts w:eastAsia="仿宋_GB2312"/>
          <w:b/>
          <w:bCs/>
          <w:color w:val="000000"/>
          <w:sz w:val="32"/>
          <w:szCs w:val="32"/>
        </w:rPr>
        <w:t>二是以狠抓队伍教育整顿为牵引。</w:t>
      </w:r>
      <w:r>
        <w:rPr>
          <w:rStyle w:val="30"/>
          <w:rFonts w:eastAsia="仿宋_GB2312"/>
          <w:color w:val="000000"/>
          <w:kern w:val="0"/>
          <w:sz w:val="32"/>
          <w:szCs w:val="32"/>
        </w:rPr>
        <w:t>紧扣队伍教育整顿“四项教育”，聚焦“三个环节”目标任务，研究制定《西区分局公安队伍教育整顿实施方案》，出台学习教育环节子方案18个、查纠整改环节子方案10个，深入推进队伍教育整顿各项要求落地落实见效。共召开党委会5次，动员部署会、推进会等各类会议24次；全覆盖、分层级开展谈心谈话2轮，高标准严要求完成全警个人问题自查事项填报3轮5次，自查“六大顽瘴痼疾”问题127个，公安系统问题130个，其他作风类问题713个；召开“警民恳谈会”、“坝坝会”7次，收集各类意见建议67条，已整改45条；召开专题民主生活会（组织生活会）</w:t>
      </w:r>
      <w:r>
        <w:rPr>
          <w:rStyle w:val="30"/>
          <w:rFonts w:hint="eastAsia" w:eastAsia="仿宋_GB2312"/>
          <w:color w:val="000000"/>
          <w:kern w:val="0"/>
          <w:sz w:val="32"/>
          <w:szCs w:val="32"/>
        </w:rPr>
        <w:t>，</w:t>
      </w:r>
      <w:r>
        <w:rPr>
          <w:rStyle w:val="30"/>
          <w:rFonts w:eastAsia="仿宋_GB2312"/>
          <w:color w:val="000000"/>
          <w:kern w:val="0"/>
          <w:sz w:val="32"/>
          <w:szCs w:val="32"/>
        </w:rPr>
        <w:t>实起到“红红脸、出出汗”的作用。</w:t>
      </w:r>
      <w:r>
        <w:rPr>
          <w:rFonts w:eastAsia="仿宋_GB2312"/>
          <w:b/>
          <w:bCs/>
          <w:color w:val="000000"/>
          <w:sz w:val="32"/>
          <w:szCs w:val="32"/>
        </w:rPr>
        <w:t>三是以用力整饬纪律作风为牵引。</w:t>
      </w:r>
      <w:r>
        <w:rPr>
          <w:rStyle w:val="30"/>
          <w:rFonts w:eastAsia="仿宋_GB2312"/>
          <w:color w:val="000000"/>
          <w:kern w:val="0"/>
          <w:sz w:val="32"/>
          <w:szCs w:val="32"/>
        </w:rPr>
        <w:t>深入贯彻落实中央八项规定和省、市十项规定，逗硬执行省厅《从严管理队伍六项规定》以及厅规记分办法等，持续整治“四风”问题，全方位、多角度、深层次整治六大顽瘴痼疾以及“枪车酒赌毒密网”的易发多发问题，扎实开展以案明纪、以案为鉴、以案促改活动，组织全警参加廉政警示教育大会、观看违纪违法政法干部忏悔录、警示片、法院审判庭审实录、开展防止干预司法“三个规定”专题讲座等20余场次，全警知敬畏、存戒惧、守底线的思想根基更加牢固。</w:t>
      </w:r>
    </w:p>
    <w:p w14:paraId="38B74EAF">
      <w:pPr>
        <w:spacing w:line="560" w:lineRule="exact"/>
        <w:ind w:firstLine="643" w:firstLineChars="200"/>
        <w:rPr>
          <w:rFonts w:eastAsia="仿宋_GB2312"/>
          <w:color w:val="000000"/>
          <w:sz w:val="32"/>
          <w:szCs w:val="32"/>
        </w:rPr>
      </w:pPr>
      <w:r>
        <w:rPr>
          <w:rFonts w:hint="eastAsia" w:eastAsia="楷体_GB2312"/>
          <w:b/>
          <w:bCs/>
          <w:sz w:val="32"/>
          <w:szCs w:val="32"/>
        </w:rPr>
        <w:t>（</w:t>
      </w:r>
      <w:r>
        <w:rPr>
          <w:rFonts w:eastAsia="楷体_GB2312"/>
          <w:b/>
          <w:bCs/>
          <w:color w:val="000000"/>
          <w:sz w:val="32"/>
          <w:szCs w:val="32"/>
        </w:rPr>
        <w:t>六）“三个落实”狠抓从优待警，凝心聚力，队伍活力进一步激发。</w:t>
      </w:r>
      <w:r>
        <w:rPr>
          <w:rFonts w:eastAsia="仿宋_GB2312"/>
          <w:b/>
          <w:bCs/>
          <w:color w:val="000000"/>
          <w:sz w:val="32"/>
          <w:szCs w:val="32"/>
        </w:rPr>
        <w:t>一是严格落实爱警暖警举措。</w:t>
      </w:r>
      <w:r>
        <w:rPr>
          <w:rStyle w:val="30"/>
          <w:rFonts w:eastAsia="仿宋_GB2312"/>
          <w:color w:val="000000"/>
          <w:kern w:val="0"/>
          <w:sz w:val="32"/>
          <w:szCs w:val="32"/>
        </w:rPr>
        <w:t>严格落实公安部、省公安厅、市局爱警暖警举措，扎实推进“三就”工作和“团圆工程”，让两地分居的1名民警得以夫妻“团圆”；持续抓实心理健康服务工作，大力开展谈心谈话，做实危机干预，全覆盖完成心理健康测评以及评估报告；深入落实民警依法履职免责和容错纠错办法，坚决维护民警执法权益，全年共</w:t>
      </w:r>
      <w:r>
        <w:rPr>
          <w:rFonts w:eastAsia="仿宋_GB2312"/>
          <w:color w:val="000000"/>
          <w:sz w:val="32"/>
          <w:szCs w:val="32"/>
        </w:rPr>
        <w:t>查处侵害民警执法权威案件17起18人。</w:t>
      </w:r>
      <w:r>
        <w:rPr>
          <w:rFonts w:eastAsia="仿宋_GB2312"/>
          <w:b/>
          <w:bCs/>
          <w:color w:val="000000"/>
          <w:sz w:val="32"/>
          <w:szCs w:val="32"/>
        </w:rPr>
        <w:t>二是严格落实表彰奖励。</w:t>
      </w:r>
      <w:r>
        <w:rPr>
          <w:rFonts w:eastAsia="仿宋_GB2312"/>
          <w:color w:val="000000"/>
          <w:sz w:val="32"/>
          <w:szCs w:val="32"/>
        </w:rPr>
        <w:t>大力开展表彰奖励活动，全年共有8个集体、24名个人荣获表彰奖励，其中省级表彰4次，市级表彰6次，个人二等功1名，个人三等功8名，鼓舞了士气、凝聚了警心、激励了斗志。</w:t>
      </w:r>
      <w:r>
        <w:rPr>
          <w:rFonts w:eastAsia="仿宋_GB2312"/>
          <w:b/>
          <w:bCs/>
          <w:color w:val="000000"/>
          <w:sz w:val="32"/>
          <w:szCs w:val="32"/>
        </w:rPr>
        <w:t>三是严格落实离退休民警服务管理。</w:t>
      </w:r>
      <w:r>
        <w:rPr>
          <w:rFonts w:eastAsia="仿宋_GB2312"/>
          <w:color w:val="000000"/>
          <w:sz w:val="32"/>
          <w:szCs w:val="32"/>
        </w:rPr>
        <w:t>认真做好离退休人员工作，严格落实老干部“两项待遇”，组织开展“情暖金秋 爱在重阳”退休干部重阳节茶话会、“致敬功勋奉献 赓续红色血脉”座谈会、“参观红色教育基地，重温党史感悟初心”主题活动等，不断提升服务水平和质量，切实让离退休人员感受到组织关心关爱关怀。</w:t>
      </w:r>
    </w:p>
    <w:p w14:paraId="78ACDAF0">
      <w:pPr>
        <w:rPr>
          <w:rFonts w:eastAsia="仿宋_GB2312"/>
          <w:color w:val="000000"/>
          <w:sz w:val="32"/>
          <w:szCs w:val="32"/>
        </w:rPr>
      </w:pPr>
      <w:r>
        <w:rPr>
          <w:rFonts w:eastAsia="楷体_GB2312"/>
          <w:b/>
          <w:bCs/>
          <w:color w:val="000000"/>
          <w:sz w:val="32"/>
          <w:szCs w:val="32"/>
        </w:rPr>
        <w:t>（七）“三个发力”狠抓宣传塑形，氛围营造，队伍形象进一步彰显。</w:t>
      </w:r>
      <w:r>
        <w:rPr>
          <w:rFonts w:eastAsia="仿宋_GB2312"/>
          <w:b/>
          <w:bCs/>
          <w:color w:val="000000"/>
          <w:sz w:val="32"/>
          <w:szCs w:val="32"/>
        </w:rPr>
        <w:t>一是在宣传中心工作上发力。</w:t>
      </w:r>
      <w:r>
        <w:rPr>
          <w:rFonts w:eastAsia="仿宋_GB2312"/>
          <w:color w:val="000000"/>
          <w:sz w:val="32"/>
          <w:szCs w:val="32"/>
        </w:rPr>
        <w:t>围绕全市公安宣传工作要点，紧密结合建党100周年、队伍教育整顿、护旗专项行动、森林草原防灭火、扫黑除恶、党史学习教育等，大力开展宣传，全年共计发布微博2319条、微信295条、抖音65条；刊载中央级稿件59篇、省级稿件218篇、市级稿件426篇；通过一系列新媒体运维微创新，官方微博涨粉8300余人、微信涨粉7200余人、抖音涨粉13000余人。</w:t>
      </w:r>
      <w:r>
        <w:rPr>
          <w:rFonts w:eastAsia="仿宋_GB2312"/>
          <w:b/>
          <w:bCs/>
          <w:color w:val="000000"/>
          <w:sz w:val="32"/>
          <w:szCs w:val="32"/>
        </w:rPr>
        <w:t>二是在队伍形象塑造上发力。</w:t>
      </w:r>
      <w:r>
        <w:rPr>
          <w:rFonts w:eastAsia="仿宋_GB2312"/>
          <w:color w:val="000000"/>
          <w:sz w:val="32"/>
          <w:szCs w:val="32"/>
        </w:rPr>
        <w:t>围绕警察节，我为群众办实事、疫情防控、安保维稳、队伍教育整顿等，深入开展主题活动宣传策划，大力开展先进典型塑造，推树了“三线精神 红色传承”典型、“四川政法先锋”先进集体河门口派出所，推出了“疫情防控二等功”获得者马连辉以及冯浩等一批“老黄牛”“孺子牛”先进人物，有力展现了西区公安队伍形象。</w:t>
      </w:r>
      <w:r>
        <w:rPr>
          <w:rFonts w:eastAsia="仿宋_GB2312"/>
          <w:b/>
          <w:bCs/>
          <w:color w:val="000000"/>
          <w:sz w:val="32"/>
          <w:szCs w:val="32"/>
        </w:rPr>
        <w:t>三是在舆情应对上发力。</w:t>
      </w:r>
      <w:r>
        <w:rPr>
          <w:rFonts w:eastAsia="仿宋_GB2312"/>
          <w:color w:val="000000"/>
          <w:sz w:val="32"/>
          <w:szCs w:val="32"/>
        </w:rPr>
        <w:t>严格落实“三同步”原则和“5+X”工作模式，建章立制、明确责任、各司其职，不断提升舆论引导和处置能力，毫不动摇捍卫舆论主旋律。全年上报情报线索1200余条，舆情线索300余条，重点人员管控100%；办理涉网刑事案件8件，行政案件8件，起诉47人，公诉47人；有效处置了上访重点人员、涉稳群体、建校学生坠江、校园“高坠”和火灾致人死亡事件、“麓山宾馆”命案、冒充领导诈骗等警情的网上舆论引导，未发生涉警舆情事件。</w:t>
      </w:r>
    </w:p>
    <w:p w14:paraId="20E5D27D">
      <w:pPr>
        <w:pStyle w:val="23"/>
        <w:spacing w:line="600" w:lineRule="exact"/>
        <w:ind w:left="640" w:firstLine="0" w:firstLineChars="0"/>
        <w:outlineLvl w:val="1"/>
        <w:rPr>
          <w:rFonts w:ascii="黑体" w:hAnsi="黑体" w:eastAsia="黑体"/>
          <w:sz w:val="32"/>
          <w:szCs w:val="32"/>
        </w:rPr>
      </w:pPr>
      <w:r>
        <w:rPr>
          <w:rFonts w:hint="eastAsia" w:ascii="黑体" w:hAnsi="黑体" w:eastAsia="黑体"/>
          <w:sz w:val="32"/>
          <w:szCs w:val="32"/>
        </w:rPr>
        <w:t>三、机构设置情况</w:t>
      </w:r>
    </w:p>
    <w:p w14:paraId="18C868B5">
      <w:pPr>
        <w:pStyle w:val="2"/>
        <w:adjustRightInd w:val="0"/>
        <w:spacing w:before="93" w:line="600" w:lineRule="exact"/>
        <w:ind w:firstLine="672" w:firstLineChars="210"/>
        <w:rPr>
          <w:sz w:val="32"/>
        </w:rPr>
      </w:pPr>
      <w:bookmarkStart w:id="16" w:name="_Toc15396602"/>
      <w:bookmarkStart w:id="17" w:name="_Toc15377204"/>
      <w:r>
        <w:rPr>
          <w:rFonts w:hint="eastAsia"/>
          <w:sz w:val="32"/>
        </w:rPr>
        <w:t>攀枝花市公安局西区分局属于攀枝花市公安局部门下属的二级预算单位，下设独立编制机构1个，其中行政机构1个，参照公务员法管理的事业机构0个，其他事业机构0个。纳入2021年度单位决算编制范围的独立编制机构：无。</w:t>
      </w:r>
    </w:p>
    <w:p w14:paraId="3B6F9EF4">
      <w:pPr>
        <w:pStyle w:val="3"/>
        <w:jc w:val="center"/>
        <w:rPr>
          <w:rFonts w:ascii="黑体" w:hAnsi="黑体" w:eastAsia="黑体"/>
          <w:b w:val="0"/>
        </w:rPr>
      </w:pPr>
      <w:r>
        <w:rPr>
          <w:rFonts w:hint="eastAsia" w:ascii="黑体" w:hAnsi="黑体" w:eastAsia="黑体"/>
          <w:b w:val="0"/>
        </w:rPr>
        <w:t>第二部分 2021年度单位决算情况说明</w:t>
      </w:r>
      <w:bookmarkEnd w:id="16"/>
      <w:bookmarkEnd w:id="17"/>
    </w:p>
    <w:p w14:paraId="2029EAF7">
      <w:pPr>
        <w:pStyle w:val="23"/>
        <w:spacing w:line="600" w:lineRule="exact"/>
        <w:ind w:left="640" w:firstLine="0"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一、收</w:t>
      </w:r>
      <w:r>
        <w:rPr>
          <w:rStyle w:val="25"/>
          <w:rFonts w:hint="eastAsia" w:ascii="黑体" w:hAnsi="黑体" w:eastAsia="黑体"/>
          <w:b w:val="0"/>
        </w:rPr>
        <w:t>入支出决算总体情况说明</w:t>
      </w:r>
      <w:bookmarkEnd w:id="18"/>
      <w:bookmarkEnd w:id="19"/>
    </w:p>
    <w:p w14:paraId="16D5A8CF">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2021年度收、支总计7729.47万元。与2020年相比，收、支总计各增加15.89万元，增长0.21</w:t>
      </w:r>
      <w:r>
        <w:rPr>
          <w:rFonts w:ascii="仿宋" w:hAnsi="仿宋" w:eastAsia="仿宋"/>
          <w:sz w:val="32"/>
          <w:szCs w:val="32"/>
        </w:rPr>
        <w:t>%</w:t>
      </w:r>
      <w:r>
        <w:rPr>
          <w:rFonts w:hint="eastAsia" w:ascii="仿宋" w:hAnsi="仿宋" w:eastAsia="仿宋"/>
          <w:sz w:val="32"/>
          <w:szCs w:val="32"/>
        </w:rPr>
        <w:t>。主要变动原因是住房保障支出增加13.62万元，机关事业单位基本养老保险缴费支出增加9.54万元。</w:t>
      </w:r>
    </w:p>
    <w:p w14:paraId="207F5F11">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162FF77">
      <w:pPr>
        <w:pStyle w:val="2"/>
        <w:spacing w:before="93"/>
        <w:rPr>
          <w:rFonts w:ascii="黑体" w:hAnsi="黑体" w:eastAsia="黑体"/>
          <w:color w:val="FF0000"/>
          <w:sz w:val="32"/>
          <w:szCs w:val="32"/>
        </w:rPr>
      </w:pPr>
    </w:p>
    <w:p w14:paraId="3B77EB76">
      <w:pPr>
        <w:pStyle w:val="2"/>
        <w:spacing w:before="93"/>
      </w:pPr>
      <w:r>
        <w:rPr>
          <w:rFonts w:ascii="黑体" w:hAnsi="黑体" w:eastAsia="黑体"/>
          <w:color w:val="FF0000"/>
          <w:sz w:val="32"/>
          <w:szCs w:val="32"/>
        </w:rPr>
        <w:drawing>
          <wp:inline distT="0" distB="0" distL="0" distR="0">
            <wp:extent cx="5538470" cy="362013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37159C">
      <w:pPr>
        <w:pStyle w:val="23"/>
        <w:spacing w:line="600" w:lineRule="exact"/>
        <w:ind w:left="640" w:firstLine="0"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二、收</w:t>
      </w:r>
      <w:r>
        <w:rPr>
          <w:rStyle w:val="25"/>
          <w:rFonts w:hint="eastAsia" w:ascii="黑体" w:hAnsi="黑体" w:eastAsia="黑体"/>
          <w:b w:val="0"/>
        </w:rPr>
        <w:t>入决算情况说明</w:t>
      </w:r>
      <w:bookmarkEnd w:id="20"/>
      <w:bookmarkEnd w:id="21"/>
    </w:p>
    <w:p w14:paraId="3D85DE0A">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21年本年收入合计7519.38万元，其中：一般公共预算财政拨款收入7519.38万元，占100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42D9EE5A">
      <w:pPr>
        <w:spacing w:line="600" w:lineRule="exact"/>
        <w:outlineLvl w:val="1"/>
        <w:rPr>
          <w:rFonts w:ascii="仿宋" w:hAnsi="仿宋" w:eastAsia="仿宋"/>
          <w:sz w:val="32"/>
          <w:szCs w:val="32"/>
        </w:rPr>
      </w:pPr>
    </w:p>
    <w:p w14:paraId="5222D1BA">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48A7875E">
      <w:pPr>
        <w:pStyle w:val="2"/>
        <w:spacing w:before="93"/>
      </w:pPr>
      <w:r>
        <w:rPr>
          <w:rFonts w:hint="eastAsia"/>
        </w:rPr>
        <w:drawing>
          <wp:inline distT="0" distB="0" distL="0" distR="0">
            <wp:extent cx="4445635" cy="1902460"/>
            <wp:effectExtent l="19050" t="0" r="11841" b="2059"/>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BD1259">
      <w:pPr>
        <w:pStyle w:val="2"/>
        <w:spacing w:before="93"/>
      </w:pPr>
    </w:p>
    <w:p w14:paraId="1AA10ACF">
      <w:pPr>
        <w:pStyle w:val="23"/>
        <w:numPr>
          <w:ilvl w:val="0"/>
          <w:numId w:val="1"/>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14:paraId="6264F86B">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21年本年支出合计7729.47万元，其中：基本支出7723.21万元，占99.92</w:t>
      </w:r>
      <w:r>
        <w:rPr>
          <w:rFonts w:ascii="仿宋" w:hAnsi="仿宋" w:eastAsia="仿宋"/>
          <w:sz w:val="32"/>
          <w:szCs w:val="32"/>
        </w:rPr>
        <w:t>%</w:t>
      </w:r>
      <w:r>
        <w:rPr>
          <w:rFonts w:hint="eastAsia" w:ascii="仿宋" w:hAnsi="仿宋" w:eastAsia="仿宋"/>
          <w:sz w:val="32"/>
          <w:szCs w:val="32"/>
        </w:rPr>
        <w:t>；项目支出6.26万元，占0.08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3B783094">
      <w:pPr>
        <w:spacing w:line="600" w:lineRule="exact"/>
        <w:rPr>
          <w:rFonts w:ascii="仿宋" w:hAnsi="仿宋" w:eastAsia="仿宋"/>
          <w:sz w:val="32"/>
          <w:szCs w:val="32"/>
          <w:shd w:val="pct10" w:color="auto" w:fill="FFFFFF"/>
        </w:rPr>
      </w:pPr>
    </w:p>
    <w:p w14:paraId="626217BE">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0D96730C">
      <w:pPr>
        <w:pStyle w:val="2"/>
        <w:spacing w:before="93"/>
      </w:pPr>
      <w:r>
        <w:rPr>
          <w:rFonts w:hint="eastAsia"/>
          <w:sz w:val="32"/>
          <w:szCs w:val="32"/>
        </w:rPr>
        <w:drawing>
          <wp:inline distT="0" distB="0" distL="0" distR="0">
            <wp:extent cx="3935095" cy="1762760"/>
            <wp:effectExtent l="4445" t="4445" r="22860"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EBD369">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14:paraId="3258E07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21年财政拨款收、支总计7729.47万元。与</w:t>
      </w:r>
      <w:r>
        <w:rPr>
          <w:rFonts w:ascii="仿宋" w:hAnsi="仿宋" w:eastAsia="仿宋"/>
          <w:sz w:val="32"/>
          <w:szCs w:val="32"/>
        </w:rPr>
        <w:t>20</w:t>
      </w:r>
      <w:r>
        <w:rPr>
          <w:rFonts w:hint="eastAsia" w:ascii="仿宋" w:hAnsi="仿宋" w:eastAsia="仿宋"/>
          <w:sz w:val="32"/>
          <w:szCs w:val="32"/>
        </w:rPr>
        <w:t>20年相比，财政拨款收、支总计各增加增加15.89万元，增长0.21</w:t>
      </w:r>
      <w:r>
        <w:rPr>
          <w:rFonts w:ascii="仿宋" w:hAnsi="仿宋" w:eastAsia="仿宋"/>
          <w:sz w:val="32"/>
          <w:szCs w:val="32"/>
        </w:rPr>
        <w:t>%</w:t>
      </w:r>
      <w:r>
        <w:rPr>
          <w:rFonts w:hint="eastAsia" w:ascii="仿宋" w:hAnsi="仿宋" w:eastAsia="仿宋"/>
          <w:sz w:val="32"/>
          <w:szCs w:val="32"/>
        </w:rPr>
        <w:t>。主要变动原因是住房保障支出增加13.62万元，机关事业单位基本养老保险缴费支出增加9.54万元。</w:t>
      </w:r>
    </w:p>
    <w:p w14:paraId="0657EC9F">
      <w:pPr>
        <w:spacing w:line="600" w:lineRule="exact"/>
        <w:rPr>
          <w:rFonts w:ascii="仿宋" w:hAnsi="仿宋" w:eastAsia="仿宋"/>
          <w:sz w:val="32"/>
          <w:szCs w:val="32"/>
        </w:rPr>
      </w:pPr>
    </w:p>
    <w:p w14:paraId="186E824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3CADB64F">
      <w:pPr>
        <w:spacing w:line="600" w:lineRule="exact"/>
        <w:outlineLvl w:val="1"/>
        <w:rPr>
          <w:rFonts w:ascii="黑体" w:hAnsi="黑体" w:eastAsia="黑体"/>
          <w:sz w:val="32"/>
          <w:szCs w:val="32"/>
        </w:rPr>
      </w:pPr>
      <w:bookmarkStart w:id="26" w:name="_Toc15377209"/>
      <w:bookmarkStart w:id="27" w:name="_Toc15396607"/>
    </w:p>
    <w:p w14:paraId="7BE19177">
      <w:pPr>
        <w:pStyle w:val="2"/>
        <w:spacing w:before="93"/>
      </w:pPr>
    </w:p>
    <w:p w14:paraId="22ABD80E">
      <w:pPr>
        <w:pStyle w:val="2"/>
        <w:spacing w:before="93"/>
      </w:pPr>
      <w:r>
        <w:rPr>
          <w:rFonts w:hint="eastAsia"/>
        </w:rPr>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53F591">
      <w:pPr>
        <w:pStyle w:val="2"/>
        <w:spacing w:before="93"/>
      </w:pPr>
    </w:p>
    <w:p w14:paraId="41CD9858">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14:paraId="4B31549C">
      <w:pPr>
        <w:spacing w:line="600" w:lineRule="exact"/>
        <w:ind w:firstLine="640" w:firstLineChars="200"/>
        <w:outlineLvl w:val="2"/>
        <w:rPr>
          <w:rFonts w:ascii="仿宋" w:hAnsi="仿宋" w:eastAsia="仿宋"/>
          <w:b/>
          <w:sz w:val="32"/>
          <w:szCs w:val="32"/>
        </w:rPr>
      </w:pPr>
      <w:bookmarkStart w:id="28" w:name="_Toc15377210"/>
      <w:r>
        <w:rPr>
          <w:rFonts w:ascii="仿宋" w:hAnsi="仿宋" w:eastAsia="仿宋"/>
          <w:color w:val="000000"/>
          <w:sz w:val="32"/>
          <w:szCs w:val="32"/>
        </w:rPr>
        <mc:AlternateContent>
          <mc:Choice Requires="wpc">
            <w:drawing>
              <wp:anchor distT="0" distB="0" distL="114300" distR="114300" simplePos="0" relativeHeight="251659264" behindDoc="0" locked="0" layoutInCell="1" allowOverlap="1">
                <wp:simplePos x="0" y="0"/>
                <wp:positionH relativeFrom="column">
                  <wp:posOffset>4458970</wp:posOffset>
                </wp:positionH>
                <wp:positionV relativeFrom="paragraph">
                  <wp:posOffset>111125</wp:posOffset>
                </wp:positionV>
                <wp:extent cx="45720" cy="45720"/>
                <wp:effectExtent l="0" t="0" r="0" b="0"/>
                <wp:wrapNone/>
                <wp:docPr id="3"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画布 4" o:spid="_x0000_s1026" o:spt="203" style="position:absolute;left:0pt;margin-left:351.1pt;margin-top:8.75pt;height:3.6pt;width:3.6pt;z-index:251659264;mso-width-relative:page;mso-height-relative:page;" coordsize="45720,45720" editas="canvas" o:gfxdata="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ac4TENkA&#10;AAAJAQAADwAAAAAAAAABACAAAAAiAAAAZHJzL2Rvd25yZXYueG1sUEsBAhQAFAAAAAgAh07iQE5Q&#10;Bp1zAQAABwMAAA4AAAAAAAAAAQAgAAAAKAEAAGRycy9lMm9Eb2MueG1sUEsFBgAAAAAGAAYAWQEA&#10;AA0FAAAAAA==&#10;">
                <o:lock v:ext="edit" aspectratio="f"/>
                <v:rect id="画布 4" o:spid="_x0000_s1026" o:spt="1" style="position:absolute;left:0;top:0;height:45720;width:45720;" filled="f" stroked="f" coordsize="21600,21600" o:gfxdata="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">
                  <v:fill on="f" focussize="0,0"/>
                  <v:stroke on="f"/>
                  <v:imagedata o:title=""/>
                  <o:lock v:ext="edit" text="t" aspectratio="t"/>
                </v:rect>
              </v:group>
            </w:pict>
          </mc:Fallback>
        </mc:AlternateContent>
      </w:r>
      <w:r>
        <w:rPr>
          <w:rFonts w:hint="eastAsia" w:ascii="仿宋" w:hAnsi="仿宋" w:eastAsia="仿宋"/>
          <w:b/>
          <w:sz w:val="32"/>
          <w:szCs w:val="32"/>
        </w:rPr>
        <w:t>（一）一般公共预算财政拨款支出决算总体情况</w:t>
      </w:r>
      <w:bookmarkEnd w:id="28"/>
    </w:p>
    <w:p w14:paraId="5885F67B">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21年一般公共预算财政拨款支出7729.47万元，占本年支出合计的100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20年相比，一般公共预算财政拨款支出增加34.24万元，增长0.44</w:t>
      </w:r>
      <w:r>
        <w:rPr>
          <w:rFonts w:ascii="仿宋" w:hAnsi="仿宋" w:eastAsia="仿宋"/>
          <w:sz w:val="32"/>
          <w:szCs w:val="32"/>
        </w:rPr>
        <w:t>%</w:t>
      </w:r>
      <w:r>
        <w:rPr>
          <w:rFonts w:hint="eastAsia" w:ascii="仿宋" w:hAnsi="仿宋" w:eastAsia="仿宋"/>
          <w:sz w:val="32"/>
          <w:szCs w:val="32"/>
        </w:rPr>
        <w:t>。主要变动原因是2020年有一笔政府性基金预算财政拨款。</w:t>
      </w:r>
    </w:p>
    <w:p w14:paraId="47A3C5AF">
      <w:pPr>
        <w:pStyle w:val="2"/>
        <w:spacing w:before="93"/>
      </w:pPr>
    </w:p>
    <w:p w14:paraId="0D57DF46">
      <w:pPr>
        <w:pStyle w:val="2"/>
        <w:spacing w:before="93"/>
      </w:pPr>
      <w:r>
        <w:rPr>
          <w:rFonts w:hint="eastAsia"/>
        </w:rPr>
        <w:drawing>
          <wp:inline distT="0" distB="0" distL="0" distR="0">
            <wp:extent cx="5274310" cy="3076575"/>
            <wp:effectExtent l="19050" t="0" r="2159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B87E10">
      <w:pPr>
        <w:spacing w:line="600" w:lineRule="exact"/>
        <w:ind w:firstLine="640" w:firstLineChars="200"/>
        <w:rPr>
          <w:rFonts w:ascii="仿宋" w:hAnsi="仿宋" w:eastAsia="仿宋"/>
          <w:sz w:val="32"/>
          <w:szCs w:val="32"/>
        </w:rPr>
      </w:pPr>
    </w:p>
    <w:p w14:paraId="5AC1C474">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690E36A">
      <w:pPr>
        <w:spacing w:line="600" w:lineRule="exact"/>
        <w:ind w:firstLine="640" w:firstLineChars="200"/>
        <w:rPr>
          <w:rFonts w:ascii="仿宋" w:hAnsi="仿宋" w:eastAsia="仿宋"/>
          <w:sz w:val="32"/>
          <w:szCs w:val="32"/>
        </w:rPr>
      </w:pPr>
    </w:p>
    <w:p w14:paraId="38078176">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65D77F0">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21年一般公共预算财政拨款支出7729.47万元，主要用于以下方面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支出6.26万元，占0.08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支出613.05万元，占7.93</w:t>
      </w:r>
      <w:r>
        <w:rPr>
          <w:rFonts w:ascii="仿宋" w:hAnsi="仿宋" w:eastAsia="仿宋"/>
          <w:sz w:val="32"/>
          <w:szCs w:val="32"/>
        </w:rPr>
        <w:t>%</w:t>
      </w:r>
      <w:r>
        <w:rPr>
          <w:rFonts w:hint="eastAsia" w:ascii="仿宋" w:hAnsi="仿宋" w:eastAsia="仿宋"/>
          <w:sz w:val="32"/>
          <w:szCs w:val="32"/>
        </w:rPr>
        <w:t>；住房保障支出448.91万元，占5.81</w:t>
      </w:r>
      <w:r>
        <w:rPr>
          <w:rFonts w:ascii="仿宋" w:hAnsi="仿宋" w:eastAsia="仿宋"/>
          <w:sz w:val="32"/>
          <w:szCs w:val="32"/>
        </w:rPr>
        <w:t>%</w:t>
      </w:r>
      <w:r>
        <w:rPr>
          <w:rFonts w:hint="eastAsia" w:ascii="仿宋" w:hAnsi="仿宋" w:eastAsia="仿宋"/>
          <w:sz w:val="32"/>
          <w:szCs w:val="32"/>
        </w:rPr>
        <w:t>；公共安全支出6661.25万元，占86.18</w:t>
      </w:r>
      <w:r>
        <w:rPr>
          <w:rFonts w:ascii="仿宋" w:hAnsi="仿宋" w:eastAsia="仿宋"/>
          <w:sz w:val="32"/>
          <w:szCs w:val="32"/>
        </w:rPr>
        <w:t>%</w:t>
      </w:r>
      <w:r>
        <w:rPr>
          <w:rFonts w:hint="eastAsia" w:ascii="仿宋" w:hAnsi="仿宋" w:eastAsia="仿宋"/>
          <w:sz w:val="32"/>
          <w:szCs w:val="32"/>
        </w:rPr>
        <w:t>。</w:t>
      </w:r>
    </w:p>
    <w:p w14:paraId="202308EF">
      <w:pPr>
        <w:pStyle w:val="2"/>
        <w:spacing w:before="93"/>
      </w:pPr>
    </w:p>
    <w:p w14:paraId="238958C3">
      <w:pPr>
        <w:pStyle w:val="2"/>
        <w:spacing w:before="93"/>
      </w:pPr>
    </w:p>
    <w:p w14:paraId="3C1E4BB5">
      <w:pPr>
        <w:pStyle w:val="2"/>
        <w:spacing w:before="93"/>
      </w:pPr>
      <w:r>
        <w:drawing>
          <wp:inline distT="0" distB="0" distL="0" distR="0">
            <wp:extent cx="5274310" cy="3076575"/>
            <wp:effectExtent l="19050" t="0" r="2159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5E6020">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3C36C664">
      <w:pPr>
        <w:spacing w:line="600" w:lineRule="exact"/>
        <w:ind w:firstLine="640" w:firstLineChars="200"/>
        <w:rPr>
          <w:rFonts w:ascii="仿宋" w:hAnsi="仿宋" w:eastAsia="仿宋"/>
          <w:sz w:val="32"/>
          <w:szCs w:val="32"/>
        </w:rPr>
      </w:pPr>
    </w:p>
    <w:p w14:paraId="68E2E75A">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1224FD7">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2021年一般公共预算支出决算数为7729.47</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14:paraId="64B0FFD1">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一般公共服务（类）组织事务（款）其他组织事务支出（项）</w:t>
      </w:r>
      <w:r>
        <w:rPr>
          <w:rStyle w:val="14"/>
          <w:rFonts w:ascii="仿宋" w:hAnsi="仿宋" w:eastAsia="仿宋"/>
          <w:bCs/>
          <w:sz w:val="32"/>
          <w:szCs w:val="32"/>
        </w:rPr>
        <w:t>:</w:t>
      </w:r>
      <w:r>
        <w:rPr>
          <w:rStyle w:val="14"/>
          <w:rFonts w:hint="eastAsia" w:ascii="仿宋" w:hAnsi="仿宋" w:eastAsia="仿宋"/>
          <w:b w:val="0"/>
          <w:bCs/>
          <w:sz w:val="32"/>
          <w:szCs w:val="32"/>
        </w:rPr>
        <w:t>支出决算为6.26万元，完成预算100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，决算数等于预算数的主要原因是严格按照财政要求使用资金。</w:t>
      </w:r>
    </w:p>
    <w:p w14:paraId="2ECDF605">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社会保障和就业（类）行政事业单位养老支出（款）行政单位离退休（项）</w:t>
      </w:r>
      <w:r>
        <w:rPr>
          <w:rStyle w:val="14"/>
          <w:rFonts w:ascii="仿宋" w:hAnsi="仿宋" w:eastAsia="仿宋"/>
          <w:bCs/>
          <w:sz w:val="32"/>
          <w:szCs w:val="32"/>
        </w:rPr>
        <w:t>:</w:t>
      </w:r>
      <w:r>
        <w:rPr>
          <w:rStyle w:val="14"/>
          <w:rFonts w:hint="eastAsia" w:ascii="仿宋" w:hAnsi="仿宋" w:eastAsia="仿宋"/>
          <w:b w:val="0"/>
          <w:bCs/>
          <w:sz w:val="32"/>
          <w:szCs w:val="32"/>
        </w:rPr>
        <w:t>支出决算为178.34万元，完成预算100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，决算数等于预算数的主要原因是按照财政要求使用资金。</w:t>
      </w:r>
    </w:p>
    <w:p w14:paraId="3D0074A0">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支出决算为410.4万元，完成预算100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，决算数等于预算数的主要原因是合理申请资金。</w:t>
      </w:r>
    </w:p>
    <w:p w14:paraId="79A08529">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社会保障和就业（类）抚恤（款）死亡抚恤（项）</w:t>
      </w:r>
      <w:r>
        <w:rPr>
          <w:rStyle w:val="14"/>
          <w:rFonts w:ascii="仿宋" w:hAnsi="仿宋" w:eastAsia="仿宋"/>
          <w:bCs/>
          <w:sz w:val="32"/>
          <w:szCs w:val="32"/>
        </w:rPr>
        <w:t>:</w:t>
      </w:r>
      <w:r>
        <w:rPr>
          <w:rStyle w:val="14"/>
          <w:rFonts w:hint="eastAsia" w:ascii="仿宋" w:hAnsi="仿宋" w:eastAsia="仿宋"/>
          <w:b w:val="0"/>
          <w:bCs/>
          <w:sz w:val="32"/>
          <w:szCs w:val="32"/>
        </w:rPr>
        <w:t>支出决算为24.31万元，完成预算100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，决算数等于预算数的主要原因是按要求发放死亡抚恤金。</w:t>
      </w:r>
    </w:p>
    <w:p w14:paraId="15E42FF2">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Fonts w:hint="eastAsia"/>
        </w:rPr>
        <w:t xml:space="preserve"> </w:t>
      </w:r>
      <w:r>
        <w:rPr>
          <w:rStyle w:val="14"/>
          <w:rFonts w:hint="eastAsia" w:ascii="仿宋" w:hAnsi="仿宋" w:eastAsia="仿宋"/>
          <w:bCs/>
          <w:sz w:val="32"/>
          <w:szCs w:val="32"/>
        </w:rPr>
        <w:t>公共安全支出（类）公安（款）行政运行（项）</w:t>
      </w:r>
      <w:r>
        <w:rPr>
          <w:rStyle w:val="14"/>
          <w:rFonts w:ascii="仿宋" w:hAnsi="仿宋" w:eastAsia="仿宋"/>
          <w:bCs/>
          <w:sz w:val="32"/>
          <w:szCs w:val="32"/>
        </w:rPr>
        <w:t>:</w:t>
      </w:r>
      <w:r>
        <w:rPr>
          <w:rStyle w:val="14"/>
          <w:rFonts w:hint="eastAsia" w:ascii="仿宋" w:hAnsi="仿宋" w:eastAsia="仿宋"/>
          <w:b w:val="0"/>
          <w:bCs/>
          <w:sz w:val="32"/>
          <w:szCs w:val="32"/>
        </w:rPr>
        <w:t>支出决算为6085.15万元，完成预算100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，决算数等于预算数的主要原因是合理申请资金并严格按规定使用。</w:t>
      </w:r>
    </w:p>
    <w:p w14:paraId="06497297">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6</w:t>
      </w:r>
      <w:r>
        <w:rPr>
          <w:rStyle w:val="14"/>
          <w:rFonts w:ascii="仿宋" w:hAnsi="仿宋" w:eastAsia="仿宋"/>
          <w:bCs/>
          <w:sz w:val="32"/>
          <w:szCs w:val="32"/>
        </w:rPr>
        <w:t>.</w:t>
      </w:r>
      <w:r>
        <w:rPr>
          <w:rFonts w:hint="eastAsia"/>
        </w:rPr>
        <w:t xml:space="preserve"> </w:t>
      </w:r>
      <w:r>
        <w:rPr>
          <w:rStyle w:val="14"/>
          <w:rFonts w:hint="eastAsia" w:ascii="仿宋" w:hAnsi="仿宋" w:eastAsia="仿宋"/>
          <w:bCs/>
          <w:sz w:val="32"/>
          <w:szCs w:val="32"/>
        </w:rPr>
        <w:t>公共安全支出（类）公安（款） 一般行政管理事务（项）</w:t>
      </w:r>
      <w:r>
        <w:rPr>
          <w:rStyle w:val="14"/>
          <w:rFonts w:ascii="仿宋" w:hAnsi="仿宋" w:eastAsia="仿宋"/>
          <w:bCs/>
          <w:sz w:val="32"/>
          <w:szCs w:val="32"/>
        </w:rPr>
        <w:t>:</w:t>
      </w:r>
      <w:r>
        <w:rPr>
          <w:rStyle w:val="14"/>
          <w:rFonts w:hint="eastAsia" w:ascii="仿宋" w:hAnsi="仿宋" w:eastAsia="仿宋"/>
          <w:b w:val="0"/>
          <w:bCs/>
          <w:sz w:val="32"/>
          <w:szCs w:val="32"/>
        </w:rPr>
        <w:t>支出决算为540.99万元，完成预算100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，决算数等于预算数的主要原因是合理申请资金。</w:t>
      </w:r>
    </w:p>
    <w:p w14:paraId="14390C39">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Fonts w:hint="eastAsia"/>
        </w:rPr>
        <w:t xml:space="preserve"> </w:t>
      </w:r>
      <w:r>
        <w:rPr>
          <w:rStyle w:val="14"/>
          <w:rFonts w:hint="eastAsia" w:ascii="仿宋" w:hAnsi="仿宋" w:eastAsia="仿宋"/>
          <w:bCs/>
          <w:sz w:val="32"/>
          <w:szCs w:val="32"/>
        </w:rPr>
        <w:t>公共安全支出（类）公安（款） 其他公安支出（项）</w:t>
      </w:r>
      <w:r>
        <w:rPr>
          <w:rStyle w:val="14"/>
          <w:rFonts w:ascii="仿宋" w:hAnsi="仿宋" w:eastAsia="仿宋"/>
          <w:bCs/>
          <w:sz w:val="32"/>
          <w:szCs w:val="32"/>
        </w:rPr>
        <w:t>:</w:t>
      </w:r>
      <w:r>
        <w:rPr>
          <w:rStyle w:val="14"/>
          <w:rFonts w:hint="eastAsia" w:ascii="仿宋" w:hAnsi="仿宋" w:eastAsia="仿宋"/>
          <w:b w:val="0"/>
          <w:bCs/>
          <w:sz w:val="32"/>
          <w:szCs w:val="32"/>
        </w:rPr>
        <w:t>支出决算为0.11万元，完成预算100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，决算数等于预算数的主要原因是合理申请资金。</w:t>
      </w:r>
    </w:p>
    <w:p w14:paraId="4BCD72D7">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8</w:t>
      </w:r>
      <w:r>
        <w:rPr>
          <w:rStyle w:val="14"/>
          <w:rFonts w:ascii="仿宋" w:hAnsi="仿宋" w:eastAsia="仿宋"/>
          <w:bCs/>
          <w:sz w:val="32"/>
          <w:szCs w:val="32"/>
        </w:rPr>
        <w:t>.</w:t>
      </w:r>
      <w:r>
        <w:rPr>
          <w:rFonts w:hint="eastAsia"/>
        </w:rPr>
        <w:t xml:space="preserve"> </w:t>
      </w:r>
      <w:r>
        <w:rPr>
          <w:rStyle w:val="14"/>
          <w:rFonts w:hint="eastAsia" w:ascii="仿宋" w:hAnsi="仿宋" w:eastAsia="仿宋"/>
          <w:bCs/>
          <w:sz w:val="32"/>
          <w:szCs w:val="32"/>
        </w:rPr>
        <w:t>公共安全支出（类）其他公共安全支出（款）其他公共安全支出（项）</w:t>
      </w:r>
      <w:r>
        <w:rPr>
          <w:rStyle w:val="14"/>
          <w:rFonts w:ascii="仿宋" w:hAnsi="仿宋" w:eastAsia="仿宋"/>
          <w:bCs/>
          <w:sz w:val="32"/>
          <w:szCs w:val="32"/>
        </w:rPr>
        <w:t>:</w:t>
      </w:r>
      <w:r>
        <w:rPr>
          <w:rStyle w:val="14"/>
          <w:rFonts w:hint="eastAsia" w:ascii="仿宋" w:hAnsi="仿宋" w:eastAsia="仿宋"/>
          <w:b w:val="0"/>
          <w:bCs/>
          <w:sz w:val="32"/>
          <w:szCs w:val="32"/>
        </w:rPr>
        <w:t>支出决算为35万元，完成预算100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，决算数等于预算数的主要原因是合理申请资金。</w:t>
      </w:r>
    </w:p>
    <w:p w14:paraId="0488EDB2">
      <w:pPr>
        <w:pStyle w:val="2"/>
        <w:spacing w:before="93"/>
        <w:ind w:firstLine="630" w:firstLineChars="196"/>
      </w:pPr>
      <w:r>
        <w:rPr>
          <w:rStyle w:val="14"/>
          <w:rFonts w:hint="eastAsia" w:ascii="仿宋" w:hAnsi="仿宋" w:eastAsia="仿宋"/>
          <w:bCs/>
          <w:sz w:val="32"/>
          <w:szCs w:val="32"/>
        </w:rPr>
        <w:t>9</w:t>
      </w:r>
      <w:r>
        <w:rPr>
          <w:rStyle w:val="14"/>
          <w:rFonts w:ascii="仿宋" w:hAnsi="仿宋" w:eastAsia="仿宋"/>
          <w:bCs/>
          <w:sz w:val="32"/>
          <w:szCs w:val="32"/>
        </w:rPr>
        <w:t>.</w:t>
      </w:r>
      <w:r>
        <w:rPr>
          <w:rFonts w:hint="eastAsia"/>
        </w:rPr>
        <w:t xml:space="preserve"> </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支出决算为448.91万元，完成预算100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，决算数等于预算数的主要原因是及时按财政要求调整公积金。</w:t>
      </w:r>
    </w:p>
    <w:p w14:paraId="605395B1">
      <w:pPr>
        <w:spacing w:line="600" w:lineRule="exact"/>
        <w:ind w:firstLine="640"/>
        <w:rPr>
          <w:rFonts w:ascii="仿宋" w:hAnsi="仿宋" w:eastAsia="仿宋"/>
          <w:b/>
          <w:sz w:val="32"/>
          <w:szCs w:val="32"/>
        </w:rPr>
      </w:pPr>
    </w:p>
    <w:p w14:paraId="63E3BB16">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14:paraId="0D4CA284">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21年一般公共预算财政拨款基本支出7729.47万元，其中：</w:t>
      </w:r>
    </w:p>
    <w:p w14:paraId="0D218F19">
      <w:pPr>
        <w:spacing w:line="600" w:lineRule="exact"/>
        <w:ind w:firstLine="645"/>
        <w:rPr>
          <w:rFonts w:ascii="仿宋" w:hAnsi="仿宋" w:eastAsia="仿宋"/>
          <w:sz w:val="32"/>
          <w:szCs w:val="32"/>
        </w:rPr>
      </w:pPr>
      <w:r>
        <w:rPr>
          <w:rFonts w:hint="eastAsia" w:ascii="仿宋" w:hAnsi="仿宋" w:eastAsia="仿宋"/>
          <w:sz w:val="32"/>
          <w:szCs w:val="32"/>
        </w:rPr>
        <w:t>人员经费6282.97万元，主要包括：基本工资922.6万元、津贴补贴3588.65万元、奖金52.02万元、机关事业单位基本养老保险缴费410.4万元、其他工资福利支出145.08万元、抚恤金24.31万元、生活补助373.43万元、医疗费补助343.47万元、住房公积金448.91万元、其他对个人和家庭的补助支出4.09万元。</w:t>
      </w:r>
      <w:r>
        <w:rPr>
          <w:rFonts w:ascii="仿宋" w:hAnsi="仿宋" w:eastAsia="仿宋"/>
          <w:sz w:val="32"/>
          <w:szCs w:val="32"/>
        </w:rPr>
        <w:br w:type="textWrapping"/>
      </w:r>
      <w:r>
        <w:rPr>
          <w:rFonts w:hint="eastAsia" w:ascii="仿宋" w:hAnsi="仿宋" w:eastAsia="仿宋"/>
          <w:sz w:val="32"/>
          <w:szCs w:val="32"/>
        </w:rPr>
        <w:t>　　公用经费1446.51万元，主要包括：办公费279.64万元、印刷费6.56万元、水费30.47万元、电费50.66万元、邮电费43.13万元、差旅费85.19万元、维修（护）费49.25万元、租赁费1.08万元、培训费3.76万元、劳务费11.03万元、委托业务费108.63万元、工会经费43.35万元、福利费6.06万元、公务用车运行维护费72.47万元、其他交通费252.99万元、其他商品和服务支出267.45万元。</w:t>
      </w:r>
    </w:p>
    <w:p w14:paraId="44658A2A">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14:paraId="401E6202">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4B61C1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21年“三公”经费财政拨款支出决算为72.47万元，完成预算67.66</w:t>
      </w:r>
      <w:r>
        <w:rPr>
          <w:rFonts w:ascii="仿宋" w:hAnsi="仿宋" w:eastAsia="仿宋"/>
          <w:sz w:val="32"/>
          <w:szCs w:val="32"/>
        </w:rPr>
        <w:t>%</w:t>
      </w:r>
      <w:r>
        <w:rPr>
          <w:rFonts w:hint="eastAsia" w:ascii="仿宋" w:hAnsi="仿宋" w:eastAsia="仿宋"/>
          <w:sz w:val="32"/>
          <w:szCs w:val="32"/>
        </w:rPr>
        <w:t>，决算数小于预算数的主要原因是积极响应财政号召，严格控制三公经费支出。</w:t>
      </w:r>
    </w:p>
    <w:p w14:paraId="3FE73C2A">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32D299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；公务用车购置及运行维护费支出决算72.47万元，占100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67306653">
      <w:pPr>
        <w:pStyle w:val="2"/>
        <w:spacing w:before="93"/>
      </w:pPr>
      <w:r>
        <w:rPr>
          <w:rFonts w:ascii="仿宋" w:hAnsi="仿宋" w:eastAsia="仿宋"/>
          <w:color w:val="000000"/>
          <w:sz w:val="32"/>
          <w:szCs w:val="32"/>
        </w:rPr>
        <w:drawing>
          <wp:inline distT="0" distB="0" distL="0" distR="0">
            <wp:extent cx="4914900" cy="2924175"/>
            <wp:effectExtent l="0" t="0" r="0" b="0"/>
            <wp:docPr id="22" name="对象 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7D5D8B">
      <w:pPr>
        <w:spacing w:line="600" w:lineRule="exact"/>
        <w:ind w:firstLine="640"/>
        <w:rPr>
          <w:rFonts w:ascii="仿宋" w:hAnsi="仿宋" w:eastAsia="仿宋"/>
          <w:sz w:val="32"/>
          <w:szCs w:val="32"/>
        </w:rPr>
      </w:pPr>
    </w:p>
    <w:p w14:paraId="3DE5447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1E95BE20">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。主要原因是2020年与2021年都没有安排国外、境外出差。</w:t>
      </w:r>
    </w:p>
    <w:p w14:paraId="7099CEA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72.47万元,</w:t>
      </w:r>
      <w:r>
        <w:rPr>
          <w:rStyle w:val="14"/>
          <w:rFonts w:hint="eastAsia" w:ascii="仿宋" w:hAnsi="仿宋" w:eastAsia="仿宋"/>
          <w:b w:val="0"/>
          <w:bCs/>
          <w:sz w:val="32"/>
          <w:szCs w:val="32"/>
        </w:rPr>
        <w:t>完成预算67.66</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20年减少43.46万元，下降37.49</w:t>
      </w:r>
      <w:r>
        <w:rPr>
          <w:rFonts w:ascii="仿宋_GB2312" w:eastAsia="仿宋_GB2312"/>
          <w:sz w:val="32"/>
          <w:szCs w:val="32"/>
        </w:rPr>
        <w:t>%</w:t>
      </w:r>
      <w:r>
        <w:rPr>
          <w:rFonts w:hint="eastAsia" w:ascii="仿宋_GB2312" w:eastAsia="仿宋_GB2312"/>
          <w:sz w:val="32"/>
          <w:szCs w:val="32"/>
        </w:rPr>
        <w:t>。主要原因是2020年购买了新的执法执勤车辆，2021年车辆购置费为0元。</w:t>
      </w:r>
    </w:p>
    <w:p w14:paraId="293BA9ED">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月底，单位共有公务用车56辆，其中：轿车55辆、越野车0辆、载客汽车1辆。</w:t>
      </w:r>
    </w:p>
    <w:p w14:paraId="5B33C0DC">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72.47万元。主要用于执法执勤、安保维稳等所需的公务用车燃料费、维修费、过路过桥费、保险费等支出。</w:t>
      </w:r>
    </w:p>
    <w:p w14:paraId="2A89FDC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其中：</w:t>
      </w:r>
    </w:p>
    <w:p w14:paraId="32703851">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14:paraId="7FD514F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2718DFA5">
      <w:pPr>
        <w:spacing w:line="600" w:lineRule="exact"/>
        <w:ind w:firstLine="640"/>
        <w:outlineLvl w:val="1"/>
        <w:rPr>
          <w:rStyle w:val="25"/>
          <w:rFonts w:ascii="黑体" w:hAnsi="黑体" w:eastAsia="黑体"/>
        </w:rPr>
      </w:pPr>
      <w:bookmarkStart w:id="40" w:name="_Toc15396610"/>
      <w:bookmarkStart w:id="41"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14:paraId="7D350DF9">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11E5FEC4">
      <w:pPr>
        <w:numPr>
          <w:ilvl w:val="0"/>
          <w:numId w:val="2"/>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14:paraId="30D15079">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97FD2A9">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14:paraId="5C9665C6">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3D18609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21年，攀枝花市公安局西区分局机关运行经费支出870.41万元，比</w:t>
      </w:r>
      <w:r>
        <w:rPr>
          <w:rFonts w:ascii="仿宋_GB2312" w:eastAsia="仿宋_GB2312"/>
          <w:sz w:val="32"/>
          <w:szCs w:val="32"/>
        </w:rPr>
        <w:t>20</w:t>
      </w:r>
      <w:r>
        <w:rPr>
          <w:rFonts w:hint="eastAsia" w:ascii="仿宋_GB2312" w:eastAsia="仿宋_GB2312"/>
          <w:sz w:val="32"/>
          <w:szCs w:val="32"/>
        </w:rPr>
        <w:t>20年增加115.74万元，增长13.3</w:t>
      </w:r>
      <w:r>
        <w:rPr>
          <w:rFonts w:ascii="仿宋_GB2312" w:eastAsia="仿宋_GB2312"/>
          <w:sz w:val="32"/>
          <w:szCs w:val="32"/>
        </w:rPr>
        <w:t>%</w:t>
      </w:r>
      <w:r>
        <w:rPr>
          <w:rFonts w:hint="eastAsia" w:ascii="仿宋_GB2312" w:eastAsia="仿宋_GB2312"/>
          <w:sz w:val="32"/>
          <w:szCs w:val="32"/>
        </w:rPr>
        <w:t>。主要原因是由于按照《攀枝花市财政局关于2021年市级部门预算的批复》攀财资预[2021]1号文件精神，市财政将公安业务保障经费下在了办公费中，致年度办公费同比增加182.84万元。</w:t>
      </w:r>
    </w:p>
    <w:p w14:paraId="7F3817C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27F7B0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21年，攀枝花市公安局西区分局政府采购支出总额0万元，其中：政府采购货物支出0万元、政府采购工程支出0万元、政府采购服务支出0万元。授予中小企业合同金额0万元，占政府采购支出总额的0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78F217EE">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r>
        <w:rPr>
          <w:rFonts w:hint="eastAsia" w:ascii="仿宋" w:hAnsi="仿宋" w:eastAsia="仿宋"/>
          <w:b/>
          <w:sz w:val="32"/>
          <w:szCs w:val="32"/>
        </w:rPr>
        <w:t xml:space="preserve">   </w:t>
      </w:r>
    </w:p>
    <w:p w14:paraId="203610F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日，攀枝花市公安局西区分局共有车辆56辆，其中：主要领导干部用车0辆、机要通信用车0辆、应急保障用车2辆、</w:t>
      </w:r>
      <w:r>
        <w:rPr>
          <w:rFonts w:hint="eastAsia" w:ascii="仿宋" w:hAnsi="仿宋" w:eastAsia="仿宋"/>
          <w:sz w:val="32"/>
          <w:szCs w:val="32"/>
        </w:rPr>
        <w:t>执法勤务用车</w:t>
      </w:r>
      <w:r>
        <w:rPr>
          <w:rFonts w:hint="eastAsia" w:ascii="仿宋_GB2312" w:eastAsia="仿宋_GB2312"/>
          <w:sz w:val="32"/>
          <w:szCs w:val="32"/>
        </w:rPr>
        <w:t>54辆，单价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6027FF0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E9DEEE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 w:hAnsi="仿宋" w:eastAsia="仿宋"/>
          <w:sz w:val="32"/>
          <w:szCs w:val="32"/>
        </w:rPr>
        <w:t>援彝干部人才补助经费</w:t>
      </w:r>
      <w:r>
        <w:rPr>
          <w:rFonts w:hint="eastAsia" w:ascii="仿宋_GB2312" w:hAnsi="仿宋_GB2312" w:eastAsia="仿宋_GB2312" w:cs="仿宋_GB2312"/>
          <w:sz w:val="32"/>
          <w:szCs w:val="32"/>
        </w:rPr>
        <w:t>项目开展了预算事前绩效评估，对1个项目编制了绩效目标，预算执行过程中，选取1个项目开展绩效监控，年终执行完毕后，对1个项目开展了绩效自评，2021年特定目标类部门预算项目绩效目标自评表见附件。</w:t>
      </w:r>
    </w:p>
    <w:p w14:paraId="5D5E347C">
      <w:pPr>
        <w:widowControl/>
        <w:jc w:val="left"/>
        <w:rPr>
          <w:rFonts w:ascii="仿宋_GB2312" w:eastAsia="仿宋_GB2312"/>
          <w:b/>
          <w:sz w:val="32"/>
          <w:szCs w:val="32"/>
        </w:rPr>
      </w:pPr>
    </w:p>
    <w:p w14:paraId="4BE0D2D3">
      <w:pPr>
        <w:pStyle w:val="2"/>
        <w:spacing w:before="93"/>
        <w:rPr>
          <w:b/>
          <w:sz w:val="32"/>
          <w:szCs w:val="32"/>
        </w:rPr>
      </w:pPr>
    </w:p>
    <w:p w14:paraId="7641423F">
      <w:pPr>
        <w:pStyle w:val="2"/>
        <w:spacing w:before="93"/>
        <w:rPr>
          <w:b/>
          <w:sz w:val="32"/>
          <w:szCs w:val="32"/>
        </w:rPr>
      </w:pPr>
    </w:p>
    <w:p w14:paraId="4B959C4C">
      <w:pPr>
        <w:numPr>
          <w:ilvl w:val="0"/>
          <w:numId w:val="3"/>
        </w:numPr>
        <w:spacing w:line="600" w:lineRule="exact"/>
        <w:ind w:firstLine="660" w:firstLineChars="150"/>
        <w:jc w:val="center"/>
        <w:outlineLvl w:val="0"/>
        <w:rPr>
          <w:rFonts w:ascii="宋体"/>
          <w:b/>
          <w:sz w:val="44"/>
          <w:szCs w:val="44"/>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14:paraId="0F1590B9">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14:paraId="7D821FA1">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058F7A9E">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一般公共服务支出-组织事务-其他组织事务支出：反映除上述项目以外其他用于中国共产党组织部门的事务支出。</w:t>
      </w:r>
    </w:p>
    <w:p w14:paraId="7ECA4F69">
      <w:pPr>
        <w:ind w:firstLine="640" w:firstLineChars="200"/>
        <w:rPr>
          <w:rFonts w:ascii="仿宋_GB2312" w:eastAsia="仿宋_GB2312"/>
          <w:color w:val="000000"/>
          <w:sz w:val="32"/>
          <w:szCs w:val="32"/>
        </w:rPr>
      </w:pPr>
      <w:r>
        <w:rPr>
          <w:rFonts w:hint="eastAsia" w:ascii="仿宋_GB2312" w:eastAsia="仿宋_GB2312"/>
          <w:color w:val="000000"/>
          <w:sz w:val="32"/>
          <w:szCs w:val="32"/>
        </w:rPr>
        <w:t>4.公共安全支出-公安-行政运行：指行政单位（包括实行公务员管理的事业单位）的基本支出。</w:t>
      </w:r>
    </w:p>
    <w:p w14:paraId="458F2636">
      <w:pPr>
        <w:ind w:firstLine="640" w:firstLineChars="200"/>
        <w:rPr>
          <w:rFonts w:ascii="仿宋_GB2312" w:eastAsia="仿宋_GB2312"/>
          <w:color w:val="000000"/>
          <w:sz w:val="32"/>
          <w:szCs w:val="32"/>
        </w:rPr>
      </w:pPr>
      <w:r>
        <w:rPr>
          <w:rFonts w:hint="eastAsia" w:ascii="仿宋_GB2312" w:eastAsia="仿宋_GB2312"/>
          <w:color w:val="000000"/>
          <w:sz w:val="32"/>
          <w:szCs w:val="32"/>
        </w:rPr>
        <w:t>5. 公共安全支出-公安-一般行政管理事务：指行政单位（包括实行公务员管理的事业单位）未单独设置项级科目的其他项目支出。</w:t>
      </w:r>
    </w:p>
    <w:p w14:paraId="137E49FA">
      <w:pPr>
        <w:ind w:firstLine="640" w:firstLineChars="200"/>
        <w:rPr>
          <w:rFonts w:ascii="仿宋_GB2312" w:eastAsia="仿宋_GB2312"/>
          <w:color w:val="000000"/>
          <w:sz w:val="32"/>
          <w:szCs w:val="32"/>
        </w:rPr>
      </w:pPr>
      <w:r>
        <w:rPr>
          <w:rFonts w:hint="eastAsia" w:ascii="仿宋_GB2312" w:eastAsia="仿宋_GB2312"/>
          <w:color w:val="000000"/>
          <w:sz w:val="32"/>
          <w:szCs w:val="32"/>
        </w:rPr>
        <w:t>6.公共安全支出-公安-其他公安支出：反映除上述项目以外其他用于公安方面的支出。</w:t>
      </w:r>
    </w:p>
    <w:p w14:paraId="4F0E354B">
      <w:pPr>
        <w:ind w:firstLine="640" w:firstLineChars="200"/>
        <w:rPr>
          <w:rFonts w:ascii="仿宋_GB2312" w:eastAsia="仿宋_GB2312"/>
          <w:color w:val="000000"/>
          <w:sz w:val="32"/>
          <w:szCs w:val="32"/>
        </w:rPr>
      </w:pPr>
      <w:r>
        <w:rPr>
          <w:rFonts w:hint="eastAsia" w:ascii="仿宋_GB2312" w:eastAsia="仿宋_GB2312"/>
          <w:color w:val="000000"/>
          <w:sz w:val="32"/>
          <w:szCs w:val="32"/>
        </w:rPr>
        <w:t>7.其他公共安全支-其他公共安全支出：反映除上述项目以外其他用于公安方面的支出。</w:t>
      </w:r>
    </w:p>
    <w:p w14:paraId="37C48E93">
      <w:pPr>
        <w:ind w:firstLine="640" w:firstLineChars="200"/>
        <w:rPr>
          <w:rFonts w:ascii="仿宋_GB2312" w:eastAsia="仿宋_GB2312"/>
          <w:color w:val="000000"/>
          <w:sz w:val="32"/>
          <w:szCs w:val="32"/>
        </w:rPr>
      </w:pPr>
      <w:r>
        <w:rPr>
          <w:rFonts w:hint="eastAsia" w:ascii="仿宋_GB2312" w:eastAsia="仿宋_GB2312"/>
          <w:color w:val="000000"/>
          <w:sz w:val="32"/>
          <w:szCs w:val="32"/>
        </w:rPr>
        <w:t>8.社会保障和就业支出-行政事业单位养老支出-行政单位离退休：反映行政单位开支的离退休支出。</w:t>
      </w:r>
    </w:p>
    <w:p w14:paraId="4785279D">
      <w:pPr>
        <w:ind w:firstLine="640" w:firstLineChars="200"/>
        <w:rPr>
          <w:rFonts w:ascii="仿宋_GB2312" w:eastAsia="仿宋_GB2312"/>
          <w:color w:val="000000"/>
          <w:sz w:val="32"/>
          <w:szCs w:val="32"/>
        </w:rPr>
      </w:pPr>
      <w:r>
        <w:rPr>
          <w:rFonts w:hint="eastAsia" w:ascii="仿宋_GB2312" w:eastAsia="仿宋_GB2312"/>
          <w:color w:val="000000"/>
          <w:sz w:val="32"/>
          <w:szCs w:val="32"/>
        </w:rPr>
        <w:t>9. 社会保障和就业支出-行政事业单位离退休-机关事业单位基本养老保险费支出：反映机关事业单位实施养老保险制度由单位缴纳的基本养老保险费支出。</w:t>
      </w:r>
    </w:p>
    <w:p w14:paraId="16290827">
      <w:pPr>
        <w:ind w:firstLine="640" w:firstLineChars="200"/>
        <w:rPr>
          <w:rFonts w:ascii="仿宋_GB2312" w:eastAsia="仿宋_GB2312"/>
          <w:color w:val="000000"/>
          <w:sz w:val="32"/>
          <w:szCs w:val="32"/>
        </w:rPr>
      </w:pPr>
      <w:r>
        <w:rPr>
          <w:rFonts w:hint="eastAsia" w:ascii="仿宋_GB2312" w:eastAsia="仿宋_GB2312"/>
          <w:color w:val="000000"/>
          <w:sz w:val="32"/>
          <w:szCs w:val="32"/>
        </w:rPr>
        <w:t>10. 社会保障和就业支出-抚恤-死亡抚恤：反映按规定用于烈士和牺牲、病故人员家属的一次性和定期抚恤金以及丧葬补助费。</w:t>
      </w:r>
    </w:p>
    <w:p w14:paraId="39DCB30E">
      <w:pPr>
        <w:ind w:firstLine="640" w:firstLineChars="200"/>
        <w:rPr>
          <w:rFonts w:ascii="仿宋_GB2312" w:eastAsia="仿宋_GB2312"/>
          <w:color w:val="000000"/>
          <w:sz w:val="32"/>
          <w:szCs w:val="32"/>
        </w:rPr>
      </w:pPr>
      <w:r>
        <w:rPr>
          <w:rFonts w:hint="eastAsia" w:ascii="仿宋_GB2312" w:eastAsia="仿宋_GB2312"/>
          <w:color w:val="000000"/>
          <w:sz w:val="32"/>
          <w:szCs w:val="32"/>
        </w:rPr>
        <w:t>11.住房保障支出-住房改革支出-住房公积金：反映行政事业单位按人力资源和社会保障部、财政部规定的基本工资和津补贴以及规定比例为职工缴纳的住房公积金。</w:t>
      </w:r>
    </w:p>
    <w:p w14:paraId="0BD3194B">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BE5A663">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C4148A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C7BAE4">
      <w:pPr>
        <w:pStyle w:val="22"/>
        <w:spacing w:line="560" w:lineRule="exact"/>
        <w:ind w:firstLine="640" w:firstLineChars="200"/>
        <w:rPr>
          <w:rFonts w:ascii="黑体" w:hAnsi="黑体" w:eastAsia="黑体"/>
          <w:sz w:val="44"/>
          <w:szCs w:val="44"/>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bookmarkStart w:id="52" w:name="_Toc15396618"/>
    </w:p>
    <w:p w14:paraId="56FB8A75">
      <w:pPr>
        <w:spacing w:line="600" w:lineRule="exact"/>
        <w:jc w:val="center"/>
        <w:outlineLvl w:val="0"/>
        <w:rPr>
          <w:rFonts w:ascii="仿宋_GB2312" w:hAnsi="仿宋_GB2312" w:eastAsia="仿宋_GB2312" w:cs="仿宋_GB2312"/>
          <w:sz w:val="32"/>
          <w:szCs w:val="32"/>
        </w:rPr>
      </w:pPr>
      <w:bookmarkStart w:id="53" w:name="_Toc15396614"/>
      <w:r>
        <w:rPr>
          <w:rFonts w:hint="eastAsia" w:ascii="黑体" w:hAnsi="黑体" w:eastAsia="黑体"/>
          <w:sz w:val="44"/>
          <w:szCs w:val="44"/>
        </w:rPr>
        <w:t>第</w:t>
      </w:r>
      <w:r>
        <w:rPr>
          <w:rStyle w:val="24"/>
          <w:rFonts w:hint="eastAsia" w:ascii="黑体" w:hAnsi="黑体" w:eastAsia="黑体"/>
          <w:b w:val="0"/>
        </w:rPr>
        <w:t>四部分 附件</w:t>
      </w:r>
      <w:bookmarkEnd w:id="53"/>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45"/>
        <w:gridCol w:w="1144"/>
        <w:gridCol w:w="1443"/>
        <w:gridCol w:w="1444"/>
        <w:gridCol w:w="2774"/>
        <w:gridCol w:w="1825"/>
        <w:gridCol w:w="236"/>
      </w:tblGrid>
      <w:tr w14:paraId="2B7BFEA2">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6A952F2A">
            <w:pPr>
              <w:widowControl/>
              <w:jc w:val="center"/>
              <w:textAlignment w:val="center"/>
              <w:rPr>
                <w:rFonts w:ascii="宋体" w:hAnsi="宋体" w:cs="宋体"/>
                <w:b/>
                <w:sz w:val="32"/>
                <w:szCs w:val="32"/>
              </w:rPr>
            </w:pPr>
            <w:r>
              <w:rPr>
                <w:rFonts w:hint="eastAsia" w:ascii="宋体" w:hAnsi="宋体" w:cs="宋体"/>
                <w:b/>
                <w:sz w:val="32"/>
                <w:szCs w:val="32"/>
              </w:rPr>
              <w:t>2021年部门预算援彝干部人才补助经费项目绩效目标自评表</w:t>
            </w:r>
          </w:p>
        </w:tc>
        <w:tc>
          <w:tcPr>
            <w:tcW w:w="234" w:type="dxa"/>
            <w:tcBorders>
              <w:top w:val="nil"/>
              <w:left w:val="nil"/>
              <w:bottom w:val="nil"/>
              <w:right w:val="nil"/>
            </w:tcBorders>
            <w:shd w:val="clear" w:color="auto" w:fill="auto"/>
            <w:vAlign w:val="center"/>
          </w:tcPr>
          <w:p w14:paraId="229F9886">
            <w:pPr>
              <w:widowControl/>
              <w:jc w:val="center"/>
              <w:textAlignment w:val="center"/>
              <w:rPr>
                <w:rFonts w:ascii="宋体" w:hAnsi="宋体" w:cs="宋体"/>
                <w:b/>
                <w:kern w:val="0"/>
                <w:sz w:val="32"/>
                <w:szCs w:val="32"/>
                <w:lang w:bidi="ar"/>
              </w:rPr>
            </w:pPr>
          </w:p>
        </w:tc>
      </w:tr>
      <w:tr w14:paraId="4D5DA239">
        <w:tblPrEx>
          <w:tblCellMar>
            <w:top w:w="0" w:type="dxa"/>
            <w:left w:w="108" w:type="dxa"/>
            <w:bottom w:w="0" w:type="dxa"/>
            <w:right w:w="108" w:type="dxa"/>
          </w:tblCellMar>
        </w:tblPrEx>
        <w:trPr>
          <w:gridAfter w:val="1"/>
          <w:wAfter w:w="234" w:type="dxa"/>
          <w:trHeight w:val="254"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628B">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110B">
            <w:pPr>
              <w:widowControl/>
              <w:spacing w:line="320" w:lineRule="exact"/>
              <w:textAlignment w:val="center"/>
              <w:rPr>
                <w:rFonts w:ascii="宋体" w:hAnsi="宋体" w:cs="宋体"/>
                <w:sz w:val="24"/>
              </w:rPr>
            </w:pPr>
            <w:r>
              <w:rPr>
                <w:rFonts w:hint="eastAsia" w:ascii="宋体" w:hAnsi="宋体" w:cs="宋体"/>
                <w:sz w:val="24"/>
              </w:rPr>
              <w:t>攀枝花市公安局西区分局（128003）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0A2D">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937">
            <w:pPr>
              <w:widowControl/>
              <w:spacing w:line="320" w:lineRule="exact"/>
              <w:jc w:val="center"/>
              <w:textAlignment w:val="center"/>
              <w:rPr>
                <w:rFonts w:ascii="宋体" w:hAnsi="宋体" w:cs="宋体"/>
                <w:sz w:val="24"/>
              </w:rPr>
            </w:pPr>
            <w:r>
              <w:rPr>
                <w:rFonts w:hint="eastAsia" w:ascii="宋体" w:hAnsi="宋体" w:cs="宋体"/>
                <w:sz w:val="24"/>
              </w:rPr>
              <w:t>攀枝花市公安局西区分局</w:t>
            </w:r>
          </w:p>
        </w:tc>
      </w:tr>
      <w:tr w14:paraId="2A4C9EAE">
        <w:tblPrEx>
          <w:tblCellMar>
            <w:top w:w="0" w:type="dxa"/>
            <w:left w:w="108" w:type="dxa"/>
            <w:bottom w:w="0" w:type="dxa"/>
            <w:right w:w="108" w:type="dxa"/>
          </w:tblCellMar>
        </w:tblPrEx>
        <w:trPr>
          <w:gridAfter w:val="1"/>
          <w:wAfter w:w="234" w:type="dxa"/>
          <w:trHeight w:val="341" w:hRule="atLeast"/>
        </w:trPr>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9CD0B">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0952">
            <w:pPr>
              <w:widowControl/>
              <w:spacing w:line="320" w:lineRule="exact"/>
              <w:jc w:val="left"/>
              <w:textAlignment w:val="center"/>
              <w:rPr>
                <w:rFonts w:ascii="宋体" w:hAnsi="宋体" w:cs="宋体"/>
                <w:sz w:val="24"/>
              </w:rPr>
            </w:pPr>
            <w:r>
              <w:rPr>
                <w:rFonts w:hint="eastAsia" w:ascii="宋体" w:hAnsi="宋体" w:cs="宋体"/>
                <w:kern w:val="0"/>
                <w:sz w:val="24"/>
                <w:lang w:bidi="ar"/>
              </w:rPr>
              <w:t>预算数</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3A46">
            <w:pPr>
              <w:widowControl/>
              <w:spacing w:line="320" w:lineRule="exact"/>
              <w:jc w:val="left"/>
              <w:textAlignment w:val="center"/>
              <w:rPr>
                <w:rFonts w:ascii="宋体" w:hAnsi="宋体" w:cs="宋体"/>
                <w:sz w:val="24"/>
              </w:rPr>
            </w:pPr>
            <w:r>
              <w:rPr>
                <w:rFonts w:hint="eastAsia" w:ascii="宋体" w:hAnsi="宋体" w:cs="宋体"/>
                <w:sz w:val="24"/>
              </w:rPr>
              <w:t>6.26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7ACC">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6D8C">
            <w:pPr>
              <w:widowControl/>
              <w:spacing w:line="320" w:lineRule="exact"/>
              <w:jc w:val="left"/>
              <w:textAlignment w:val="center"/>
              <w:rPr>
                <w:rFonts w:ascii="宋体" w:hAnsi="宋体" w:cs="宋体"/>
                <w:sz w:val="24"/>
              </w:rPr>
            </w:pPr>
            <w:r>
              <w:rPr>
                <w:rFonts w:hint="eastAsia" w:ascii="宋体" w:hAnsi="宋体" w:cs="宋体"/>
                <w:sz w:val="24"/>
              </w:rPr>
              <w:t>6.26</w:t>
            </w:r>
          </w:p>
        </w:tc>
      </w:tr>
      <w:tr w14:paraId="361F129E">
        <w:tblPrEx>
          <w:tblCellMar>
            <w:top w:w="0" w:type="dxa"/>
            <w:left w:w="108" w:type="dxa"/>
            <w:bottom w:w="0" w:type="dxa"/>
            <w:right w:w="108" w:type="dxa"/>
          </w:tblCellMar>
        </w:tblPrEx>
        <w:trPr>
          <w:gridAfter w:val="1"/>
          <w:wAfter w:w="234" w:type="dxa"/>
          <w:trHeight w:val="555" w:hRule="atLeast"/>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9BCB2">
            <w:pPr>
              <w:spacing w:line="320" w:lineRule="exact"/>
              <w:jc w:val="center"/>
              <w:rPr>
                <w:rFonts w:ascii="宋体" w:hAnsi="宋体" w:cs="宋体"/>
                <w:sz w:val="24"/>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301F">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14:paraId="1C44C240">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8D69">
            <w:pPr>
              <w:widowControl/>
              <w:spacing w:line="320" w:lineRule="exact"/>
              <w:jc w:val="left"/>
              <w:textAlignment w:val="center"/>
              <w:rPr>
                <w:rFonts w:ascii="宋体" w:hAnsi="宋体" w:cs="宋体"/>
                <w:sz w:val="24"/>
              </w:rPr>
            </w:pPr>
            <w:r>
              <w:rPr>
                <w:rFonts w:hint="eastAsia" w:ascii="宋体" w:hAnsi="宋体" w:cs="宋体"/>
                <w:sz w:val="24"/>
              </w:rPr>
              <w:t>6.26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A056">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14:paraId="29B81461">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56DA">
            <w:pPr>
              <w:widowControl/>
              <w:spacing w:line="320" w:lineRule="exact"/>
              <w:textAlignment w:val="center"/>
              <w:rPr>
                <w:rFonts w:ascii="宋体" w:hAnsi="宋体" w:cs="宋体"/>
                <w:sz w:val="24"/>
              </w:rPr>
            </w:pPr>
            <w:r>
              <w:rPr>
                <w:rFonts w:hint="eastAsia" w:ascii="宋体" w:hAnsi="宋体" w:cs="宋体"/>
                <w:sz w:val="24"/>
              </w:rPr>
              <w:t>6.26</w:t>
            </w:r>
          </w:p>
        </w:tc>
      </w:tr>
      <w:tr w14:paraId="47068EC0">
        <w:tblPrEx>
          <w:tblCellMar>
            <w:top w:w="0" w:type="dxa"/>
            <w:left w:w="108" w:type="dxa"/>
            <w:bottom w:w="0" w:type="dxa"/>
            <w:right w:w="108" w:type="dxa"/>
          </w:tblCellMar>
        </w:tblPrEx>
        <w:trPr>
          <w:gridAfter w:val="1"/>
          <w:wAfter w:w="234" w:type="dxa"/>
          <w:trHeight w:val="341" w:hRule="atLeast"/>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13AC">
            <w:pPr>
              <w:spacing w:line="320" w:lineRule="exact"/>
              <w:jc w:val="center"/>
              <w:rPr>
                <w:rFonts w:ascii="宋体" w:hAnsi="宋体" w:cs="宋体"/>
                <w:sz w:val="24"/>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223B">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AF5">
            <w:pPr>
              <w:widowControl/>
              <w:spacing w:line="320" w:lineRule="exact"/>
              <w:jc w:val="left"/>
              <w:textAlignment w:val="center"/>
              <w:rPr>
                <w:rFonts w:ascii="宋体" w:hAnsi="宋体" w:cs="宋体"/>
                <w:sz w:val="24"/>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D35">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D85D">
            <w:pPr>
              <w:widowControl/>
              <w:spacing w:line="320" w:lineRule="exact"/>
              <w:jc w:val="center"/>
              <w:textAlignment w:val="center"/>
              <w:rPr>
                <w:rFonts w:ascii="宋体" w:hAnsi="宋体" w:cs="宋体"/>
                <w:sz w:val="24"/>
              </w:rPr>
            </w:pPr>
          </w:p>
        </w:tc>
      </w:tr>
      <w:tr w14:paraId="116DC81F">
        <w:tblPrEx>
          <w:tblCellMar>
            <w:top w:w="0" w:type="dxa"/>
            <w:left w:w="108" w:type="dxa"/>
            <w:bottom w:w="0" w:type="dxa"/>
            <w:right w:w="108" w:type="dxa"/>
          </w:tblCellMar>
        </w:tblPrEx>
        <w:trPr>
          <w:gridAfter w:val="1"/>
          <w:wAfter w:w="234" w:type="dxa"/>
          <w:trHeight w:val="217"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D2AD3">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14:paraId="45EB462D">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4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43609">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4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E4C41">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14:paraId="774BF349">
        <w:tblPrEx>
          <w:tblCellMar>
            <w:top w:w="0" w:type="dxa"/>
            <w:left w:w="108" w:type="dxa"/>
            <w:bottom w:w="0" w:type="dxa"/>
            <w:right w:w="108" w:type="dxa"/>
          </w:tblCellMar>
        </w:tblPrEx>
        <w:trPr>
          <w:gridAfter w:val="1"/>
          <w:wAfter w:w="234" w:type="dxa"/>
          <w:trHeight w:val="797"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915F4">
            <w:pPr>
              <w:spacing w:line="320" w:lineRule="exact"/>
              <w:jc w:val="center"/>
              <w:rPr>
                <w:rFonts w:ascii="宋体" w:hAnsi="宋体" w:cs="宋体"/>
                <w:sz w:val="24"/>
              </w:rPr>
            </w:pPr>
          </w:p>
        </w:tc>
        <w:tc>
          <w:tcPr>
            <w:tcW w:w="4031" w:type="dxa"/>
            <w:gridSpan w:val="3"/>
            <w:tcBorders>
              <w:top w:val="single" w:color="000000" w:sz="4" w:space="0"/>
              <w:left w:val="single" w:color="000000" w:sz="4" w:space="0"/>
              <w:bottom w:val="single" w:color="000000" w:sz="4" w:space="0"/>
              <w:right w:val="single" w:color="000000" w:sz="4" w:space="0"/>
            </w:tcBorders>
            <w:shd w:val="clear" w:color="auto" w:fill="auto"/>
          </w:tcPr>
          <w:p w14:paraId="4D458C68">
            <w:pPr>
              <w:widowControl/>
              <w:spacing w:line="320" w:lineRule="exact"/>
              <w:jc w:val="left"/>
              <w:textAlignment w:val="top"/>
              <w:rPr>
                <w:rFonts w:ascii="宋体" w:hAnsi="宋体" w:cs="宋体"/>
                <w:sz w:val="24"/>
              </w:rPr>
            </w:pPr>
            <w:r>
              <w:rPr>
                <w:rFonts w:hint="eastAsia" w:ascii="宋体" w:hAnsi="宋体" w:cs="宋体"/>
                <w:sz w:val="24"/>
              </w:rPr>
              <w:t>为进一步加强援彝援藏干部人才管理服务工作，充分发挥援彝援藏干部人才在推进藏区彝区脱贫攻坚和社会发展中的重要作用，根据凉山州脱贫攻坚综合帮扶工作队管理工作专题会议精神，落实好援彝援藏干部人才补助津贴发放。</w:t>
            </w:r>
          </w:p>
        </w:tc>
        <w:tc>
          <w:tcPr>
            <w:tcW w:w="4600" w:type="dxa"/>
            <w:gridSpan w:val="2"/>
            <w:tcBorders>
              <w:top w:val="single" w:color="000000" w:sz="4" w:space="0"/>
              <w:left w:val="single" w:color="000000" w:sz="4" w:space="0"/>
              <w:bottom w:val="single" w:color="000000" w:sz="4" w:space="0"/>
              <w:right w:val="single" w:color="000000" w:sz="4" w:space="0"/>
            </w:tcBorders>
            <w:shd w:val="clear" w:color="auto" w:fill="auto"/>
          </w:tcPr>
          <w:p w14:paraId="18F9D636">
            <w:pPr>
              <w:widowControl/>
              <w:spacing w:line="320" w:lineRule="exact"/>
              <w:jc w:val="left"/>
              <w:textAlignment w:val="top"/>
              <w:rPr>
                <w:rFonts w:ascii="宋体" w:hAnsi="宋体" w:cs="宋体"/>
                <w:sz w:val="24"/>
              </w:rPr>
            </w:pPr>
            <w:r>
              <w:rPr>
                <w:rFonts w:hint="eastAsia" w:ascii="宋体" w:hAnsi="宋体" w:cs="宋体"/>
                <w:sz w:val="24"/>
              </w:rPr>
              <w:t>充分发挥了援彝援藏干部人才在推进藏区彝区脱贫攻坚和社会发展中的重要作用，根据凉山州脱贫攻坚综合帮扶工作队管理工作专题会议精神，完成全年1名援彝援藏干部的人才补助津贴发放。</w:t>
            </w:r>
          </w:p>
        </w:tc>
      </w:tr>
      <w:tr w14:paraId="4FF6E1E7">
        <w:tblPrEx>
          <w:tblCellMar>
            <w:top w:w="0" w:type="dxa"/>
            <w:left w:w="108" w:type="dxa"/>
            <w:bottom w:w="0" w:type="dxa"/>
            <w:right w:w="108" w:type="dxa"/>
          </w:tblCellMar>
        </w:tblPrEx>
        <w:trPr>
          <w:gridAfter w:val="1"/>
          <w:wAfter w:w="234" w:type="dxa"/>
          <w:trHeight w:val="693" w:hRule="atLeast"/>
        </w:trPr>
        <w:tc>
          <w:tcPr>
            <w:tcW w:w="946" w:type="dxa"/>
            <w:vMerge w:val="restart"/>
            <w:tcBorders>
              <w:top w:val="single" w:color="000000" w:sz="4" w:space="0"/>
              <w:left w:val="single" w:color="000000" w:sz="4" w:space="0"/>
              <w:right w:val="single" w:color="000000" w:sz="4" w:space="0"/>
            </w:tcBorders>
            <w:shd w:val="clear" w:color="auto" w:fill="auto"/>
            <w:vAlign w:val="center"/>
          </w:tcPr>
          <w:p w14:paraId="0F1C1BF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5F9EA0CD">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14:paraId="2C78D21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5DD9">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14:paraId="409590C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BE6">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14:paraId="23E7853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B6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062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14:paraId="085D553B">
        <w:tblPrEx>
          <w:tblCellMar>
            <w:top w:w="0" w:type="dxa"/>
            <w:left w:w="108" w:type="dxa"/>
            <w:bottom w:w="0" w:type="dxa"/>
            <w:right w:w="108" w:type="dxa"/>
          </w:tblCellMar>
        </w:tblPrEx>
        <w:trPr>
          <w:gridAfter w:val="1"/>
          <w:wAfter w:w="234" w:type="dxa"/>
          <w:trHeight w:val="415" w:hRule="atLeast"/>
        </w:trPr>
        <w:tc>
          <w:tcPr>
            <w:tcW w:w="946" w:type="dxa"/>
            <w:vMerge w:val="continue"/>
            <w:tcBorders>
              <w:left w:val="single" w:color="000000" w:sz="4" w:space="0"/>
              <w:right w:val="single" w:color="000000" w:sz="4" w:space="0"/>
            </w:tcBorders>
            <w:shd w:val="clear" w:color="auto" w:fill="auto"/>
            <w:vAlign w:val="center"/>
          </w:tcPr>
          <w:p w14:paraId="212846F9">
            <w:pPr>
              <w:spacing w:line="320" w:lineRule="exact"/>
              <w:jc w:val="center"/>
              <w:rPr>
                <w:rFonts w:ascii="仿宋_GB2312" w:hAnsi="仿宋_GB2312" w:eastAsia="仿宋_GB2312" w:cs="仿宋_GB2312"/>
                <w:sz w:val="28"/>
                <w:szCs w:val="28"/>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3940A">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14:paraId="7281882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6E5E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8EBD5">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脱贫攻坚综合帮扶工作队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E4342">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队员1人</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32B23">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1人已完成该年度的脱贫帮扶工作</w:t>
            </w:r>
          </w:p>
        </w:tc>
      </w:tr>
      <w:tr w14:paraId="6966EBE0">
        <w:tblPrEx>
          <w:tblCellMar>
            <w:top w:w="0" w:type="dxa"/>
            <w:left w:w="108" w:type="dxa"/>
            <w:bottom w:w="0" w:type="dxa"/>
            <w:right w:w="108" w:type="dxa"/>
          </w:tblCellMar>
        </w:tblPrEx>
        <w:trPr>
          <w:gridAfter w:val="1"/>
          <w:wAfter w:w="234" w:type="dxa"/>
          <w:trHeight w:val="415" w:hRule="atLeast"/>
        </w:trPr>
        <w:tc>
          <w:tcPr>
            <w:tcW w:w="946" w:type="dxa"/>
            <w:vMerge w:val="continue"/>
            <w:tcBorders>
              <w:left w:val="single" w:color="000000" w:sz="4" w:space="0"/>
              <w:right w:val="single" w:color="000000" w:sz="4" w:space="0"/>
            </w:tcBorders>
            <w:shd w:val="clear" w:color="auto" w:fill="auto"/>
            <w:vAlign w:val="center"/>
          </w:tcPr>
          <w:p w14:paraId="525F8561">
            <w:pPr>
              <w:spacing w:line="320" w:lineRule="exact"/>
              <w:jc w:val="center"/>
              <w:rPr>
                <w:rFonts w:ascii="仿宋_GB2312" w:hAnsi="仿宋_GB2312" w:eastAsia="仿宋_GB2312" w:cs="仿宋_GB2312"/>
                <w:sz w:val="28"/>
                <w:szCs w:val="2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57267A">
            <w:pPr>
              <w:spacing w:line="320" w:lineRule="exact"/>
              <w:jc w:val="center"/>
              <w:rPr>
                <w:rFonts w:ascii="仿宋_GB2312" w:hAnsi="仿宋_GB2312" w:eastAsia="仿宋_GB2312" w:cs="仿宋_GB2312"/>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4669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E72B3">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选派要求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19F3D">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Cs w:val="21"/>
              </w:rPr>
              <w:t>选派整体素质过硬，坚决贯彻执行党中央政策的</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2C844">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Cs w:val="21"/>
              </w:rPr>
              <w:t>甄选1名政治素质过硬民警完成该任务</w:t>
            </w:r>
          </w:p>
        </w:tc>
      </w:tr>
      <w:tr w14:paraId="3405A87B">
        <w:tblPrEx>
          <w:tblCellMar>
            <w:top w:w="0" w:type="dxa"/>
            <w:left w:w="108" w:type="dxa"/>
            <w:bottom w:w="0" w:type="dxa"/>
            <w:right w:w="108" w:type="dxa"/>
          </w:tblCellMar>
        </w:tblPrEx>
        <w:trPr>
          <w:gridAfter w:val="1"/>
          <w:wAfter w:w="234" w:type="dxa"/>
          <w:trHeight w:val="415" w:hRule="atLeast"/>
        </w:trPr>
        <w:tc>
          <w:tcPr>
            <w:tcW w:w="946" w:type="dxa"/>
            <w:vMerge w:val="continue"/>
            <w:tcBorders>
              <w:left w:val="single" w:color="000000" w:sz="4" w:space="0"/>
              <w:right w:val="single" w:color="000000" w:sz="4" w:space="0"/>
            </w:tcBorders>
            <w:shd w:val="clear" w:color="auto" w:fill="auto"/>
            <w:vAlign w:val="center"/>
          </w:tcPr>
          <w:p w14:paraId="73E0A169">
            <w:pPr>
              <w:spacing w:line="320" w:lineRule="exact"/>
              <w:jc w:val="center"/>
              <w:rPr>
                <w:rFonts w:ascii="仿宋_GB2312" w:hAnsi="仿宋_GB2312" w:eastAsia="仿宋_GB2312" w:cs="仿宋_GB2312"/>
                <w:sz w:val="28"/>
                <w:szCs w:val="2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AE95AE8">
            <w:pPr>
              <w:spacing w:line="320" w:lineRule="exact"/>
              <w:jc w:val="center"/>
              <w:rPr>
                <w:rFonts w:ascii="仿宋_GB2312" w:hAnsi="仿宋_GB2312" w:eastAsia="仿宋_GB2312" w:cs="仿宋_GB2312"/>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C7E2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CCAC3">
            <w:pPr>
              <w:widowControl/>
              <w:spacing w:line="320" w:lineRule="exact"/>
              <w:jc w:val="center"/>
              <w:textAlignment w:val="bottom"/>
              <w:rPr>
                <w:rFonts w:ascii="仿宋_GB2312" w:hAnsi="仿宋_GB2312" w:eastAsia="仿宋_GB2312" w:cs="仿宋_GB2312"/>
                <w:sz w:val="28"/>
                <w:szCs w:val="2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A7DEA">
            <w:pPr>
              <w:widowControl/>
              <w:spacing w:line="320" w:lineRule="exact"/>
              <w:jc w:val="center"/>
              <w:textAlignment w:val="bottom"/>
              <w:rPr>
                <w:rFonts w:ascii="仿宋_GB2312" w:hAnsi="仿宋_GB2312" w:eastAsia="仿宋_GB2312" w:cs="仿宋_GB2312"/>
                <w:sz w:val="28"/>
                <w:szCs w:val="2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CBF48">
            <w:pPr>
              <w:widowControl/>
              <w:spacing w:line="320" w:lineRule="exact"/>
              <w:jc w:val="center"/>
              <w:textAlignment w:val="bottom"/>
              <w:rPr>
                <w:rFonts w:ascii="仿宋_GB2312" w:hAnsi="仿宋_GB2312" w:eastAsia="仿宋_GB2312" w:cs="仿宋_GB2312"/>
                <w:sz w:val="28"/>
                <w:szCs w:val="28"/>
              </w:rPr>
            </w:pPr>
          </w:p>
        </w:tc>
      </w:tr>
      <w:tr w14:paraId="3BA02A17">
        <w:tblPrEx>
          <w:tblCellMar>
            <w:top w:w="0" w:type="dxa"/>
            <w:left w:w="108" w:type="dxa"/>
            <w:bottom w:w="0" w:type="dxa"/>
            <w:right w:w="108" w:type="dxa"/>
          </w:tblCellMar>
        </w:tblPrEx>
        <w:trPr>
          <w:gridAfter w:val="1"/>
          <w:wAfter w:w="234" w:type="dxa"/>
          <w:trHeight w:val="480" w:hRule="atLeast"/>
        </w:trPr>
        <w:tc>
          <w:tcPr>
            <w:tcW w:w="946" w:type="dxa"/>
            <w:vMerge w:val="continue"/>
            <w:tcBorders>
              <w:left w:val="single" w:color="000000" w:sz="4" w:space="0"/>
              <w:right w:val="single" w:color="000000" w:sz="4" w:space="0"/>
            </w:tcBorders>
            <w:shd w:val="clear" w:color="auto" w:fill="auto"/>
            <w:vAlign w:val="center"/>
          </w:tcPr>
          <w:p w14:paraId="5A6A6CE9">
            <w:pPr>
              <w:spacing w:line="320" w:lineRule="exact"/>
              <w:jc w:val="center"/>
              <w:rPr>
                <w:rFonts w:ascii="仿宋_GB2312" w:hAnsi="仿宋_GB2312" w:eastAsia="仿宋_GB2312" w:cs="仿宋_GB2312"/>
                <w:sz w:val="28"/>
                <w:szCs w:val="2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1AB7428">
            <w:pPr>
              <w:spacing w:line="320" w:lineRule="exact"/>
              <w:jc w:val="center"/>
              <w:rPr>
                <w:rFonts w:ascii="仿宋_GB2312" w:hAnsi="仿宋_GB2312" w:eastAsia="仿宋_GB2312" w:cs="仿宋_GB2312"/>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B441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FF4CB">
            <w:pPr>
              <w:widowControl/>
              <w:spacing w:line="320" w:lineRule="exact"/>
              <w:jc w:val="center"/>
              <w:textAlignment w:val="bottom"/>
              <w:rPr>
                <w:rFonts w:ascii="仿宋_GB2312" w:hAnsi="仿宋_GB2312" w:eastAsia="仿宋_GB2312" w:cs="仿宋_GB2312"/>
                <w:sz w:val="28"/>
                <w:szCs w:val="2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DF2A4">
            <w:pPr>
              <w:widowControl/>
              <w:spacing w:line="320" w:lineRule="exact"/>
              <w:jc w:val="center"/>
              <w:textAlignment w:val="bottom"/>
              <w:rPr>
                <w:rFonts w:ascii="仿宋_GB2312" w:hAnsi="仿宋_GB2312" w:eastAsia="仿宋_GB2312" w:cs="仿宋_GB2312"/>
                <w:sz w:val="28"/>
                <w:szCs w:val="2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C9AB9">
            <w:pPr>
              <w:widowControl/>
              <w:spacing w:line="320" w:lineRule="exact"/>
              <w:jc w:val="center"/>
              <w:textAlignment w:val="bottom"/>
              <w:rPr>
                <w:rFonts w:ascii="仿宋_GB2312" w:hAnsi="仿宋_GB2312" w:eastAsia="仿宋_GB2312" w:cs="仿宋_GB2312"/>
                <w:sz w:val="28"/>
                <w:szCs w:val="28"/>
              </w:rPr>
            </w:pPr>
          </w:p>
        </w:tc>
      </w:tr>
      <w:tr w14:paraId="44133732">
        <w:tblPrEx>
          <w:tblCellMar>
            <w:top w:w="0" w:type="dxa"/>
            <w:left w:w="108" w:type="dxa"/>
            <w:bottom w:w="0" w:type="dxa"/>
            <w:right w:w="108" w:type="dxa"/>
          </w:tblCellMar>
        </w:tblPrEx>
        <w:trPr>
          <w:gridAfter w:val="1"/>
          <w:wAfter w:w="234" w:type="dxa"/>
          <w:trHeight w:val="480" w:hRule="atLeast"/>
        </w:trPr>
        <w:tc>
          <w:tcPr>
            <w:tcW w:w="946" w:type="dxa"/>
            <w:vMerge w:val="continue"/>
            <w:tcBorders>
              <w:left w:val="single" w:color="000000" w:sz="4" w:space="0"/>
              <w:right w:val="single" w:color="000000" w:sz="4" w:space="0"/>
            </w:tcBorders>
            <w:shd w:val="clear" w:color="auto" w:fill="auto"/>
            <w:vAlign w:val="center"/>
          </w:tcPr>
          <w:p w14:paraId="2E09CBB5">
            <w:pPr>
              <w:spacing w:line="320" w:lineRule="exact"/>
              <w:jc w:val="center"/>
              <w:rPr>
                <w:rFonts w:ascii="仿宋_GB2312" w:hAnsi="仿宋_GB2312" w:eastAsia="仿宋_GB2312" w:cs="仿宋_GB2312"/>
                <w:sz w:val="28"/>
                <w:szCs w:val="28"/>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19C3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2C49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  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4E8E8">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生活补助及津补贴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B64B1">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Cs w:val="21"/>
              </w:rPr>
              <w:t>每个工作日补助50元，全月按22天，全年为264天</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DCE07">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6.26万元</w:t>
            </w:r>
          </w:p>
        </w:tc>
      </w:tr>
      <w:tr w14:paraId="68CD6177">
        <w:tblPrEx>
          <w:tblCellMar>
            <w:top w:w="0" w:type="dxa"/>
            <w:left w:w="108" w:type="dxa"/>
            <w:bottom w:w="0" w:type="dxa"/>
            <w:right w:w="108" w:type="dxa"/>
          </w:tblCellMar>
        </w:tblPrEx>
        <w:trPr>
          <w:gridAfter w:val="1"/>
          <w:wAfter w:w="234" w:type="dxa"/>
          <w:trHeight w:val="480" w:hRule="atLeast"/>
        </w:trPr>
        <w:tc>
          <w:tcPr>
            <w:tcW w:w="946" w:type="dxa"/>
            <w:vMerge w:val="continue"/>
            <w:tcBorders>
              <w:left w:val="single" w:color="000000" w:sz="4" w:space="0"/>
              <w:right w:val="single" w:color="000000" w:sz="4" w:space="0"/>
            </w:tcBorders>
            <w:shd w:val="clear" w:color="auto" w:fill="auto"/>
            <w:vAlign w:val="center"/>
          </w:tcPr>
          <w:p w14:paraId="6F295034">
            <w:pPr>
              <w:spacing w:line="320" w:lineRule="exact"/>
              <w:jc w:val="center"/>
              <w:rPr>
                <w:rFonts w:ascii="仿宋_GB2312" w:hAnsi="仿宋_GB2312" w:eastAsia="仿宋_GB2312" w:cs="仿宋_GB2312"/>
                <w:sz w:val="28"/>
                <w:szCs w:val="2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299F5B">
            <w:pPr>
              <w:spacing w:line="320" w:lineRule="exact"/>
              <w:jc w:val="center"/>
              <w:rPr>
                <w:rFonts w:ascii="仿宋_GB2312" w:hAnsi="仿宋_GB2312" w:eastAsia="仿宋_GB2312" w:cs="仿宋_GB2312"/>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FF61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  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2155F">
            <w:pPr>
              <w:widowControl/>
              <w:jc w:val="center"/>
              <w:textAlignment w:val="center"/>
              <w:rPr>
                <w:rFonts w:ascii="仿宋_GB2312" w:hAnsi="仿宋_GB2312" w:eastAsia="仿宋_GB2312" w:cs="仿宋_GB2312"/>
                <w:sz w:val="28"/>
                <w:szCs w:val="28"/>
              </w:rPr>
            </w:pPr>
            <w:r>
              <w:rPr>
                <w:rFonts w:hint="eastAsia" w:ascii="宋体" w:hAnsi="宋体" w:cs="宋体"/>
                <w:color w:val="000000"/>
                <w:sz w:val="24"/>
              </w:rPr>
              <w:t>援助有效</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14AF5">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Cs w:val="21"/>
              </w:rPr>
              <w:t>充分发挥援彝干部人才在推进彝区脱贫攻坚和社会发展中的重要作用</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103EF8">
            <w:pPr>
              <w:widowControl/>
              <w:spacing w:line="320" w:lineRule="exact"/>
              <w:jc w:val="center"/>
              <w:textAlignment w:val="bottom"/>
              <w:rPr>
                <w:rFonts w:ascii="仿宋_GB2312" w:hAnsi="仿宋_GB2312" w:eastAsia="仿宋_GB2312" w:cs="仿宋_GB2312"/>
                <w:sz w:val="28"/>
                <w:szCs w:val="28"/>
              </w:rPr>
            </w:pPr>
            <w:r>
              <w:rPr>
                <w:rFonts w:hint="eastAsia" w:ascii="宋体" w:hAnsi="宋体"/>
                <w:color w:val="000000"/>
                <w:sz w:val="24"/>
              </w:rPr>
              <w:t>所起作用达到预期目标</w:t>
            </w:r>
          </w:p>
        </w:tc>
      </w:tr>
      <w:tr w14:paraId="0666DF21">
        <w:tblPrEx>
          <w:tblCellMar>
            <w:top w:w="0" w:type="dxa"/>
            <w:left w:w="108" w:type="dxa"/>
            <w:bottom w:w="0" w:type="dxa"/>
            <w:right w:w="108" w:type="dxa"/>
          </w:tblCellMar>
        </w:tblPrEx>
        <w:trPr>
          <w:gridAfter w:val="1"/>
          <w:wAfter w:w="234" w:type="dxa"/>
          <w:trHeight w:val="652" w:hRule="atLeast"/>
        </w:trPr>
        <w:tc>
          <w:tcPr>
            <w:tcW w:w="946" w:type="dxa"/>
            <w:vMerge w:val="continue"/>
            <w:tcBorders>
              <w:left w:val="single" w:color="000000" w:sz="4" w:space="0"/>
              <w:right w:val="single" w:color="000000" w:sz="4" w:space="0"/>
            </w:tcBorders>
            <w:shd w:val="clear" w:color="auto" w:fill="auto"/>
            <w:vAlign w:val="center"/>
          </w:tcPr>
          <w:p w14:paraId="28025490">
            <w:pPr>
              <w:spacing w:line="320" w:lineRule="exact"/>
              <w:jc w:val="center"/>
              <w:rPr>
                <w:rFonts w:ascii="仿宋_GB2312" w:hAnsi="仿宋_GB2312" w:eastAsia="仿宋_GB2312" w:cs="仿宋_GB2312"/>
                <w:sz w:val="28"/>
                <w:szCs w:val="2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D513C12">
            <w:pPr>
              <w:spacing w:line="320" w:lineRule="exact"/>
              <w:jc w:val="center"/>
              <w:rPr>
                <w:rFonts w:ascii="仿宋_GB2312" w:hAnsi="仿宋_GB2312" w:eastAsia="仿宋_GB2312" w:cs="仿宋_GB2312"/>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AB1E2">
            <w:pPr>
              <w:widowControl/>
              <w:spacing w:line="32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生态益指标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371FE">
            <w:pPr>
              <w:widowControl/>
              <w:spacing w:line="320" w:lineRule="exact"/>
              <w:jc w:val="center"/>
              <w:textAlignment w:val="bottom"/>
              <w:rPr>
                <w:rFonts w:ascii="仿宋_GB2312" w:hAnsi="仿宋_GB2312" w:eastAsia="仿宋_GB2312" w:cs="仿宋_GB2312"/>
                <w:sz w:val="28"/>
                <w:szCs w:val="2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401AB">
            <w:pPr>
              <w:widowControl/>
              <w:spacing w:line="320" w:lineRule="exact"/>
              <w:jc w:val="center"/>
              <w:textAlignment w:val="bottom"/>
              <w:rPr>
                <w:rFonts w:ascii="仿宋_GB2312" w:hAnsi="仿宋_GB2312" w:eastAsia="仿宋_GB2312" w:cs="仿宋_GB2312"/>
                <w:sz w:val="28"/>
                <w:szCs w:val="2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9F152">
            <w:pPr>
              <w:widowControl/>
              <w:spacing w:line="320" w:lineRule="exact"/>
              <w:jc w:val="center"/>
              <w:textAlignment w:val="bottom"/>
              <w:rPr>
                <w:rFonts w:ascii="仿宋_GB2312" w:hAnsi="仿宋_GB2312" w:eastAsia="仿宋_GB2312" w:cs="仿宋_GB2312"/>
                <w:sz w:val="28"/>
                <w:szCs w:val="28"/>
              </w:rPr>
            </w:pPr>
          </w:p>
        </w:tc>
      </w:tr>
      <w:tr w14:paraId="74951823">
        <w:tblPrEx>
          <w:tblCellMar>
            <w:top w:w="0" w:type="dxa"/>
            <w:left w:w="108" w:type="dxa"/>
            <w:bottom w:w="0" w:type="dxa"/>
            <w:right w:w="108" w:type="dxa"/>
          </w:tblCellMar>
        </w:tblPrEx>
        <w:trPr>
          <w:gridAfter w:val="1"/>
          <w:wAfter w:w="234" w:type="dxa"/>
          <w:trHeight w:val="480" w:hRule="atLeast"/>
        </w:trPr>
        <w:tc>
          <w:tcPr>
            <w:tcW w:w="946" w:type="dxa"/>
            <w:vMerge w:val="continue"/>
            <w:tcBorders>
              <w:left w:val="single" w:color="000000" w:sz="4" w:space="0"/>
              <w:right w:val="single" w:color="000000" w:sz="4" w:space="0"/>
            </w:tcBorders>
            <w:shd w:val="clear" w:color="auto" w:fill="auto"/>
            <w:vAlign w:val="center"/>
          </w:tcPr>
          <w:p w14:paraId="1D208E21">
            <w:pPr>
              <w:spacing w:line="320" w:lineRule="exact"/>
              <w:jc w:val="center"/>
              <w:rPr>
                <w:rFonts w:ascii="仿宋_GB2312" w:hAnsi="仿宋_GB2312" w:eastAsia="仿宋_GB2312" w:cs="仿宋_GB2312"/>
                <w:sz w:val="28"/>
                <w:szCs w:val="2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F63062">
            <w:pPr>
              <w:spacing w:line="320" w:lineRule="exact"/>
              <w:jc w:val="center"/>
              <w:rPr>
                <w:rFonts w:ascii="仿宋_GB2312" w:hAnsi="仿宋_GB2312" w:eastAsia="仿宋_GB2312" w:cs="仿宋_GB2312"/>
                <w:sz w:val="28"/>
                <w:szCs w:val="2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88AF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 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95501">
            <w:pPr>
              <w:widowControl/>
              <w:spacing w:line="320" w:lineRule="exact"/>
              <w:jc w:val="center"/>
              <w:textAlignment w:val="bottom"/>
              <w:rPr>
                <w:rFonts w:ascii="仿宋_GB2312" w:hAnsi="仿宋_GB2312" w:eastAsia="仿宋_GB2312" w:cs="仿宋_GB2312"/>
                <w:sz w:val="28"/>
                <w:szCs w:val="2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85793">
            <w:pPr>
              <w:widowControl/>
              <w:spacing w:line="320" w:lineRule="exact"/>
              <w:jc w:val="center"/>
              <w:textAlignment w:val="bottom"/>
              <w:rPr>
                <w:rFonts w:ascii="仿宋_GB2312" w:hAnsi="仿宋_GB2312" w:eastAsia="仿宋_GB2312" w:cs="仿宋_GB2312"/>
                <w:sz w:val="28"/>
                <w:szCs w:val="28"/>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BB465">
            <w:pPr>
              <w:widowControl/>
              <w:spacing w:line="320" w:lineRule="exact"/>
              <w:jc w:val="center"/>
              <w:textAlignment w:val="bottom"/>
              <w:rPr>
                <w:rFonts w:ascii="仿宋_GB2312" w:hAnsi="仿宋_GB2312" w:eastAsia="仿宋_GB2312" w:cs="仿宋_GB2312"/>
                <w:sz w:val="28"/>
                <w:szCs w:val="28"/>
              </w:rPr>
            </w:pPr>
          </w:p>
        </w:tc>
      </w:tr>
      <w:tr w14:paraId="47854FD5">
        <w:tblPrEx>
          <w:tblCellMar>
            <w:top w:w="0" w:type="dxa"/>
            <w:left w:w="108" w:type="dxa"/>
            <w:bottom w:w="0" w:type="dxa"/>
            <w:right w:w="108" w:type="dxa"/>
          </w:tblCellMar>
        </w:tblPrEx>
        <w:trPr>
          <w:gridAfter w:val="1"/>
          <w:wAfter w:w="234" w:type="dxa"/>
          <w:trHeight w:val="530" w:hRule="atLeast"/>
        </w:trPr>
        <w:tc>
          <w:tcPr>
            <w:tcW w:w="946" w:type="dxa"/>
            <w:vMerge w:val="continue"/>
            <w:tcBorders>
              <w:left w:val="single" w:color="000000" w:sz="4" w:space="0"/>
              <w:bottom w:val="single" w:color="000000" w:sz="4" w:space="0"/>
              <w:right w:val="single" w:color="000000" w:sz="4" w:space="0"/>
            </w:tcBorders>
            <w:shd w:val="clear" w:color="auto" w:fill="auto"/>
            <w:vAlign w:val="center"/>
          </w:tcPr>
          <w:p w14:paraId="4F0C6635">
            <w:pPr>
              <w:spacing w:line="320" w:lineRule="exact"/>
              <w:jc w:val="center"/>
              <w:rPr>
                <w:rFonts w:ascii="仿宋_GB2312" w:hAnsi="仿宋_GB2312" w:eastAsia="仿宋_GB2312" w:cs="仿宋_GB2312"/>
                <w:sz w:val="28"/>
                <w:szCs w:val="28"/>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DCB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A504A">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14:paraId="5FAAA9D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839DA">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满意度评价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E5119">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被援助单位评价满意</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A542E">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color w:val="000000"/>
                <w:sz w:val="24"/>
              </w:rPr>
              <w:t>已得到被援助地满意评价</w:t>
            </w:r>
          </w:p>
        </w:tc>
      </w:tr>
    </w:tbl>
    <w:p w14:paraId="75AF0139">
      <w:pPr>
        <w:spacing w:line="600" w:lineRule="exact"/>
        <w:outlineLvl w:val="0"/>
        <w:rPr>
          <w:rFonts w:ascii="宋体" w:hAnsi="宋体" w:cs="宋体"/>
          <w:b/>
          <w:sz w:val="32"/>
          <w:szCs w:val="32"/>
        </w:rPr>
      </w:pPr>
    </w:p>
    <w:p w14:paraId="0DD5CC8D">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2"/>
      <w:bookmarkStart w:id="54" w:name="_Toc15396619"/>
    </w:p>
    <w:p w14:paraId="04461B7A">
      <w:pPr>
        <w:pStyle w:val="4"/>
        <w:spacing w:line="500" w:lineRule="exact"/>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14:paraId="66E319FE">
      <w:pPr>
        <w:pStyle w:val="4"/>
        <w:spacing w:line="500" w:lineRule="exact"/>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14:paraId="10EA6012">
      <w:pPr>
        <w:pStyle w:val="4"/>
        <w:spacing w:line="500" w:lineRule="exact"/>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14:paraId="0E0B4C39">
      <w:pPr>
        <w:pStyle w:val="4"/>
        <w:spacing w:line="500" w:lineRule="exact"/>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14:paraId="5B02B1AA">
      <w:pPr>
        <w:pStyle w:val="4"/>
        <w:spacing w:line="500" w:lineRule="exact"/>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14:paraId="19BC709E">
      <w:pPr>
        <w:pStyle w:val="4"/>
        <w:spacing w:line="500" w:lineRule="exact"/>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14:paraId="2A1F5123">
      <w:pPr>
        <w:pStyle w:val="4"/>
        <w:spacing w:line="500" w:lineRule="exact"/>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14:paraId="56B8EE92">
      <w:pPr>
        <w:pStyle w:val="4"/>
        <w:spacing w:line="500" w:lineRule="exact"/>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14:paraId="464B2078">
      <w:pPr>
        <w:pStyle w:val="4"/>
        <w:spacing w:line="500" w:lineRule="exact"/>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14:paraId="4973811C">
      <w:pPr>
        <w:pStyle w:val="4"/>
        <w:spacing w:line="500" w:lineRule="exact"/>
        <w:rPr>
          <w:rFonts w:ascii="仿宋" w:hAnsi="仿宋" w:eastAsia="仿宋"/>
        </w:rPr>
      </w:pPr>
      <w:bookmarkStart w:id="6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3"/>
    </w:p>
    <w:p w14:paraId="59511E63">
      <w:pPr>
        <w:pStyle w:val="4"/>
        <w:spacing w:line="500" w:lineRule="exact"/>
        <w:rPr>
          <w:rFonts w:ascii="仿宋" w:hAnsi="仿宋" w:eastAsia="仿宋"/>
        </w:rPr>
      </w:pPr>
      <w:bookmarkStart w:id="6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4"/>
      <w:r>
        <w:rPr>
          <w:rStyle w:val="25"/>
          <w:rFonts w:hint="eastAsia" w:ascii="仿宋" w:hAnsi="仿宋" w:eastAsia="仿宋"/>
          <w:b w:val="0"/>
          <w:bCs w:val="0"/>
        </w:rPr>
        <w:t>（此表无数据）</w:t>
      </w:r>
    </w:p>
    <w:p w14:paraId="1046DBFB">
      <w:pPr>
        <w:pStyle w:val="4"/>
        <w:spacing w:line="500" w:lineRule="exact"/>
        <w:rPr>
          <w:rFonts w:ascii="仿宋" w:hAnsi="仿宋" w:eastAsia="仿宋"/>
        </w:rPr>
      </w:pPr>
      <w:bookmarkStart w:id="6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5"/>
      <w:r>
        <w:rPr>
          <w:rStyle w:val="25"/>
          <w:rFonts w:hint="eastAsia" w:ascii="仿宋" w:hAnsi="仿宋" w:eastAsia="仿宋"/>
          <w:b w:val="0"/>
          <w:bCs w:val="0"/>
        </w:rPr>
        <w:t>（此表无数据）</w:t>
      </w:r>
    </w:p>
    <w:p w14:paraId="733BB76D">
      <w:pPr>
        <w:pStyle w:val="4"/>
        <w:spacing w:line="500" w:lineRule="exact"/>
        <w:rPr>
          <w:rStyle w:val="25"/>
          <w:rFonts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6"/>
      <w:r>
        <w:rPr>
          <w:rStyle w:val="25"/>
          <w:rFonts w:hint="eastAsia" w:ascii="仿宋" w:hAnsi="仿宋" w:eastAsia="仿宋"/>
          <w:b w:val="0"/>
          <w:bCs w:val="0"/>
        </w:rPr>
        <w:t>（此表无数据）</w:t>
      </w:r>
    </w:p>
    <w:p w14:paraId="7A01B45A">
      <w:pPr>
        <w:spacing w:line="500" w:lineRule="exact"/>
        <w:rPr>
          <w:rFonts w:eastAsia="仿宋"/>
        </w:rPr>
      </w:pPr>
      <w:r>
        <w:rPr>
          <w:rStyle w:val="25"/>
          <w:rFonts w:hint="eastAsia" w:ascii="仿宋" w:hAnsi="仿宋" w:eastAsia="仿宋"/>
          <w:b w:val="0"/>
          <w:bCs w:val="0"/>
        </w:rPr>
        <w:t>十四、国有资本经营预算财政拨款支出决算表</w:t>
      </w:r>
      <w:r>
        <w:rPr>
          <w:rStyle w:val="25"/>
          <w:rFonts w:hint="eastAsia" w:ascii="仿宋" w:hAnsi="仿宋" w:eastAsia="仿宋"/>
          <w:b w:val="0"/>
        </w:rPr>
        <w:t>（此表无数据）</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632687B">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14:paraId="0347639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9D3E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zdhMTE3ZWNkNjE2NGI5MmJjOGE2Y2RmNTc0M2YifQ=="/>
  </w:docVars>
  <w:rsids>
    <w:rsidRoot w:val="00F1361C"/>
    <w:rsid w:val="000222C6"/>
    <w:rsid w:val="0002549F"/>
    <w:rsid w:val="0003646E"/>
    <w:rsid w:val="000468DB"/>
    <w:rsid w:val="0006487A"/>
    <w:rsid w:val="00065F8F"/>
    <w:rsid w:val="00070A43"/>
    <w:rsid w:val="000768F2"/>
    <w:rsid w:val="00087E1C"/>
    <w:rsid w:val="0009184B"/>
    <w:rsid w:val="00094236"/>
    <w:rsid w:val="0009593C"/>
    <w:rsid w:val="00097322"/>
    <w:rsid w:val="000A0038"/>
    <w:rsid w:val="000A6A92"/>
    <w:rsid w:val="000B047F"/>
    <w:rsid w:val="000B09C9"/>
    <w:rsid w:val="000B5923"/>
    <w:rsid w:val="000B5A48"/>
    <w:rsid w:val="000B6FF3"/>
    <w:rsid w:val="000C3467"/>
    <w:rsid w:val="000C3CA6"/>
    <w:rsid w:val="000D1267"/>
    <w:rsid w:val="000D1D50"/>
    <w:rsid w:val="000D5782"/>
    <w:rsid w:val="000D69BD"/>
    <w:rsid w:val="000E6613"/>
    <w:rsid w:val="000E7119"/>
    <w:rsid w:val="001011AE"/>
    <w:rsid w:val="00114E9B"/>
    <w:rsid w:val="00117DD2"/>
    <w:rsid w:val="00142216"/>
    <w:rsid w:val="00143137"/>
    <w:rsid w:val="00144D6A"/>
    <w:rsid w:val="0014729F"/>
    <w:rsid w:val="00157BAB"/>
    <w:rsid w:val="0016026F"/>
    <w:rsid w:val="001654D1"/>
    <w:rsid w:val="00174518"/>
    <w:rsid w:val="0018106D"/>
    <w:rsid w:val="001877A7"/>
    <w:rsid w:val="00191536"/>
    <w:rsid w:val="00196687"/>
    <w:rsid w:val="001A7635"/>
    <w:rsid w:val="001A7E79"/>
    <w:rsid w:val="001C0962"/>
    <w:rsid w:val="001D7531"/>
    <w:rsid w:val="001E737D"/>
    <w:rsid w:val="001F0592"/>
    <w:rsid w:val="001F5A0F"/>
    <w:rsid w:val="001F7506"/>
    <w:rsid w:val="002001F5"/>
    <w:rsid w:val="002006CD"/>
    <w:rsid w:val="00202B36"/>
    <w:rsid w:val="00204B7A"/>
    <w:rsid w:val="00204CDE"/>
    <w:rsid w:val="0021101A"/>
    <w:rsid w:val="00220536"/>
    <w:rsid w:val="00235629"/>
    <w:rsid w:val="002375C4"/>
    <w:rsid w:val="00247FAB"/>
    <w:rsid w:val="00256877"/>
    <w:rsid w:val="00260C38"/>
    <w:rsid w:val="002616C0"/>
    <w:rsid w:val="00262B4F"/>
    <w:rsid w:val="00265372"/>
    <w:rsid w:val="002662AA"/>
    <w:rsid w:val="00280496"/>
    <w:rsid w:val="00294DC9"/>
    <w:rsid w:val="00295495"/>
    <w:rsid w:val="002A31DE"/>
    <w:rsid w:val="002B2613"/>
    <w:rsid w:val="002D6D05"/>
    <w:rsid w:val="002D7F1C"/>
    <w:rsid w:val="002F1818"/>
    <w:rsid w:val="002F333D"/>
    <w:rsid w:val="002F37A0"/>
    <w:rsid w:val="002F567B"/>
    <w:rsid w:val="003216A9"/>
    <w:rsid w:val="00327D28"/>
    <w:rsid w:val="00335A74"/>
    <w:rsid w:val="0036561B"/>
    <w:rsid w:val="00365DE3"/>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2596"/>
    <w:rsid w:val="003E6F55"/>
    <w:rsid w:val="003F4414"/>
    <w:rsid w:val="00406254"/>
    <w:rsid w:val="004223DE"/>
    <w:rsid w:val="00434489"/>
    <w:rsid w:val="00437085"/>
    <w:rsid w:val="00443880"/>
    <w:rsid w:val="004464F4"/>
    <w:rsid w:val="0045687F"/>
    <w:rsid w:val="00471401"/>
    <w:rsid w:val="00473F31"/>
    <w:rsid w:val="0048263A"/>
    <w:rsid w:val="00487E5D"/>
    <w:rsid w:val="004924E5"/>
    <w:rsid w:val="00497D1A"/>
    <w:rsid w:val="004A711F"/>
    <w:rsid w:val="004B199D"/>
    <w:rsid w:val="004B4690"/>
    <w:rsid w:val="004E037B"/>
    <w:rsid w:val="004E0A2D"/>
    <w:rsid w:val="004E206B"/>
    <w:rsid w:val="004E6DF7"/>
    <w:rsid w:val="004F0FBD"/>
    <w:rsid w:val="00505A47"/>
    <w:rsid w:val="00512FDA"/>
    <w:rsid w:val="00516908"/>
    <w:rsid w:val="00520DA0"/>
    <w:rsid w:val="005664BB"/>
    <w:rsid w:val="00566FFA"/>
    <w:rsid w:val="0057481D"/>
    <w:rsid w:val="00581DFD"/>
    <w:rsid w:val="0058486E"/>
    <w:rsid w:val="00585B33"/>
    <w:rsid w:val="0059014D"/>
    <w:rsid w:val="005B5C64"/>
    <w:rsid w:val="005C2A92"/>
    <w:rsid w:val="005C5337"/>
    <w:rsid w:val="005C6BD0"/>
    <w:rsid w:val="005D0793"/>
    <w:rsid w:val="005D1C8B"/>
    <w:rsid w:val="005D468D"/>
    <w:rsid w:val="005D5CED"/>
    <w:rsid w:val="005F1A4C"/>
    <w:rsid w:val="00605688"/>
    <w:rsid w:val="006070AF"/>
    <w:rsid w:val="00607E6C"/>
    <w:rsid w:val="006101B1"/>
    <w:rsid w:val="00614E44"/>
    <w:rsid w:val="006172ED"/>
    <w:rsid w:val="0062270A"/>
    <w:rsid w:val="00622830"/>
    <w:rsid w:val="00623DA0"/>
    <w:rsid w:val="00630AEF"/>
    <w:rsid w:val="006325F8"/>
    <w:rsid w:val="00633463"/>
    <w:rsid w:val="00634C9A"/>
    <w:rsid w:val="0064274C"/>
    <w:rsid w:val="006440E4"/>
    <w:rsid w:val="00645AAF"/>
    <w:rsid w:val="0066343B"/>
    <w:rsid w:val="00664777"/>
    <w:rsid w:val="00671649"/>
    <w:rsid w:val="006748A4"/>
    <w:rsid w:val="00681A31"/>
    <w:rsid w:val="00683E73"/>
    <w:rsid w:val="00687346"/>
    <w:rsid w:val="00696DD9"/>
    <w:rsid w:val="006A3141"/>
    <w:rsid w:val="006A5E34"/>
    <w:rsid w:val="006B2422"/>
    <w:rsid w:val="006B2B9A"/>
    <w:rsid w:val="006C1937"/>
    <w:rsid w:val="006F020C"/>
    <w:rsid w:val="007127B7"/>
    <w:rsid w:val="0071798E"/>
    <w:rsid w:val="0072640A"/>
    <w:rsid w:val="007416B6"/>
    <w:rsid w:val="00746F48"/>
    <w:rsid w:val="0075404D"/>
    <w:rsid w:val="0076182A"/>
    <w:rsid w:val="00767B7E"/>
    <w:rsid w:val="007770C3"/>
    <w:rsid w:val="00784D24"/>
    <w:rsid w:val="00785FBA"/>
    <w:rsid w:val="00786E4A"/>
    <w:rsid w:val="007875EB"/>
    <w:rsid w:val="0079426B"/>
    <w:rsid w:val="007B3FE7"/>
    <w:rsid w:val="007D1682"/>
    <w:rsid w:val="007D312A"/>
    <w:rsid w:val="007D3F19"/>
    <w:rsid w:val="007E23B0"/>
    <w:rsid w:val="007E23E5"/>
    <w:rsid w:val="007F1991"/>
    <w:rsid w:val="007F2C2F"/>
    <w:rsid w:val="007F55FC"/>
    <w:rsid w:val="007F5665"/>
    <w:rsid w:val="00800112"/>
    <w:rsid w:val="00800760"/>
    <w:rsid w:val="00813348"/>
    <w:rsid w:val="008253BB"/>
    <w:rsid w:val="008366CB"/>
    <w:rsid w:val="0083706E"/>
    <w:rsid w:val="008408F6"/>
    <w:rsid w:val="00841F8C"/>
    <w:rsid w:val="008423A5"/>
    <w:rsid w:val="00850625"/>
    <w:rsid w:val="00853718"/>
    <w:rsid w:val="00855221"/>
    <w:rsid w:val="00860645"/>
    <w:rsid w:val="00871F71"/>
    <w:rsid w:val="00872FD8"/>
    <w:rsid w:val="008847FC"/>
    <w:rsid w:val="00885AF4"/>
    <w:rsid w:val="008939CD"/>
    <w:rsid w:val="00897033"/>
    <w:rsid w:val="0089772A"/>
    <w:rsid w:val="008A793D"/>
    <w:rsid w:val="008B768C"/>
    <w:rsid w:val="008C4DB1"/>
    <w:rsid w:val="008C4EAF"/>
    <w:rsid w:val="008C5176"/>
    <w:rsid w:val="008C7FD0"/>
    <w:rsid w:val="008E1DE7"/>
    <w:rsid w:val="008E707C"/>
    <w:rsid w:val="00900B08"/>
    <w:rsid w:val="00902155"/>
    <w:rsid w:val="00902FA3"/>
    <w:rsid w:val="00923564"/>
    <w:rsid w:val="0092392E"/>
    <w:rsid w:val="009315F9"/>
    <w:rsid w:val="00932596"/>
    <w:rsid w:val="00933499"/>
    <w:rsid w:val="00935C98"/>
    <w:rsid w:val="00946945"/>
    <w:rsid w:val="00950098"/>
    <w:rsid w:val="00951248"/>
    <w:rsid w:val="0095152F"/>
    <w:rsid w:val="00954C49"/>
    <w:rsid w:val="00955E37"/>
    <w:rsid w:val="0097099F"/>
    <w:rsid w:val="00971997"/>
    <w:rsid w:val="00971FFC"/>
    <w:rsid w:val="0098332B"/>
    <w:rsid w:val="0098660A"/>
    <w:rsid w:val="009931C3"/>
    <w:rsid w:val="009B2C43"/>
    <w:rsid w:val="009B4810"/>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4082"/>
    <w:rsid w:val="00A40A00"/>
    <w:rsid w:val="00A4142F"/>
    <w:rsid w:val="00A422EB"/>
    <w:rsid w:val="00A45BB7"/>
    <w:rsid w:val="00A56DF2"/>
    <w:rsid w:val="00A56E6E"/>
    <w:rsid w:val="00A67AB5"/>
    <w:rsid w:val="00A733B2"/>
    <w:rsid w:val="00A741C2"/>
    <w:rsid w:val="00A91760"/>
    <w:rsid w:val="00A93B00"/>
    <w:rsid w:val="00A93C21"/>
    <w:rsid w:val="00AA5E64"/>
    <w:rsid w:val="00AB64C9"/>
    <w:rsid w:val="00AC3C6A"/>
    <w:rsid w:val="00AD5620"/>
    <w:rsid w:val="00AD656B"/>
    <w:rsid w:val="00AD7C1B"/>
    <w:rsid w:val="00AE16BA"/>
    <w:rsid w:val="00AE1EBE"/>
    <w:rsid w:val="00AE489F"/>
    <w:rsid w:val="00B03C9D"/>
    <w:rsid w:val="00B060AE"/>
    <w:rsid w:val="00B10517"/>
    <w:rsid w:val="00B14E76"/>
    <w:rsid w:val="00B161B8"/>
    <w:rsid w:val="00B2048C"/>
    <w:rsid w:val="00B310B9"/>
    <w:rsid w:val="00B35F3F"/>
    <w:rsid w:val="00B36CBB"/>
    <w:rsid w:val="00B40A49"/>
    <w:rsid w:val="00B425E0"/>
    <w:rsid w:val="00B440AA"/>
    <w:rsid w:val="00B44B70"/>
    <w:rsid w:val="00B50358"/>
    <w:rsid w:val="00B53C56"/>
    <w:rsid w:val="00B57DAF"/>
    <w:rsid w:val="00B77EA6"/>
    <w:rsid w:val="00B81598"/>
    <w:rsid w:val="00B841F1"/>
    <w:rsid w:val="00B944D6"/>
    <w:rsid w:val="00BB4DF0"/>
    <w:rsid w:val="00BC289F"/>
    <w:rsid w:val="00BC2D50"/>
    <w:rsid w:val="00BC5361"/>
    <w:rsid w:val="00BC5460"/>
    <w:rsid w:val="00BC6B50"/>
    <w:rsid w:val="00BD0E25"/>
    <w:rsid w:val="00BE2301"/>
    <w:rsid w:val="00BE628B"/>
    <w:rsid w:val="00BF287B"/>
    <w:rsid w:val="00BF5BD6"/>
    <w:rsid w:val="00C03985"/>
    <w:rsid w:val="00C03E31"/>
    <w:rsid w:val="00C06B8F"/>
    <w:rsid w:val="00C21A31"/>
    <w:rsid w:val="00C33A1F"/>
    <w:rsid w:val="00C33E72"/>
    <w:rsid w:val="00C354B2"/>
    <w:rsid w:val="00C35554"/>
    <w:rsid w:val="00C42709"/>
    <w:rsid w:val="00C51284"/>
    <w:rsid w:val="00C533CC"/>
    <w:rsid w:val="00C5751C"/>
    <w:rsid w:val="00C61BFC"/>
    <w:rsid w:val="00C62B85"/>
    <w:rsid w:val="00C65438"/>
    <w:rsid w:val="00C87FD8"/>
    <w:rsid w:val="00C91381"/>
    <w:rsid w:val="00C91CBB"/>
    <w:rsid w:val="00C9365A"/>
    <w:rsid w:val="00CA6D80"/>
    <w:rsid w:val="00CB4E70"/>
    <w:rsid w:val="00CB7373"/>
    <w:rsid w:val="00CC09B6"/>
    <w:rsid w:val="00CC666F"/>
    <w:rsid w:val="00CD1E3F"/>
    <w:rsid w:val="00CE44F6"/>
    <w:rsid w:val="00CE49DA"/>
    <w:rsid w:val="00CE7B61"/>
    <w:rsid w:val="00CF0A01"/>
    <w:rsid w:val="00D00095"/>
    <w:rsid w:val="00D114F0"/>
    <w:rsid w:val="00D20620"/>
    <w:rsid w:val="00D254F7"/>
    <w:rsid w:val="00D26091"/>
    <w:rsid w:val="00D2685C"/>
    <w:rsid w:val="00D34885"/>
    <w:rsid w:val="00D34E7C"/>
    <w:rsid w:val="00D35489"/>
    <w:rsid w:val="00D36AFE"/>
    <w:rsid w:val="00D36FE4"/>
    <w:rsid w:val="00D51276"/>
    <w:rsid w:val="00D7035F"/>
    <w:rsid w:val="00DA634F"/>
    <w:rsid w:val="00DA65AC"/>
    <w:rsid w:val="00DA7384"/>
    <w:rsid w:val="00DB1913"/>
    <w:rsid w:val="00DB2A0C"/>
    <w:rsid w:val="00DC410D"/>
    <w:rsid w:val="00DC5A81"/>
    <w:rsid w:val="00DC68CA"/>
    <w:rsid w:val="00DC7CBA"/>
    <w:rsid w:val="00DD73B7"/>
    <w:rsid w:val="00DF28BC"/>
    <w:rsid w:val="00DF34B9"/>
    <w:rsid w:val="00E01053"/>
    <w:rsid w:val="00E02788"/>
    <w:rsid w:val="00E07ACF"/>
    <w:rsid w:val="00E331A1"/>
    <w:rsid w:val="00E33202"/>
    <w:rsid w:val="00E336A9"/>
    <w:rsid w:val="00E472B1"/>
    <w:rsid w:val="00E4777A"/>
    <w:rsid w:val="00E50624"/>
    <w:rsid w:val="00E568DF"/>
    <w:rsid w:val="00E64269"/>
    <w:rsid w:val="00E718D0"/>
    <w:rsid w:val="00E82267"/>
    <w:rsid w:val="00E853CE"/>
    <w:rsid w:val="00E867B6"/>
    <w:rsid w:val="00EA010F"/>
    <w:rsid w:val="00ED1B63"/>
    <w:rsid w:val="00ED3C1F"/>
    <w:rsid w:val="00ED4085"/>
    <w:rsid w:val="00ED420E"/>
    <w:rsid w:val="00ED6FBE"/>
    <w:rsid w:val="00EE2F57"/>
    <w:rsid w:val="00EF4C34"/>
    <w:rsid w:val="00EF5418"/>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BDD"/>
    <w:rsid w:val="00FA23E8"/>
    <w:rsid w:val="00FD3CC1"/>
    <w:rsid w:val="00FE59BC"/>
    <w:rsid w:val="00FF1E02"/>
    <w:rsid w:val="00FF30B4"/>
    <w:rsid w:val="0A2032A3"/>
    <w:rsid w:val="0B8A37D8"/>
    <w:rsid w:val="0C6371CF"/>
    <w:rsid w:val="10C055FF"/>
    <w:rsid w:val="118107EC"/>
    <w:rsid w:val="118C3F62"/>
    <w:rsid w:val="11DD6519"/>
    <w:rsid w:val="12E74947"/>
    <w:rsid w:val="16BB723D"/>
    <w:rsid w:val="18015F3F"/>
    <w:rsid w:val="1BE8440E"/>
    <w:rsid w:val="1D155CEE"/>
    <w:rsid w:val="1F98786B"/>
    <w:rsid w:val="20F57F95"/>
    <w:rsid w:val="240371BF"/>
    <w:rsid w:val="25C741E6"/>
    <w:rsid w:val="25CD3F04"/>
    <w:rsid w:val="27842671"/>
    <w:rsid w:val="29FD04D3"/>
    <w:rsid w:val="2ABE7A3E"/>
    <w:rsid w:val="2EFA178C"/>
    <w:rsid w:val="30B46D73"/>
    <w:rsid w:val="319F7F4E"/>
    <w:rsid w:val="3372744D"/>
    <w:rsid w:val="34C8039D"/>
    <w:rsid w:val="357B43B6"/>
    <w:rsid w:val="35DC7E3B"/>
    <w:rsid w:val="39AE70AB"/>
    <w:rsid w:val="3C0C0783"/>
    <w:rsid w:val="3C161352"/>
    <w:rsid w:val="3F9F3A96"/>
    <w:rsid w:val="3FA97363"/>
    <w:rsid w:val="4142016C"/>
    <w:rsid w:val="46D86856"/>
    <w:rsid w:val="493C27E9"/>
    <w:rsid w:val="496F39ED"/>
    <w:rsid w:val="49FF41D3"/>
    <w:rsid w:val="4BE068DB"/>
    <w:rsid w:val="4BF6002B"/>
    <w:rsid w:val="4ECE2238"/>
    <w:rsid w:val="51DB4B86"/>
    <w:rsid w:val="55333C3E"/>
    <w:rsid w:val="5DD9115F"/>
    <w:rsid w:val="5F943403"/>
    <w:rsid w:val="62C23835"/>
    <w:rsid w:val="64CA39A1"/>
    <w:rsid w:val="6BF3491C"/>
    <w:rsid w:val="6C4A05C8"/>
    <w:rsid w:val="6EE81806"/>
    <w:rsid w:val="72734D90"/>
    <w:rsid w:val="73817F5F"/>
    <w:rsid w:val="73F73D9C"/>
    <w:rsid w:val="79E7B28D"/>
    <w:rsid w:val="7B5B6574"/>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69364824582"/>
          <c:y val="0.172601298017892"/>
          <c:w val="0.512166934189406"/>
          <c:h val="0.66509735134187"/>
        </c:manualLayout>
      </c:layout>
      <c:barChart>
        <c:barDir val="col"/>
        <c:grouping val="clustered"/>
        <c:varyColors val="0"/>
        <c:ser>
          <c:idx val="0"/>
          <c:order val="0"/>
          <c:tx>
            <c:strRef>
              <c:f>Sheet1!$A$2</c:f>
              <c:strCache>
                <c:ptCount val="1"/>
                <c:pt idx="0">
                  <c:v>收、支总计</c:v>
                </c:pt>
              </c:strCache>
            </c:strRef>
          </c:tx>
          <c:spPr>
            <a:solidFill>
              <a:srgbClr val="9999FF"/>
            </a:solidFill>
            <a:ln w="12659">
              <a:solidFill>
                <a:srgbClr val="000000"/>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94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3"/>
                <c:pt idx="0">
                  <c:v>2020年</c:v>
                </c:pt>
                <c:pt idx="2">
                  <c:v>2021年</c:v>
                </c:pt>
              </c:strCache>
            </c:strRef>
          </c:cat>
          <c:val>
            <c:numRef>
              <c:f>Sheet1!$B$2:$E$2</c:f>
              <c:numCache>
                <c:formatCode>General</c:formatCode>
                <c:ptCount val="4"/>
                <c:pt idx="0">
                  <c:v>7713.58</c:v>
                </c:pt>
                <c:pt idx="2">
                  <c:v>7729.47</c:v>
                </c:pt>
              </c:numCache>
            </c:numRef>
          </c:val>
        </c:ser>
        <c:ser>
          <c:idx val="1"/>
          <c:order val="1"/>
          <c:tx>
            <c:strRef>
              <c:f>Sheet1!$A$3</c:f>
              <c:strCache>
                <c:ptCount val="1"/>
                <c:pt idx="0">
                  <c:v/>
                </c:pt>
              </c:strCache>
            </c:strRef>
          </c:tx>
          <c:spPr>
            <a:solidFill>
              <a:srgbClr val="993366"/>
            </a:solidFill>
            <a:ln w="12659">
              <a:solidFill>
                <a:srgbClr val="000000"/>
              </a:solidFill>
              <a:prstDash val="solid"/>
            </a:ln>
          </c:spPr>
          <c:invertIfNegative val="0"/>
          <c:dLbls>
            <c:delete val="1"/>
          </c:dLbls>
          <c:cat>
            <c:strRef>
              <c:f>Sheet1!$B$1:$E$1</c:f>
              <c:strCache>
                <c:ptCount val="3"/>
                <c:pt idx="0">
                  <c:v>2020年</c:v>
                </c:pt>
                <c:pt idx="2">
                  <c:v>2021年</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659">
              <a:solidFill>
                <a:srgbClr val="000000"/>
              </a:solidFill>
              <a:prstDash val="solid"/>
            </a:ln>
          </c:spPr>
          <c:invertIfNegative val="0"/>
          <c:dLbls>
            <c:delete val="1"/>
          </c:dLbls>
          <c:cat>
            <c:strRef>
              <c:f>Sheet1!$B$1:$E$1</c:f>
              <c:strCache>
                <c:ptCount val="3"/>
                <c:pt idx="0">
                  <c:v>2020年</c:v>
                </c:pt>
                <c:pt idx="2">
                  <c:v>2021年</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axId val="157901568"/>
        <c:axId val="157903104"/>
      </c:barChart>
      <c:catAx>
        <c:axId val="157901568"/>
        <c:scaling>
          <c:orientation val="minMax"/>
        </c:scaling>
        <c:delete val="0"/>
        <c:axPos val="b"/>
        <c:numFmt formatCode="General" sourceLinked="1"/>
        <c:majorTickMark val="in"/>
        <c:minorTickMark val="none"/>
        <c:tickLblPos val="low"/>
        <c:spPr>
          <a:ln w="3165" cap="flat" cmpd="sng" algn="ctr">
            <a:solidFill>
              <a:srgbClr val="000000"/>
            </a:solidFill>
            <a:prstDash val="solid"/>
            <a:round/>
          </a:ln>
        </c:spPr>
        <c:txPr>
          <a:bodyPr rot="0" spcFirstLastPara="0" vertOverflow="ellipsis" vert="horz" wrap="square" anchor="ctr" anchorCtr="1"/>
          <a:lstStyle/>
          <a:p>
            <a:pPr>
              <a:defRPr lang="zh-CN" sz="7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7903104"/>
        <c:crosses val="autoZero"/>
        <c:auto val="1"/>
        <c:lblAlgn val="ctr"/>
        <c:lblOffset val="100"/>
        <c:tickLblSkip val="1"/>
        <c:noMultiLvlLbl val="0"/>
      </c:catAx>
      <c:valAx>
        <c:axId val="157903104"/>
        <c:scaling>
          <c:orientation val="minMax"/>
        </c:scaling>
        <c:delete val="0"/>
        <c:axPos val="l"/>
        <c:majorGridlines>
          <c:spPr>
            <a:ln w="3165" cap="flat" cmpd="sng" algn="ctr">
              <a:solidFill>
                <a:srgbClr val="000000"/>
              </a:solidFill>
              <a:prstDash val="solid"/>
              <a:round/>
            </a:ln>
          </c:spPr>
        </c:majorGridlines>
        <c:numFmt formatCode="General" sourceLinked="1"/>
        <c:majorTickMark val="in"/>
        <c:minorTickMark val="none"/>
        <c:tickLblPos val="nextTo"/>
        <c:spPr>
          <a:ln w="3165" cap="flat" cmpd="sng" algn="ctr">
            <a:solidFill>
              <a:srgbClr val="000000"/>
            </a:solidFill>
            <a:prstDash val="solid"/>
            <a:round/>
          </a:ln>
        </c:spPr>
        <c:txPr>
          <a:bodyPr rot="0" spcFirstLastPara="0" vertOverflow="ellipsis" vert="horz" wrap="square" anchor="ctr" anchorCtr="1"/>
          <a:lstStyle/>
          <a:p>
            <a:pPr>
              <a:defRPr lang="zh-CN" sz="94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7901568"/>
        <c:crosses val="autoZero"/>
        <c:crossBetween val="between"/>
      </c:valAx>
      <c:spPr>
        <a:solidFill>
          <a:srgbClr val="C0C0C0"/>
        </a:solidFill>
        <a:ln w="12700">
          <a:solidFill>
            <a:srgbClr val="808080"/>
          </a:solidFill>
          <a:prstDash val="solid"/>
        </a:ln>
        <a:effectLst/>
      </c:spPr>
    </c:plotArea>
    <c:legend>
      <c:legendPos val="r"/>
      <c:legendEntry>
        <c:idx val="1"/>
        <c:delete val="1"/>
      </c:legendEntry>
      <c:legendEntry>
        <c:idx val="2"/>
        <c:delete val="1"/>
      </c:legendEntry>
      <c:layout>
        <c:manualLayout>
          <c:xMode val="edge"/>
          <c:yMode val="edge"/>
          <c:x val="0.733891309332722"/>
          <c:y val="0.318891422557446"/>
          <c:w val="0.189176794313231"/>
          <c:h val="0.327310998070514"/>
        </c:manualLayout>
      </c:layout>
      <c:overlay val="0"/>
      <c:spPr>
        <a:noFill/>
        <a:ln w="3165">
          <a:solidFill>
            <a:srgbClr val="000000"/>
          </a:solidFill>
          <a:prstDash val="solid"/>
        </a:ln>
      </c:spPr>
      <c:txPr>
        <a:bodyPr rot="0" spcFirstLastPara="0" vertOverflow="ellipsis" vert="horz" wrap="square" anchor="ctr" anchorCtr="1"/>
        <a:lstStyle/>
        <a:p>
          <a:pPr>
            <a:defRPr lang="zh-CN" sz="8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3376dc62-b804-4294-8638-b87cfc3b4da0}"/>
      </c:ext>
    </c:extLst>
  </c:chart>
  <c:spPr>
    <a:noFill/>
    <a:ln w="9525" cap="flat" cmpd="sng" algn="ctr">
      <a:noFill/>
      <a:prstDash val="solid"/>
      <a:round/>
    </a:ln>
  </c:spPr>
  <c:txPr>
    <a:bodyPr/>
    <a:lstStyle/>
    <a:p>
      <a:pPr>
        <a:defRPr lang="zh-CN" sz="94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1"/>
                <c:pt idx="0">
                  <c:v>一般公共预算财政拨款</c:v>
                </c:pt>
              </c:strCache>
            </c:strRef>
          </c:cat>
          <c:val>
            <c:numRef>
              <c:f>Sheet1!$B$2:$B$5</c:f>
              <c:numCache>
                <c:formatCode>General</c:formatCode>
                <c:ptCount val="4"/>
                <c:pt idx="0">
                  <c:v>7519.38</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6f09e55-de2e-465a-8cf3-f3ccedbaa60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ofPieChart>
        <c:ofPieType val="pie"/>
        <c:varyColors val="1"/>
        <c:ser>
          <c:idx val="0"/>
          <c:order val="0"/>
          <c:tx>
            <c:strRef>
              <c:f>Sheet1!$B$1</c:f>
              <c:strCache>
                <c:ptCount val="1"/>
                <c:pt idx="0">
                  <c:v>支出</c:v>
                </c:pt>
              </c:strCache>
            </c:strRef>
          </c:tx>
          <c:explosion val="25"/>
          <c:dPt>
            <c:idx val="0"/>
            <c:bubble3D val="0"/>
          </c:dPt>
          <c:dPt>
            <c:idx val="1"/>
            <c:bubble3D val="0"/>
          </c:dPt>
          <c:dPt>
            <c:idx val="2"/>
            <c:bubble3D val="0"/>
          </c:dPt>
          <c:dLbls>
            <c:dLbl>
              <c:idx val="0"/>
              <c:layout>
                <c:manualLayout>
                  <c:x val="0.0108116830724544"/>
                  <c:y val="-0.3000720461095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27137102903481"/>
                  <c:y val="-0.28696713648911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7723.21</c:v>
                </c:pt>
                <c:pt idx="1">
                  <c:v>6.26</c:v>
                </c:pt>
              </c:numCache>
            </c:numRef>
          </c:val>
        </c:ser>
        <c:dLbls>
          <c:showLegendKey val="0"/>
          <c:showVal val="1"/>
          <c:showCatName val="1"/>
          <c:showSerName val="0"/>
          <c:showPercent val="0"/>
          <c:showBubbleSize val="0"/>
          <c:showLeaderLines val="1"/>
        </c:dLbls>
        <c:gapWidth val="100"/>
        <c:secondPieSize val="75"/>
        <c:serLines/>
      </c:of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26a64ad-2501-4b2a-a2b2-a702572f9c8c}"/>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收入</c:v>
                </c:pt>
                <c:pt idx="1">
                  <c:v>支出</c:v>
                </c:pt>
              </c:strCache>
            </c:strRef>
          </c:cat>
          <c:val>
            <c:numRef>
              <c:f>Sheet1!$B$2:$B$5</c:f>
              <c:numCache>
                <c:formatCode>General</c:formatCode>
                <c:ptCount val="4"/>
                <c:pt idx="0">
                  <c:v>7487.58</c:v>
                </c:pt>
                <c:pt idx="1">
                  <c:v>7301.56</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收入</c:v>
                </c:pt>
                <c:pt idx="1">
                  <c:v>支出</c:v>
                </c:pt>
              </c:strCache>
            </c:strRef>
          </c:cat>
          <c:val>
            <c:numRef>
              <c:f>Sheet1!$C$2:$C$5</c:f>
              <c:numCache>
                <c:formatCode>General</c:formatCode>
                <c:ptCount val="4"/>
                <c:pt idx="0">
                  <c:v>7519.38</c:v>
                </c:pt>
                <c:pt idx="1">
                  <c:v>7729.47</c:v>
                </c:pt>
              </c:numCache>
            </c:numRef>
          </c:val>
        </c:ser>
        <c:dLbls>
          <c:showLegendKey val="0"/>
          <c:showVal val="1"/>
          <c:showCatName val="0"/>
          <c:showSerName val="0"/>
          <c:showPercent val="0"/>
          <c:showBubbleSize val="0"/>
        </c:dLbls>
        <c:gapWidth val="150"/>
        <c:axId val="158864896"/>
        <c:axId val="158866432"/>
      </c:barChart>
      <c:catAx>
        <c:axId val="158864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866432"/>
        <c:crosses val="autoZero"/>
        <c:auto val="1"/>
        <c:lblAlgn val="ctr"/>
        <c:lblOffset val="100"/>
        <c:noMultiLvlLbl val="0"/>
      </c:catAx>
      <c:valAx>
        <c:axId val="158866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8648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c4a9cf0-5e95-402d-8ede-1d3f2ffcf7c9}"/>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1"/>
                <c:pt idx="0">
                  <c:v>一般公共预算财政拨款支出</c:v>
                </c:pt>
              </c:strCache>
            </c:strRef>
          </c:cat>
          <c:val>
            <c:numRef>
              <c:f>Sheet1!$B$2:$B$3</c:f>
              <c:numCache>
                <c:formatCode>#,##0.00</c:formatCode>
                <c:ptCount val="2"/>
                <c:pt idx="0">
                  <c:v>7695.23</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trendlineType val="linear"/>
            <c:dispRSqr val="0"/>
            <c:dispEq val="0"/>
          </c:trendline>
          <c:trendline>
            <c:trendlineType val="linear"/>
            <c:dispRSqr val="0"/>
            <c:dispEq val="0"/>
          </c:trendline>
          <c:cat>
            <c:strRef>
              <c:f>Sheet1!$A$2:$A$3</c:f>
              <c:strCache>
                <c:ptCount val="1"/>
                <c:pt idx="0">
                  <c:v>一般公共预算财政拨款支出</c:v>
                </c:pt>
              </c:strCache>
            </c:strRef>
          </c:cat>
          <c:val>
            <c:numRef>
              <c:f>Sheet1!$C$2:$C$3</c:f>
              <c:numCache>
                <c:formatCode>General</c:formatCode>
                <c:ptCount val="2"/>
                <c:pt idx="0">
                  <c:v>7729.47</c:v>
                </c:pt>
              </c:numCache>
            </c:numRef>
          </c:val>
        </c:ser>
        <c:dLbls>
          <c:showLegendKey val="0"/>
          <c:showVal val="1"/>
          <c:showCatName val="0"/>
          <c:showSerName val="0"/>
          <c:showPercent val="0"/>
          <c:showBubbleSize val="0"/>
        </c:dLbls>
        <c:gapWidth val="150"/>
        <c:axId val="200238976"/>
        <c:axId val="200240512"/>
      </c:barChart>
      <c:catAx>
        <c:axId val="200238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240512"/>
        <c:crosses val="autoZero"/>
        <c:auto val="1"/>
        <c:lblAlgn val="ctr"/>
        <c:lblOffset val="100"/>
        <c:noMultiLvlLbl val="0"/>
      </c:catAx>
      <c:valAx>
        <c:axId val="200240512"/>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238976"/>
        <c:crosses val="autoZero"/>
        <c:crossBetween val="between"/>
      </c:valAx>
    </c:plotArea>
    <c:legend>
      <c:legendPos val="r"/>
      <c:legendEntry>
        <c:idx val="2"/>
        <c:delete val="1"/>
      </c:legendEntry>
      <c:legendEntry>
        <c:idx val="3"/>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ff66021-c803-4770-bfec-5fcb0ea4c0f0}"/>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一般公共服务（类）支出</c:v>
                </c:pt>
                <c:pt idx="1">
                  <c:v>社会保障和就业（类）支出</c:v>
                </c:pt>
                <c:pt idx="2">
                  <c:v>住房保障支出</c:v>
                </c:pt>
                <c:pt idx="3">
                  <c:v>住房保障支出</c:v>
                </c:pt>
              </c:strCache>
            </c:strRef>
          </c:cat>
          <c:val>
            <c:numRef>
              <c:f>Sheet1!$B$2:$B$5</c:f>
              <c:numCache>
                <c:formatCode>General</c:formatCode>
                <c:ptCount val="4"/>
                <c:pt idx="0">
                  <c:v>6.26</c:v>
                </c:pt>
                <c:pt idx="1">
                  <c:v>613.05</c:v>
                </c:pt>
                <c:pt idx="2">
                  <c:v>448.91</c:v>
                </c:pt>
                <c:pt idx="3">
                  <c:v>6661.25</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b61c5f2-2531-4118-8488-533ed8225243}"/>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29198966408269"/>
          <c:y val="0.453744493392071"/>
          <c:w val="0.764857881136951"/>
          <c:h val="0.519823788546255"/>
        </c:manualLayout>
      </c:layout>
      <c:pieChart>
        <c:varyColors val="1"/>
        <c:ser>
          <c:idx val="0"/>
          <c:order val="0"/>
          <c:tx>
            <c:strRef>
              <c:f>Sheet1!$A$2</c:f>
              <c:strCache>
                <c:ptCount val="1"/>
                <c:pt idx="0">
                  <c:v>三公经费</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Sheet1!$B$1:$E$1</c:f>
              <c:strCache>
                <c:ptCount val="3"/>
                <c:pt idx="0">
                  <c:v>公务用车购置及运行维护费</c:v>
                </c:pt>
                <c:pt idx="1">
                  <c:v>公务接待费</c:v>
                </c:pt>
                <c:pt idx="2">
                  <c:v>因公出境费</c:v>
                </c:pt>
              </c:strCache>
            </c:strRef>
          </c:cat>
          <c:val>
            <c:numRef>
              <c:f>Sheet1!$B$2:$E$2</c:f>
              <c:numCache>
                <c:formatCode>General</c:formatCode>
                <c:ptCount val="4"/>
                <c:pt idx="0">
                  <c:v>115.93</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Sheet1!$B$1:$E$1</c:f>
              <c:strCache>
                <c:ptCount val="3"/>
                <c:pt idx="0">
                  <c:v>公务用车购置及运行维护费</c:v>
                </c:pt>
                <c:pt idx="1">
                  <c:v>公务接待费</c:v>
                </c:pt>
                <c:pt idx="2">
                  <c:v>因公出境费</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Sheet1!$B$1:$E$1</c:f>
              <c:strCache>
                <c:ptCount val="3"/>
                <c:pt idx="0">
                  <c:v>公务用车购置及运行维护费</c:v>
                </c:pt>
                <c:pt idx="1">
                  <c:v>公务接待费</c:v>
                </c:pt>
                <c:pt idx="2">
                  <c:v>因公出境费</c:v>
                </c:pt>
              </c:strCache>
            </c:strRef>
          </c:cat>
          <c:val>
            <c:numRef>
              <c:f>Sheet1!$B$4:$E$4</c:f>
              <c:numCache>
                <c:formatCode>General</c:formatCode>
                <c:ptCount val="4"/>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r"/>
      <c:legendEntry>
        <c:idx val="3"/>
        <c:delete val="1"/>
      </c:legendEntry>
      <c:layout>
        <c:manualLayout>
          <c:xMode val="edge"/>
          <c:yMode val="edge"/>
          <c:x val="0.693023255813954"/>
          <c:y val="0.527687296416938"/>
          <c:w val="0.235917312661499"/>
          <c:h val="0.398262757871878"/>
        </c:manualLayout>
      </c:layout>
      <c:overlay val="0"/>
      <c:spPr>
        <a:noFill/>
        <a:ln w="3175">
          <a:solidFill>
            <a:srgbClr val="000000"/>
          </a:solidFill>
          <a:prstDash val="solid"/>
        </a:ln>
      </c:spPr>
      <c:txPr>
        <a:bodyPr rot="0" spcFirstLastPara="0" vertOverflow="ellipsis" vert="horz" wrap="square" anchor="ctr" anchorCtr="1"/>
        <a:lstStyle/>
        <a:p>
          <a:pPr>
            <a:defRPr lang="zh-CN" sz="10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0340546c-1a37-424d-9dee-06ecd9a6d5b4}"/>
      </c:ext>
    </c:extLst>
  </c:chart>
  <c:spPr>
    <a:noFill/>
    <a:ln w="9525" cap="flat" cmpd="sng" algn="ctr">
      <a:noFill/>
      <a:prstDash val="solid"/>
      <a:round/>
    </a:ln>
  </c:spPr>
  <c:txPr>
    <a:bodyPr/>
    <a:lstStyle/>
    <a:p>
      <a:pPr>
        <a:defRPr lang="zh-CN" sz="11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23</Words>
  <Characters>26</Characters>
  <Lines>84</Lines>
  <Paragraphs>23</Paragraphs>
  <TotalTime>3</TotalTime>
  <ScaleCrop>false</ScaleCrop>
  <LinksUpToDate>false</LinksUpToDate>
  <CharactersWithSpaces>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2025-06-23T08:58:05Z</dcterms:modified>
  <dc:title>四川省***</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1CFA2601A6FE45309DA1AA9540B8802A_13</vt:lpwstr>
  </property>
  <property fmtid="{D5CDD505-2E9C-101B-9397-08002B2CF9AE}" pid="4" name="KSOTemplateDocerSaveRecord">
    <vt:lpwstr>eyJoZGlkIjoiZTdhNjU2NDJmZjVhZjVmNzI2NGNhZTc5M2YwYjIzM2UifQ==</vt:lpwstr>
  </property>
</Properties>
</file>