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96475"/>
      <w:bookmarkStart w:id="2" w:name="_Toc15377425"/>
      <w:bookmarkStart w:id="3" w:name="_Toc15377193"/>
      <w:bookmarkStart w:id="4" w:name="_Toc15306267"/>
      <w:bookmarkStart w:id="5" w:name="_Toc15378441"/>
    </w:p>
    <w:p>
      <w:pPr>
        <w:pStyle w:val="6"/>
        <w:rPr>
          <w:rFonts w:hint="eastAsia" w:ascii="Times New Roman" w:hAnsi="Times New Roman" w:eastAsia="方正小标宋简体" w:cs="Times New Roman"/>
          <w:color w:val="auto"/>
          <w:kern w:val="2"/>
          <w:sz w:val="72"/>
          <w:szCs w:val="72"/>
          <w:highlight w:val="none"/>
          <w:lang w:val="en-US" w:eastAsia="zh-CN" w:bidi="ar-SA"/>
        </w:rPr>
      </w:pPr>
    </w:p>
    <w:p>
      <w:pPr>
        <w:pStyle w:val="6"/>
        <w:rPr>
          <w:rFonts w:hint="eastAsia" w:ascii="Times New Roman" w:hAnsi="Times New Roman" w:eastAsia="方正小标宋简体" w:cs="Times New Roman"/>
          <w:color w:val="auto"/>
          <w:kern w:val="2"/>
          <w:sz w:val="72"/>
          <w:szCs w:val="72"/>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攀枝花市公安局仁和区分局市</w:t>
      </w:r>
      <w:r>
        <w:rPr>
          <w:rFonts w:hint="eastAsia" w:ascii="Times New Roman" w:hAnsi="Times New Roman" w:eastAsia="方正小标宋简体" w:cs="Times New Roman"/>
          <w:color w:val="auto"/>
          <w:kern w:val="2"/>
          <w:sz w:val="44"/>
          <w:szCs w:val="44"/>
          <w:highlight w:val="none"/>
          <w:lang w:val="en-US" w:eastAsia="zh-CN" w:bidi="ar-SA"/>
        </w:rPr>
        <w:t>级单位</w:t>
      </w:r>
    </w:p>
    <w:p>
      <w:pPr>
        <w:pStyle w:val="6"/>
        <w:jc w:val="center"/>
        <w:rPr>
          <w:rFonts w:ascii="Times New Roman" w:hAnsi="Times New Roma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Times New Roman" w:hAnsi="Times New Roman" w:eastAsia="方正小标宋简体" w:cs="Times New Roman"/>
          <w:color w:val="auto"/>
          <w:kern w:val="2"/>
          <w:sz w:val="44"/>
          <w:szCs w:val="44"/>
          <w:highlight w:val="none"/>
          <w:lang w:val="en-US" w:eastAsia="zh-CN" w:bidi="ar-SA"/>
        </w:rPr>
        <w:t>决算公开</w:t>
      </w:r>
      <w:r>
        <w:rPr>
          <w:rFonts w:hint="eastAsia" w:ascii="Times New Roman" w:eastAsia="方正小标宋简体" w:cs="Times New Roman"/>
          <w:color w:val="auto"/>
          <w:kern w:val="2"/>
          <w:sz w:val="44"/>
          <w:szCs w:val="44"/>
          <w:highlight w:val="none"/>
          <w:lang w:val="en-US" w:eastAsia="zh-CN" w:bidi="ar-SA"/>
        </w:rPr>
        <w:t>编制说明</w:t>
      </w:r>
    </w:p>
    <w:bookmarkEnd w:id="0"/>
    <w:bookmarkEnd w:id="1"/>
    <w:bookmarkEnd w:id="2"/>
    <w:bookmarkEnd w:id="3"/>
    <w:bookmarkEnd w:id="4"/>
    <w:bookmarkEnd w:id="5"/>
    <w:p>
      <w:pPr>
        <w:widowControl/>
        <w:jc w:val="both"/>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黑体"/>
          <w:color w:val="auto"/>
          <w:sz w:val="32"/>
          <w:szCs w:val="32"/>
          <w:highlight w:val="none"/>
          <w:lang w:eastAsia="zh-CN"/>
        </w:rPr>
      </w:pPr>
      <w:r>
        <w:rPr>
          <w:rFonts w:hint="eastAsia" w:ascii="Times New Roman" w:hAnsi="Times New Roman" w:eastAsia="黑体" w:cs="黑体"/>
          <w:color w:val="auto"/>
          <w:sz w:val="32"/>
          <w:szCs w:val="32"/>
          <w:highlight w:val="none"/>
        </w:rPr>
        <w:t>第一部分 部门概况</w:t>
      </w:r>
      <w:r>
        <w:rPr>
          <w:rFonts w:cstheme="minorBidi"/>
          <w:sz w:val="24"/>
          <w:szCs w:val="24"/>
        </w:rPr>
        <w:tab/>
      </w:r>
      <w:r>
        <w:rPr>
          <w:rFonts w:hint="eastAsia" w:cstheme="minorBidi"/>
          <w:sz w:val="24"/>
          <w:szCs w:val="24"/>
          <w:lang w:val="en-US" w:eastAsia="zh-CN"/>
        </w:rPr>
        <w:t>2</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cstheme="minorBidi"/>
          <w:sz w:val="24"/>
          <w:szCs w:val="24"/>
        </w:rPr>
        <w:tab/>
      </w:r>
      <w:bookmarkStart w:id="49" w:name="_GoBack"/>
      <w:bookmarkEnd w:id="49"/>
      <w:r>
        <w:rPr>
          <w:rFonts w:hint="eastAsia" w:cstheme="minorBidi"/>
          <w:sz w:val="24"/>
          <w:szCs w:val="24"/>
          <w:lang w:val="en-US" w:eastAsia="zh-CN"/>
        </w:rPr>
        <w:t>2</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rFonts w:cstheme="minorBidi"/>
          <w:sz w:val="24"/>
          <w:szCs w:val="24"/>
        </w:rPr>
        <w:tab/>
      </w:r>
      <w:r>
        <w:rPr>
          <w:rFonts w:hint="eastAsia" w:cstheme="minorBidi"/>
          <w:sz w:val="24"/>
          <w:szCs w:val="24"/>
          <w:lang w:val="en-US" w:eastAsia="zh-CN"/>
        </w:rPr>
        <w:t>2</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cstheme="minorBidi"/>
          <w:sz w:val="24"/>
          <w:szCs w:val="24"/>
        </w:rPr>
        <w:tab/>
      </w:r>
      <w:r>
        <w:rPr>
          <w:rFonts w:hint="eastAsia" w:cstheme="minorBidi"/>
          <w:sz w:val="24"/>
          <w:szCs w:val="24"/>
          <w:lang w:val="en-US" w:eastAsia="zh-CN"/>
        </w:rPr>
        <w:t>3</w:t>
      </w:r>
    </w:p>
    <w:p>
      <w:pPr>
        <w:pStyle w:val="13"/>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r>
        <w:rPr>
          <w:rFonts w:cstheme="minorBidi"/>
          <w:sz w:val="24"/>
          <w:szCs w:val="24"/>
        </w:rPr>
        <w:tab/>
      </w:r>
      <w:r>
        <w:rPr>
          <w:rFonts w:hint="eastAsia" w:cstheme="minorBidi"/>
          <w:sz w:val="24"/>
          <w:szCs w:val="24"/>
          <w:lang w:val="en-US" w:eastAsia="zh-CN"/>
        </w:rPr>
        <w:t>3</w:t>
      </w:r>
    </w:p>
    <w:p>
      <w:pPr>
        <w:pStyle w:val="13"/>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r>
        <w:rPr>
          <w:rFonts w:cstheme="minorBidi"/>
          <w:sz w:val="24"/>
          <w:szCs w:val="24"/>
        </w:rPr>
        <w:tab/>
      </w:r>
      <w:r>
        <w:rPr>
          <w:rFonts w:hint="eastAsia" w:cstheme="minorBidi"/>
          <w:sz w:val="24"/>
          <w:szCs w:val="24"/>
          <w:lang w:val="en-US" w:eastAsia="zh-CN"/>
        </w:rPr>
        <w:t>3</w:t>
      </w:r>
    </w:p>
    <w:p>
      <w:pPr>
        <w:pStyle w:val="13"/>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三、支出决算情况说明</w:t>
      </w:r>
      <w:r>
        <w:rPr>
          <w:rFonts w:cstheme="minorBidi"/>
          <w:sz w:val="24"/>
          <w:szCs w:val="24"/>
        </w:rPr>
        <w:tab/>
      </w:r>
      <w:r>
        <w:rPr>
          <w:rFonts w:hint="eastAsia" w:cstheme="minorBidi"/>
          <w:sz w:val="24"/>
          <w:szCs w:val="24"/>
          <w:lang w:val="en-US" w:eastAsia="zh-CN"/>
        </w:rPr>
        <w:t>4</w:t>
      </w:r>
    </w:p>
    <w:p>
      <w:pPr>
        <w:pStyle w:val="13"/>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四、财政拨款收入支出决算总体情况说明</w:t>
      </w:r>
      <w:r>
        <w:rPr>
          <w:rFonts w:cstheme="minorBidi"/>
          <w:sz w:val="24"/>
          <w:szCs w:val="24"/>
        </w:rPr>
        <w:tab/>
      </w:r>
      <w:r>
        <w:rPr>
          <w:rFonts w:hint="eastAsia" w:cstheme="minorBidi"/>
          <w:sz w:val="24"/>
          <w:szCs w:val="24"/>
          <w:lang w:val="en-US" w:eastAsia="zh-CN"/>
        </w:rPr>
        <w:t>5</w:t>
      </w:r>
    </w:p>
    <w:p>
      <w:pPr>
        <w:pStyle w:val="13"/>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五、一般公共预算财政拨款支出决算情况说明</w:t>
      </w:r>
      <w:r>
        <w:rPr>
          <w:rFonts w:cstheme="minorBidi"/>
          <w:sz w:val="24"/>
          <w:szCs w:val="24"/>
        </w:rPr>
        <w:tab/>
      </w:r>
      <w:r>
        <w:rPr>
          <w:rFonts w:hint="eastAsia" w:cstheme="minorBidi"/>
          <w:sz w:val="24"/>
          <w:szCs w:val="24"/>
          <w:lang w:val="en-US" w:eastAsia="zh-CN"/>
        </w:rPr>
        <w:t>5</w:t>
      </w:r>
    </w:p>
    <w:p>
      <w:pPr>
        <w:pStyle w:val="13"/>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六、一般公共预算财政拨款基本支出决算情况说明</w:t>
      </w:r>
      <w:r>
        <w:rPr>
          <w:rFonts w:cstheme="minorBidi"/>
          <w:sz w:val="24"/>
          <w:szCs w:val="24"/>
        </w:rPr>
        <w:tab/>
      </w:r>
      <w:r>
        <w:rPr>
          <w:rFonts w:hint="eastAsia" w:cstheme="minorBidi"/>
          <w:sz w:val="24"/>
          <w:szCs w:val="24"/>
          <w:lang w:val="en-US" w:eastAsia="zh-CN"/>
        </w:rPr>
        <w:t>8</w:t>
      </w:r>
    </w:p>
    <w:p>
      <w:pPr>
        <w:pStyle w:val="13"/>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cstheme="minorBidi"/>
          <w:sz w:val="24"/>
          <w:szCs w:val="24"/>
        </w:rPr>
        <w:tab/>
      </w:r>
      <w:r>
        <w:rPr>
          <w:rFonts w:hint="eastAsia" w:cstheme="minorBidi"/>
          <w:sz w:val="24"/>
          <w:szCs w:val="24"/>
          <w:lang w:val="en-US" w:eastAsia="zh-CN"/>
        </w:rPr>
        <w:t>9</w:t>
      </w:r>
    </w:p>
    <w:p>
      <w:pPr>
        <w:pStyle w:val="13"/>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八、政府性基金预算支出决算情况说明</w:t>
      </w:r>
      <w:r>
        <w:rPr>
          <w:rFonts w:cstheme="minorBidi"/>
          <w:sz w:val="24"/>
          <w:szCs w:val="24"/>
        </w:rPr>
        <w:tab/>
      </w:r>
      <w:r>
        <w:rPr>
          <w:rFonts w:hint="eastAsia" w:cstheme="minorBidi"/>
          <w:sz w:val="24"/>
          <w:szCs w:val="24"/>
          <w:lang w:val="en-US" w:eastAsia="zh-CN"/>
        </w:rPr>
        <w:t>11</w:t>
      </w:r>
    </w:p>
    <w:p>
      <w:pPr>
        <w:pStyle w:val="13"/>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cstheme="minorBidi"/>
          <w:sz w:val="24"/>
          <w:szCs w:val="24"/>
        </w:rPr>
        <w:tab/>
      </w:r>
      <w:r>
        <w:rPr>
          <w:rFonts w:hint="eastAsia" w:cstheme="minorBidi"/>
          <w:sz w:val="24"/>
          <w:szCs w:val="24"/>
          <w:lang w:val="en-US" w:eastAsia="zh-CN"/>
        </w:rPr>
        <w:t>11</w:t>
      </w:r>
    </w:p>
    <w:p>
      <w:pPr>
        <w:pStyle w:val="13"/>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cstheme="minorBidi"/>
          <w:sz w:val="24"/>
          <w:szCs w:val="24"/>
        </w:rPr>
        <w:tab/>
      </w:r>
      <w:r>
        <w:rPr>
          <w:rFonts w:hint="eastAsia" w:cstheme="minorBidi"/>
          <w:sz w:val="24"/>
          <w:szCs w:val="24"/>
          <w:lang w:val="en-US" w:eastAsia="zh-CN"/>
        </w:rPr>
        <w:t>11</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cstheme="minorBidi"/>
          <w:sz w:val="24"/>
          <w:szCs w:val="24"/>
        </w:rPr>
        <w:tab/>
      </w:r>
      <w:r>
        <w:rPr>
          <w:rFonts w:hint="eastAsia" w:cstheme="minorBidi"/>
          <w:sz w:val="24"/>
          <w:szCs w:val="24"/>
          <w:lang w:val="en-US" w:eastAsia="zh-CN"/>
        </w:rPr>
        <w:t>14</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cstheme="minorBidi"/>
          <w:sz w:val="24"/>
          <w:szCs w:val="24"/>
        </w:rPr>
        <w:tab/>
      </w:r>
      <w:r>
        <w:rPr>
          <w:rFonts w:hint="eastAsia" w:cstheme="minorBidi"/>
          <w:sz w:val="24"/>
          <w:szCs w:val="24"/>
          <w:lang w:val="en-US" w:eastAsia="zh-CN"/>
        </w:rPr>
        <w:t>17</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p>
    <w:p>
      <w:pPr>
        <w:pStyle w:val="3"/>
        <w:jc w:val="center"/>
        <w:rPr>
          <w:rFonts w:hint="eastAsia" w:ascii="Times New Roman" w:hAnsi="Times New Roman" w:eastAsia="方正小标宋简体" w:cs="方正小标宋简体"/>
          <w:b w:val="0"/>
          <w:color w:val="auto"/>
          <w:highlight w:val="none"/>
        </w:rPr>
      </w:pPr>
      <w:bookmarkStart w:id="6" w:name="_Toc15396599"/>
      <w:bookmarkStart w:id="7" w:name="_Toc15377196"/>
    </w:p>
    <w:p>
      <w:pPr>
        <w:pStyle w:val="3"/>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6"/>
      <w:bookmarkEnd w:id="7"/>
    </w:p>
    <w:p>
      <w:pPr>
        <w:widowControl/>
        <w:jc w:val="left"/>
        <w:rPr>
          <w:rFonts w:ascii="Times New Roman" w:hAnsi="Times New Roman" w:eastAsia="黑体"/>
          <w:color w:val="auto"/>
          <w:sz w:val="32"/>
          <w:szCs w:val="32"/>
          <w:highlight w:val="none"/>
        </w:rPr>
      </w:pPr>
    </w:p>
    <w:p>
      <w:pPr>
        <w:pStyle w:val="4"/>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pPr>
        <w:pStyle w:val="6"/>
        <w:adjustRightInd w:val="0"/>
        <w:spacing w:before="93" w:line="600" w:lineRule="exact"/>
        <w:ind w:firstLine="672" w:firstLineChars="210"/>
        <w:rPr>
          <w:rFonts w:hint="eastAsia"/>
          <w:lang w:eastAsia="zh-CN"/>
        </w:rPr>
      </w:pPr>
      <w:r>
        <w:rPr>
          <w:rFonts w:hint="eastAsia"/>
          <w:sz w:val="32"/>
        </w:rPr>
        <w:t>攀枝花市公安局仁和区分局作为攀枝花市公安局下属单位，根据攀办发[2013]72号《攀枝花市公安局主要职责内设机构和人员编制规定》文件规定，主要职责是在攀枝花市公安局领导下，负责治安行政管理和刑事执法工作以及攀枝花市公安局22项职责中涉及分局完成的工作职责。</w:t>
      </w:r>
    </w:p>
    <w:p>
      <w:pPr>
        <w:pStyle w:val="4"/>
        <w:rPr>
          <w:rStyle w:val="29"/>
          <w:rFonts w:ascii="Times New Roman" w:hAnsi="Times New Roman"/>
          <w:b w:val="0"/>
          <w:bCs w:val="0"/>
          <w:color w:val="auto"/>
          <w:highlight w:val="none"/>
        </w:rPr>
      </w:pPr>
      <w:bookmarkStart w:id="8" w:name="_Toc15396601"/>
      <w:bookmarkStart w:id="9" w:name="_Toc15377200"/>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8"/>
      <w:bookmarkEnd w:id="9"/>
    </w:p>
    <w:p>
      <w:pPr>
        <w:ind w:firstLine="800" w:firstLineChars="250"/>
        <w:rPr>
          <w:rFonts w:ascii="Times New Roman" w:hAnsi="Times New Roman" w:eastAsia="仿宋"/>
          <w:color w:val="auto"/>
          <w:kern w:val="0"/>
          <w:sz w:val="32"/>
          <w:szCs w:val="32"/>
          <w:highlight w:val="none"/>
        </w:rPr>
      </w:pPr>
      <w:r>
        <w:rPr>
          <w:rFonts w:hint="eastAsia" w:ascii="仿宋_GB2312" w:hAnsi="仿宋_GB2312" w:eastAsia="仿宋_GB2312" w:cs="仿宋_GB2312"/>
          <w:color w:val="auto"/>
          <w:sz w:val="32"/>
          <w:szCs w:val="32"/>
          <w:highlight w:val="none"/>
        </w:rPr>
        <w:t>攀枝花市公安局仁和区分局为市级财政二级预算单位，现内设机构25个，</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r>
        <w:rPr>
          <w:rFonts w:ascii="Times New Roman" w:hAnsi="Times New Roman" w:eastAsia="仿宋"/>
          <w:color w:val="auto"/>
          <w:sz w:val="32"/>
          <w:szCs w:val="32"/>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10" w:name="_Toc15396602"/>
      <w:bookmarkStart w:id="11"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0"/>
      <w:bookmarkEnd w:id="11"/>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2" w:name="_Toc15396603"/>
      <w:bookmarkStart w:id="13"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2"/>
      <w:bookmarkEnd w:id="1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 w:cs="仿宋_GB2312"/>
          <w:color w:val="auto"/>
          <w:sz w:val="32"/>
          <w:szCs w:val="32"/>
          <w:highlight w:val="yellow"/>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11817.69</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w:t>
      </w:r>
      <w:r>
        <w:rPr>
          <w:rFonts w:hint="eastAsia" w:eastAsia="仿宋_GB2312" w:cs="仿宋_GB2312"/>
          <w:color w:val="auto"/>
          <w:sz w:val="32"/>
          <w:szCs w:val="32"/>
          <w:highlight w:val="none"/>
          <w:lang w:eastAsia="zh-CN"/>
        </w:rPr>
        <w:t>增加</w:t>
      </w:r>
      <w:r>
        <w:rPr>
          <w:rFonts w:hint="eastAsia" w:eastAsia="仿宋_GB2312" w:cs="仿宋_GB2312"/>
          <w:color w:val="auto"/>
          <w:sz w:val="32"/>
          <w:szCs w:val="32"/>
          <w:highlight w:val="none"/>
          <w:lang w:val="en-US" w:eastAsia="zh-CN"/>
        </w:rPr>
        <w:t>234.98</w:t>
      </w:r>
      <w:r>
        <w:rPr>
          <w:rFonts w:hint="eastAsia" w:ascii="Times New Roman" w:hAnsi="Times New Roman" w:eastAsia="仿宋_GB2312" w:cs="仿宋_GB2312"/>
          <w:color w:val="auto"/>
          <w:sz w:val="32"/>
          <w:szCs w:val="32"/>
          <w:highlight w:val="none"/>
        </w:rPr>
        <w:t>万元，</w:t>
      </w:r>
      <w:r>
        <w:rPr>
          <w:rFonts w:hint="eastAsia" w:eastAsia="仿宋_GB2312" w:cs="仿宋_GB2312"/>
          <w:color w:val="auto"/>
          <w:sz w:val="32"/>
          <w:szCs w:val="32"/>
          <w:highlight w:val="none"/>
          <w:lang w:eastAsia="zh-CN"/>
        </w:rPr>
        <w:t>增长</w:t>
      </w:r>
      <w:r>
        <w:rPr>
          <w:rFonts w:hint="eastAsia"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%。主要变动原因是</w:t>
      </w:r>
      <w:r>
        <w:rPr>
          <w:rFonts w:hint="eastAsia" w:ascii="仿宋" w:hAnsi="仿宋" w:eastAsia="仿宋"/>
          <w:sz w:val="32"/>
          <w:szCs w:val="32"/>
          <w:highlight w:val="none"/>
        </w:rPr>
        <w:t>在职人数增加导致人员及公用经费增长所致</w:t>
      </w:r>
      <w:r>
        <w:rPr>
          <w:rFonts w:hint="eastAsia" w:ascii="仿宋" w:hAnsi="仿宋" w:eastAsia="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4" w:name="_Toc15377206"/>
      <w:bookmarkStart w:id="15" w:name="_Toc15396604"/>
      <w:r>
        <w:rPr>
          <w:rFonts w:hint="eastAsia" w:ascii="Times New Roman" w:hAnsi="Times New Roman" w:eastAsia="黑体"/>
          <w:color w:val="auto"/>
          <w:sz w:val="32"/>
          <w:szCs w:val="32"/>
          <w:highlight w:val="none"/>
          <w:lang w:eastAsia="zh-CN"/>
        </w:rPr>
        <w:t>二、收入决算情况说明</w:t>
      </w:r>
      <w:bookmarkEnd w:id="14"/>
      <w:bookmarkEnd w:id="1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11817.69万元，其中：一般公共预算财政拨款收入</w:t>
      </w:r>
      <w:bookmarkStart w:id="16" w:name="OLE_LINK1"/>
      <w:r>
        <w:rPr>
          <w:rFonts w:hint="eastAsia" w:ascii="仿宋_GB2312" w:hAnsi="仿宋_GB2312" w:eastAsia="仿宋_GB2312" w:cs="仿宋_GB2312"/>
          <w:sz w:val="32"/>
          <w:szCs w:val="32"/>
        </w:rPr>
        <w:t>9927.98</w:t>
      </w:r>
      <w:bookmarkEnd w:id="16"/>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84</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1889.71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15.99</w:t>
      </w:r>
      <w:r>
        <w:rPr>
          <w:rFonts w:hint="eastAsia" w:ascii="仿宋_GB2312" w:hAnsi="仿宋_GB2312" w:eastAsia="仿宋_GB2312" w:cs="仿宋_GB2312"/>
          <w:color w:val="auto"/>
          <w:sz w:val="32"/>
          <w:szCs w:val="32"/>
          <w:highlight w:val="none"/>
          <w:lang w:eastAsia="zh-CN"/>
        </w:rPr>
        <w:t>%。</w:t>
      </w:r>
    </w:p>
    <w:p>
      <w:pPr>
        <w:ind w:firstLine="525" w:firstLineChars="250"/>
      </w:pPr>
      <w:r>
        <w:drawing>
          <wp:inline distT="0" distB="0" distL="114300" distR="114300">
            <wp:extent cx="4572000" cy="2743200"/>
            <wp:effectExtent l="4445" t="4445" r="1460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1760" w:firstLineChars="5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ind w:firstLine="800" w:firstLineChars="250"/>
        <w:rPr>
          <w:rFonts w:hint="eastAsia" w:ascii="Times New Roman" w:hAnsi="Times New Roman"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7" w:name="_Toc15396605"/>
      <w:bookmarkStart w:id="18"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17"/>
      <w:bookmarkEnd w:id="18"/>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11817.69</w:t>
      </w:r>
      <w:r>
        <w:rPr>
          <w:rFonts w:hint="eastAsia" w:ascii="仿宋_GB2312" w:hAnsi="仿宋_GB2312" w:eastAsia="仿宋_GB2312" w:cs="仿宋_GB2312"/>
          <w:color w:val="auto"/>
          <w:sz w:val="32"/>
          <w:szCs w:val="32"/>
          <w:highlight w:val="none"/>
          <w:lang w:eastAsia="zh-CN"/>
        </w:rPr>
        <w:t>万元，其中：万元，占</w:t>
      </w:r>
      <w:r>
        <w:rPr>
          <w:rFonts w:hint="eastAsia" w:ascii="仿宋_GB2312" w:hAnsi="仿宋_GB2312" w:eastAsia="仿宋_GB2312" w:cs="仿宋_GB2312"/>
          <w:sz w:val="32"/>
          <w:szCs w:val="32"/>
        </w:rPr>
        <w:t>73.34</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3150.28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26.65</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525" w:firstLineChars="250"/>
      </w:pPr>
      <w:r>
        <w:drawing>
          <wp:inline distT="0" distB="0" distL="114300" distR="114300">
            <wp:extent cx="4572000" cy="2743200"/>
            <wp:effectExtent l="4445" t="4445" r="14605" b="1460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1600" w:firstLineChars="5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29"/>
          <w:rFonts w:ascii="Times New Roman" w:hAnsi="Times New Roman" w:eastAsia="黑体"/>
          <w:b w:val="0"/>
          <w:color w:val="auto"/>
          <w:highlight w:val="none"/>
        </w:rPr>
      </w:pPr>
      <w:bookmarkStart w:id="19" w:name="_Toc15377208"/>
      <w:bookmarkStart w:id="20" w:name="_Toc15396606"/>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19"/>
      <w:bookmarkEnd w:id="2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9927.98</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426.07</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%。主要变动原因是在职人数增加导致人员及公用经费增长所致。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drawing>
          <wp:inline distT="0" distB="0" distL="114300" distR="114300">
            <wp:extent cx="4572000" cy="2743200"/>
            <wp:effectExtent l="4445" t="4445" r="14605" b="1460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29"/>
          <w:rFonts w:ascii="Times New Roman" w:hAnsi="Times New Roman" w:eastAsia="黑体"/>
          <w:b w:val="0"/>
          <w:color w:val="auto"/>
          <w:highlight w:val="none"/>
        </w:rPr>
      </w:pPr>
      <w:bookmarkStart w:id="21" w:name="_Toc15396607"/>
      <w:bookmarkStart w:id="22"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1"/>
      <w:bookmarkEnd w:id="22"/>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3"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9927.98</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84</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%。与2023年度相比，一般公共预算财政拨款支出增加426.07万元，增长4%。主要变动原因是在职人数增加导致人员及公用经费增长所致。</w:t>
      </w:r>
    </w:p>
    <w:p>
      <w:pPr>
        <w:pStyle w:val="2"/>
        <w:rPr>
          <w:rFonts w:hint="eastAsia"/>
          <w:lang w:val="en-US" w:eastAsia="zh-CN"/>
        </w:rPr>
      </w:pPr>
      <w:r>
        <w:rPr>
          <w:rFonts w:hint="eastAsia"/>
          <w:lang w:val="en-US" w:eastAsia="zh-CN"/>
        </w:rPr>
        <w:t xml:space="preserve">    </w:t>
      </w:r>
      <w:r>
        <w:drawing>
          <wp:inline distT="0" distB="0" distL="114300" distR="114300">
            <wp:extent cx="4572000" cy="2743200"/>
            <wp:effectExtent l="4445" t="4445" r="14605" b="14605"/>
            <wp:docPr id="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4"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4"/>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9927.98</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：公共安全支出7795万元，占79%；社会保障和就业支出1146.54万元，占11%；卫生健康支出406.34万元，占4%，住房保障支出580.10万元，占6%。</w:t>
      </w:r>
    </w:p>
    <w:p>
      <w:pPr>
        <w:pStyle w:val="2"/>
        <w:rPr>
          <w:rFonts w:hint="eastAsia"/>
          <w:lang w:val="en-US" w:eastAsia="zh-CN"/>
        </w:rPr>
      </w:pPr>
      <w:r>
        <w:rPr>
          <w:rFonts w:hint="eastAsia" w:ascii="Times New Roman" w:hAnsi="Times New Roman" w:eastAsia="仿宋_GB2312" w:cs="仿宋_GB2312"/>
          <w:b/>
          <w:bCs/>
          <w:color w:val="auto"/>
          <w:kern w:val="2"/>
          <w:sz w:val="32"/>
          <w:szCs w:val="32"/>
          <w:highlight w:val="none"/>
          <w:lang w:val="en-US" w:eastAsia="zh-CN" w:bidi="ar-SA"/>
        </w:rPr>
        <w:t xml:space="preserve">       </w:t>
      </w:r>
      <w:r>
        <w:drawing>
          <wp:inline distT="0" distB="0" distL="114300" distR="114300">
            <wp:extent cx="5038090" cy="3276600"/>
            <wp:effectExtent l="4445" t="4445" r="5715" b="1460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5"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6" w:name="_Toc15377213"/>
      <w:bookmarkStart w:id="27" w:name="_Toc15377444"/>
      <w:bookmarkStart w:id="28"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9927.98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6"/>
      <w:bookmarkEnd w:id="27"/>
      <w:bookmarkEnd w:id="28"/>
    </w:p>
    <w:p>
      <w:pPr>
        <w:numPr>
          <w:ilvl w:val="0"/>
          <w:numId w:val="0"/>
        </w:num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公共安全支出（类）公安（款）行政运行（项）: 支出决算为</w:t>
      </w:r>
      <w:r>
        <w:rPr>
          <w:rFonts w:hint="eastAsia" w:eastAsia="仿宋_GB2312" w:cs="仿宋_GB2312"/>
          <w:color w:val="auto"/>
          <w:kern w:val="2"/>
          <w:sz w:val="32"/>
          <w:szCs w:val="32"/>
          <w:highlight w:val="none"/>
          <w:lang w:val="en-US" w:eastAsia="zh-CN" w:bidi="ar-SA"/>
        </w:rPr>
        <w:t>6534.42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 xml:space="preserve">。 </w:t>
      </w:r>
    </w:p>
    <w:p>
      <w:pPr>
        <w:numPr>
          <w:ilvl w:val="0"/>
          <w:numId w:val="0"/>
        </w:num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2.公共安全支出（类）公安（款）一般行政管理事务（项）: 支出决算为</w:t>
      </w:r>
      <w:r>
        <w:rPr>
          <w:rFonts w:hint="eastAsia" w:eastAsia="仿宋_GB2312" w:cs="仿宋_GB2312"/>
          <w:color w:val="auto"/>
          <w:kern w:val="2"/>
          <w:sz w:val="32"/>
          <w:szCs w:val="32"/>
          <w:highlight w:val="none"/>
          <w:lang w:val="en-US" w:eastAsia="zh-CN" w:bidi="ar-SA"/>
        </w:rPr>
        <w:t>155.48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Style w:val="18"/>
          <w:rFonts w:hint="eastAsia" w:ascii="仿宋" w:hAnsi="仿宋" w:eastAsia="仿宋"/>
          <w:b w:val="0"/>
          <w:bCs w:val="0"/>
          <w:sz w:val="32"/>
          <w:szCs w:val="32"/>
        </w:rPr>
        <w:t>公共安全支出（类）公安（款）</w:t>
      </w:r>
      <w:r>
        <w:rPr>
          <w:rStyle w:val="18"/>
          <w:rFonts w:hint="eastAsia" w:ascii="仿宋" w:hAnsi="仿宋" w:eastAsia="仿宋"/>
          <w:b w:val="0"/>
          <w:bCs w:val="0"/>
          <w:sz w:val="32"/>
          <w:szCs w:val="32"/>
          <w:lang w:eastAsia="zh-CN"/>
        </w:rPr>
        <w:t>其他公安支出</w:t>
      </w:r>
      <w:r>
        <w:rPr>
          <w:rStyle w:val="18"/>
          <w:rFonts w:hint="eastAsia" w:ascii="仿宋" w:hAnsi="仿宋" w:eastAsia="仿宋"/>
          <w:b w:val="0"/>
          <w:bCs w:val="0"/>
          <w:sz w:val="32"/>
          <w:szCs w:val="32"/>
        </w:rPr>
        <w:t>（项）</w:t>
      </w:r>
      <w:r>
        <w:rPr>
          <w:rStyle w:val="18"/>
          <w:rFonts w:ascii="仿宋" w:hAnsi="仿宋" w:eastAsia="仿宋"/>
          <w:b w:val="0"/>
          <w:bCs w:val="0"/>
          <w:sz w:val="32"/>
          <w:szCs w:val="32"/>
        </w:rPr>
        <w:t xml:space="preserve">: </w:t>
      </w:r>
      <w:r>
        <w:rPr>
          <w:rStyle w:val="18"/>
          <w:rFonts w:hint="eastAsia" w:ascii="仿宋" w:hAnsi="仿宋" w:eastAsia="仿宋"/>
          <w:b w:val="0"/>
          <w:bCs/>
          <w:sz w:val="32"/>
          <w:szCs w:val="32"/>
        </w:rPr>
        <w:t>支出决算为</w:t>
      </w:r>
      <w:r>
        <w:rPr>
          <w:rFonts w:hint="eastAsia" w:eastAsia="仿宋_GB2312" w:cs="仿宋_GB2312"/>
          <w:color w:val="auto"/>
          <w:kern w:val="2"/>
          <w:sz w:val="32"/>
          <w:szCs w:val="32"/>
          <w:highlight w:val="none"/>
          <w:lang w:val="en-US" w:eastAsia="zh-CN" w:bidi="ar-SA"/>
        </w:rPr>
        <w:t>1105.10</w:t>
      </w:r>
      <w:r>
        <w:rPr>
          <w:rFonts w:hint="eastAsia" w:ascii="Times New Roman" w:hAnsi="Times New Roman" w:eastAsia="仿宋_GB2312" w:cs="仿宋_GB2312"/>
          <w:b w:val="0"/>
          <w:bCs w:val="0"/>
          <w:color w:val="auto"/>
          <w:kern w:val="2"/>
          <w:sz w:val="32"/>
          <w:szCs w:val="32"/>
          <w:highlight w:val="none"/>
          <w:lang w:val="en-US" w:eastAsia="zh-CN" w:bidi="ar-SA"/>
        </w:rPr>
        <w:t>万元，完</w:t>
      </w:r>
      <w:r>
        <w:rPr>
          <w:rFonts w:hint="eastAsia" w:ascii="Times New Roman" w:hAnsi="Times New Roman" w:eastAsia="仿宋_GB2312" w:cs="仿宋_GB2312"/>
          <w:color w:val="auto"/>
          <w:kern w:val="2"/>
          <w:sz w:val="32"/>
          <w:szCs w:val="32"/>
          <w:highlight w:val="none"/>
          <w:lang w:val="en-US" w:eastAsia="zh-CN" w:bidi="ar-SA"/>
        </w:rPr>
        <w:t>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4.社会保障和就业支出（类）行政事业单位养老（款）行政单位离退休（项）: 支出决算为</w:t>
      </w:r>
      <w:r>
        <w:rPr>
          <w:rFonts w:hint="eastAsia" w:eastAsia="仿宋_GB2312" w:cs="仿宋_GB2312"/>
          <w:color w:val="auto"/>
          <w:kern w:val="2"/>
          <w:sz w:val="32"/>
          <w:szCs w:val="32"/>
          <w:highlight w:val="none"/>
          <w:lang w:val="en-US" w:eastAsia="zh-CN" w:bidi="ar-SA"/>
        </w:rPr>
        <w:t>287.62</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5.社会保障和就业支出（类）行政事业单位养老（款）机关事业单位基本养老保险缴费支出（项）:支出决算为</w:t>
      </w:r>
      <w:r>
        <w:rPr>
          <w:rFonts w:hint="eastAsia" w:eastAsia="仿宋_GB2312" w:cs="仿宋_GB2312"/>
          <w:color w:val="auto"/>
          <w:kern w:val="2"/>
          <w:sz w:val="32"/>
          <w:szCs w:val="32"/>
          <w:highlight w:val="none"/>
          <w:lang w:val="en-US" w:eastAsia="zh-CN" w:bidi="ar-SA"/>
        </w:rPr>
        <w:t>701.82</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6.社会保障和就业支出（类）行政事业单位养老（款）机关事业单位职业年金缴费支出（项）:支出决算为</w:t>
      </w:r>
      <w:r>
        <w:rPr>
          <w:rFonts w:hint="eastAsia" w:eastAsia="仿宋_GB2312" w:cs="仿宋_GB2312"/>
          <w:color w:val="auto"/>
          <w:kern w:val="2"/>
          <w:sz w:val="32"/>
          <w:szCs w:val="32"/>
          <w:highlight w:val="none"/>
          <w:lang w:val="en-US" w:eastAsia="zh-CN" w:bidi="ar-SA"/>
        </w:rPr>
        <w:t>28.02</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7.社会保障和就业支出（类）抚恤（款）死亡抚恤（项）:支出决算为129.08万元，完成预算100%，决算数等于预算数。</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8.卫生健康支出（类）行政事业单位医疗（款）行政单位医疗（项）: 支出决算为367.90万元，完成预算100%，决算数等于预算数。</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9.卫生健康支出（类）行政事业单位医疗（款）公务员医疗补助（项）: 支出决算为38.44万元，完成预算100%。决算数等于预算数。</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10.住房保障支出（类）住房改革支出（款）住房公积金（项）:支出决算为580.10万元，完成预算100%，决算数等于预算数。</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tabs>
          <w:tab w:val="right" w:pos="8306"/>
        </w:tabs>
        <w:spacing w:line="600" w:lineRule="exact"/>
        <w:ind w:firstLine="640"/>
        <w:outlineLvl w:val="1"/>
        <w:rPr>
          <w:rStyle w:val="29"/>
          <w:rFonts w:ascii="Times New Roman" w:hAnsi="Times New Roman"/>
          <w:color w:val="auto"/>
          <w:highlight w:val="none"/>
        </w:rPr>
      </w:pPr>
      <w:bookmarkStart w:id="29" w:name="_Toc15396608"/>
      <w:bookmarkStart w:id="30"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29"/>
      <w:bookmarkEnd w:id="30"/>
      <w:r>
        <w:rPr>
          <w:rStyle w:val="29"/>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8667.41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7590.9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元，主要包括：基本工资1455.27</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津贴补贴1913.38</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奖金1757.91</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机关事业单位基本养老保险缴费701.82</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职业年金缴费28.02</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职工基本医疗保险缴费367.9</w:t>
      </w:r>
      <w:r>
        <w:rPr>
          <w:rFonts w:hint="eastAsia" w:eastAsia="仿宋_GB2312" w:cs="仿宋_GB2312"/>
          <w:color w:val="auto"/>
          <w:kern w:val="2"/>
          <w:sz w:val="32"/>
          <w:szCs w:val="32"/>
          <w:highlight w:val="none"/>
          <w:lang w:val="en-US" w:eastAsia="zh-CN" w:bidi="ar-SA"/>
        </w:rPr>
        <w:t>0万元、</w:t>
      </w:r>
      <w:r>
        <w:rPr>
          <w:rFonts w:hint="eastAsia" w:ascii="Times New Roman" w:hAnsi="Times New Roman" w:eastAsia="仿宋_GB2312" w:cs="仿宋_GB2312"/>
          <w:color w:val="auto"/>
          <w:kern w:val="2"/>
          <w:sz w:val="32"/>
          <w:szCs w:val="32"/>
          <w:highlight w:val="none"/>
          <w:lang w:val="en-US" w:eastAsia="zh-CN" w:bidi="ar-SA"/>
        </w:rPr>
        <w:t>公务员医疗补助缴费86.3</w:t>
      </w:r>
      <w:r>
        <w:rPr>
          <w:rFonts w:hint="eastAsia" w:eastAsia="仿宋_GB2312" w:cs="仿宋_GB2312"/>
          <w:color w:val="auto"/>
          <w:kern w:val="2"/>
          <w:sz w:val="32"/>
          <w:szCs w:val="32"/>
          <w:highlight w:val="none"/>
          <w:lang w:val="en-US" w:eastAsia="zh-CN" w:bidi="ar-SA"/>
        </w:rPr>
        <w:t>0万元、</w:t>
      </w:r>
      <w:r>
        <w:rPr>
          <w:rFonts w:hint="eastAsia" w:ascii="Times New Roman" w:hAnsi="Times New Roman" w:eastAsia="仿宋_GB2312" w:cs="仿宋_GB2312"/>
          <w:color w:val="auto"/>
          <w:kern w:val="2"/>
          <w:sz w:val="32"/>
          <w:szCs w:val="32"/>
          <w:highlight w:val="none"/>
          <w:lang w:val="en-US" w:eastAsia="zh-CN" w:bidi="ar-SA"/>
        </w:rPr>
        <w:t>其他社会保障缴费10.46</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住房公积金580.1</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其他工资福利支出275.84</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抚恤金129.08</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生活补助264.62</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医疗费补助20.02</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奖励金0.23</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1076.46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元，主要包括：办公费373.87</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水费13</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电费80</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邮电费8</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差旅费69.99</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 xml:space="preserve"> 维修（护）费5</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公务接待费0.13</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委托业务费10</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工会经费62.13</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福利费23.98</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公务用车运行维护费98.45</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其他交通费用299.1</w:t>
      </w:r>
      <w:r>
        <w:rPr>
          <w:rFonts w:hint="eastAsia" w:eastAsia="仿宋_GB2312" w:cs="仿宋_GB2312"/>
          <w:color w:val="auto"/>
          <w:kern w:val="2"/>
          <w:sz w:val="32"/>
          <w:szCs w:val="32"/>
          <w:highlight w:val="none"/>
          <w:lang w:val="en-US" w:eastAsia="zh-CN" w:bidi="ar-SA"/>
        </w:rPr>
        <w:t>0万元、</w:t>
      </w:r>
      <w:r>
        <w:rPr>
          <w:rFonts w:hint="eastAsia" w:ascii="Times New Roman" w:hAnsi="Times New Roman" w:eastAsia="仿宋_GB2312" w:cs="仿宋_GB2312"/>
          <w:color w:val="auto"/>
          <w:kern w:val="2"/>
          <w:sz w:val="32"/>
          <w:szCs w:val="32"/>
          <w:highlight w:val="none"/>
          <w:lang w:val="en-US" w:eastAsia="zh-CN" w:bidi="ar-SA"/>
        </w:rPr>
        <w:t>其他商品和服务支出32.81</w:t>
      </w:r>
      <w:r>
        <w:rPr>
          <w:rFonts w:hint="eastAsia" w:eastAsia="仿宋_GB2312" w:cs="仿宋_GB2312"/>
          <w:color w:val="auto"/>
          <w:kern w:val="2"/>
          <w:sz w:val="32"/>
          <w:szCs w:val="32"/>
          <w:highlight w:val="none"/>
          <w:lang w:val="en-US" w:eastAsia="zh-CN" w:bidi="ar-SA"/>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outlineLvl w:val="1"/>
        <w:rPr>
          <w:rStyle w:val="29"/>
          <w:rFonts w:ascii="Times New Roman" w:hAnsi="Times New Roman" w:eastAsia="黑体"/>
          <w:b w:val="0"/>
          <w:color w:val="auto"/>
          <w:highlight w:val="none"/>
        </w:rPr>
      </w:pPr>
      <w:bookmarkStart w:id="31" w:name="_Toc15396609"/>
      <w:bookmarkStart w:id="32"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1"/>
      <w:bookmarkEnd w:id="32"/>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3"/>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98.58</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2.83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%。决算数与预算数持平的主要原因是</w:t>
      </w:r>
      <w:r>
        <w:rPr>
          <w:rFonts w:hint="eastAsia" w:eastAsia="仿宋_GB2312" w:cs="仿宋_GB2312"/>
          <w:color w:val="auto"/>
          <w:kern w:val="2"/>
          <w:sz w:val="32"/>
          <w:szCs w:val="32"/>
          <w:highlight w:val="none"/>
          <w:lang w:val="en-US" w:eastAsia="zh-CN" w:bidi="ar-SA"/>
        </w:rPr>
        <w:t>本年度我局严格落实财政下达关于过“紧日子”要求，厉行节约，缩减三公经费支出</w:t>
      </w:r>
      <w:r>
        <w:rPr>
          <w:rFonts w:hint="eastAsia" w:eastAsia="仿宋_GB2312" w:cs="仿宋_GB2312"/>
          <w:b/>
          <w:bCs/>
          <w:color w:val="auto"/>
          <w:kern w:val="2"/>
          <w:sz w:val="32"/>
          <w:szCs w:val="32"/>
          <w:highlight w:val="none"/>
          <w:lang w:val="en-US" w:eastAsia="zh-CN" w:bidi="ar-SA"/>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4"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4"/>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98.45</w:t>
      </w:r>
      <w:r>
        <w:rPr>
          <w:rFonts w:hint="eastAsia" w:ascii="仿宋_GB2312" w:hAnsi="仿宋_GB2312" w:eastAsia="仿宋_GB2312" w:cs="仿宋_GB2312"/>
          <w:color w:val="auto"/>
          <w:kern w:val="2"/>
          <w:sz w:val="32"/>
          <w:szCs w:val="32"/>
          <w:highlight w:val="none"/>
          <w:lang w:val="en-US" w:eastAsia="zh-CN" w:bidi="ar-SA"/>
        </w:rPr>
        <w:t>万元，占99.87%；公务接待费支出决算</w:t>
      </w:r>
      <w:r>
        <w:rPr>
          <w:rFonts w:hint="eastAsia" w:ascii="仿宋_GB2312" w:hAnsi="仿宋_GB2312" w:eastAsia="仿宋_GB2312" w:cs="仿宋_GB2312"/>
          <w:sz w:val="32"/>
          <w:szCs w:val="32"/>
        </w:rPr>
        <w:t>0.13</w:t>
      </w:r>
      <w:r>
        <w:rPr>
          <w:rFonts w:hint="eastAsia" w:ascii="仿宋_GB2312" w:hAnsi="仿宋_GB2312" w:eastAsia="仿宋_GB2312" w:cs="仿宋_GB2312"/>
          <w:color w:val="auto"/>
          <w:kern w:val="2"/>
          <w:sz w:val="32"/>
          <w:szCs w:val="32"/>
          <w:highlight w:val="none"/>
          <w:lang w:val="en-US" w:eastAsia="zh-CN" w:bidi="ar-SA"/>
        </w:rPr>
        <w:t>万元，占0.13%。具体情况如下：</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72000" cy="2743200"/>
            <wp:effectExtent l="4445" t="4445" r="14605" b="14605"/>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numPr>
          <w:ilvl w:val="0"/>
          <w:numId w:val="0"/>
        </w:numPr>
        <w:spacing w:line="600" w:lineRule="exact"/>
        <w:ind w:firstLine="643" w:firstLineChars="200"/>
        <w:rPr>
          <w:rFonts w:hint="eastAsia" w:eastAsia="仿宋_GB2312" w:cs="仿宋_GB2312"/>
          <w:color w:val="auto"/>
          <w:kern w:val="2"/>
          <w:sz w:val="32"/>
          <w:szCs w:val="32"/>
          <w:highlight w:val="none"/>
          <w:lang w:val="en-US" w:eastAsia="zh-CN" w:bidi="ar-SA"/>
        </w:rPr>
      </w:pPr>
      <w:r>
        <w:rPr>
          <w:rFonts w:hint="eastAsia"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无此项支出。</w:t>
      </w:r>
    </w:p>
    <w:p>
      <w:pPr>
        <w:numPr>
          <w:ilvl w:val="0"/>
          <w:numId w:val="0"/>
        </w:numPr>
        <w:spacing w:line="600" w:lineRule="exact"/>
        <w:ind w:firstLine="643"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98.45万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2.82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本年度我局严格落实财政下达关于过“紧日子”要求，厉行节约，缩减三公经费支出</w:t>
      </w:r>
      <w:r>
        <w:rPr>
          <w:rFonts w:hint="eastAsia" w:eastAsia="仿宋_GB2312" w:cs="仿宋_GB2312"/>
          <w:b/>
          <w:bCs/>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ind w:firstLine="640"/>
        <w:rPr>
          <w:rFonts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98.45</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ascii="仿宋_GB2312" w:eastAsia="仿宋_GB2312"/>
          <w:sz w:val="32"/>
          <w:szCs w:val="32"/>
        </w:rPr>
        <w:t>我局办案业务、执法执勤等工作所需的公务用车燃料费、维修费、过路过桥费、保险费等支出。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0.13万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0.01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本年度公务接待费用较2023年有一定节约</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0.13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w:t>
      </w:r>
      <w:r>
        <w:rPr>
          <w:rFonts w:hint="eastAsia" w:ascii="仿宋_GB2312" w:eastAsia="仿宋_GB2312"/>
          <w:sz w:val="32"/>
          <w:szCs w:val="32"/>
          <w:lang w:eastAsia="zh-CN"/>
        </w:rPr>
        <w:t>市外办案单位来到</w:t>
      </w:r>
      <w:r>
        <w:rPr>
          <w:rFonts w:hint="eastAsia" w:ascii="仿宋_GB2312" w:eastAsia="仿宋_GB2312"/>
          <w:sz w:val="32"/>
          <w:szCs w:val="32"/>
        </w:rPr>
        <w:t>我局</w:t>
      </w:r>
      <w:r>
        <w:rPr>
          <w:rFonts w:hint="eastAsia" w:ascii="仿宋_GB2312" w:eastAsia="仿宋_GB2312"/>
          <w:sz w:val="32"/>
          <w:szCs w:val="32"/>
          <w:lang w:eastAsia="zh-CN"/>
        </w:rPr>
        <w:t>开展学习考察</w:t>
      </w:r>
      <w:r>
        <w:rPr>
          <w:rFonts w:hint="eastAsia" w:ascii="仿宋_GB2312" w:eastAsia="仿宋_GB2312"/>
          <w:sz w:val="32"/>
          <w:szCs w:val="32"/>
        </w:rPr>
        <w:t>活动开支的用餐费。</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5</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0.13</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ascii="仿宋_GB2312" w:eastAsia="仿宋_GB2312"/>
          <w:sz w:val="32"/>
          <w:szCs w:val="32"/>
          <w:lang w:eastAsia="zh-CN"/>
        </w:rPr>
        <w:t>相关单位</w:t>
      </w:r>
      <w:r>
        <w:rPr>
          <w:rFonts w:hint="eastAsia" w:ascii="仿宋_GB2312" w:eastAsia="仿宋_GB2312"/>
          <w:sz w:val="32"/>
          <w:szCs w:val="32"/>
        </w:rPr>
        <w:t>部门5人到我局调研开展相关工作，调研结束后按公务接待标准及文件规定申报公务接待事项，公务接待晚餐共计花费0.1</w:t>
      </w:r>
      <w:r>
        <w:rPr>
          <w:rFonts w:hint="eastAsia" w:ascii="仿宋_GB2312" w:eastAsia="仿宋_GB2312"/>
          <w:sz w:val="32"/>
          <w:szCs w:val="32"/>
          <w:lang w:val="en-US" w:eastAsia="zh-CN"/>
        </w:rPr>
        <w:t>3</w:t>
      </w:r>
      <w:r>
        <w:rPr>
          <w:rFonts w:hint="eastAsia" w:ascii="仿宋_GB2312" w:eastAsia="仿宋_GB2312"/>
          <w:sz w:val="32"/>
          <w:szCs w:val="32"/>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万元，无此项支出</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5" w:name="_Toc15377218"/>
      <w:bookmarkStart w:id="36" w:name="_Toc15396610"/>
    </w:p>
    <w:p>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35"/>
      <w:bookmarkEnd w:id="36"/>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p>
    <w:p>
      <w:pPr>
        <w:pStyle w:val="2"/>
        <w:rPr>
          <w:rFonts w:hint="eastAsia"/>
          <w:lang w:val="en-US" w:eastAsia="zh-CN"/>
        </w:rPr>
      </w:pP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37" w:name="_Toc15396611"/>
      <w:bookmarkStart w:id="38" w:name="_Toc15377219"/>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37"/>
      <w:bookmarkEnd w:id="38"/>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p>
    <w:p>
      <w:pPr>
        <w:pStyle w:val="2"/>
        <w:rPr>
          <w:rFonts w:hint="eastAsia"/>
          <w:lang w:val="en-US" w:eastAsia="zh-CN"/>
        </w:rPr>
      </w:pP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39" w:name="_Toc15396612"/>
      <w:bookmarkStart w:id="40"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39"/>
      <w:bookmarkEnd w:id="40"/>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1" w:name="_Toc15377222"/>
      <w:r>
        <w:rPr>
          <w:rFonts w:hint="eastAsia" w:ascii="Times New Roman" w:hAnsi="Times New Roman" w:eastAsia="楷体_GB2312" w:cs="楷体_GB2312"/>
          <w:b/>
          <w:color w:val="auto"/>
          <w:sz w:val="32"/>
          <w:szCs w:val="32"/>
          <w:highlight w:val="none"/>
        </w:rPr>
        <w:t>（一）机关运行经费支出情况</w:t>
      </w:r>
      <w:bookmarkEnd w:id="41"/>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攀枝花市公安局仁和区分局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1076.46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360.61</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50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本年度我局特别业务费支出较2023年度有一定增长，主要是办大案要案业务相关费用较上年有一定比例增长所致。</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23"/>
      <w:r>
        <w:rPr>
          <w:rFonts w:hint="eastAsia" w:ascii="Times New Roman" w:hAnsi="Times New Roman" w:eastAsia="楷体_GB2312" w:cs="楷体_GB2312"/>
          <w:b/>
          <w:color w:val="auto"/>
          <w:sz w:val="32"/>
          <w:szCs w:val="32"/>
          <w:highlight w:val="none"/>
        </w:rPr>
        <w:t>（二）政府采购支出情况</w:t>
      </w:r>
      <w:bookmarkEnd w:id="42"/>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攀枝花市公安局仁和区分局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95</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95</w:t>
      </w:r>
      <w:r>
        <w:rPr>
          <w:rFonts w:hint="eastAsia" w:ascii="仿宋_GB2312" w:hAnsi="仿宋_GB2312" w:eastAsia="仿宋_GB2312" w:cs="仿宋_GB2312"/>
          <w:color w:val="auto"/>
          <w:kern w:val="2"/>
          <w:sz w:val="32"/>
          <w:szCs w:val="32"/>
          <w:highlight w:val="none"/>
          <w:lang w:val="en-US" w:eastAsia="zh-CN" w:bidi="ar-SA"/>
        </w:rPr>
        <w:t>万元。主要用于采购机关食堂食材及劳务费。授予中小企业合同金额</w:t>
      </w:r>
      <w:r>
        <w:rPr>
          <w:rFonts w:hint="eastAsia" w:ascii="仿宋_GB2312" w:hAnsi="仿宋_GB2312" w:eastAsia="仿宋_GB2312" w:cs="仿宋_GB2312"/>
          <w:sz w:val="32"/>
          <w:szCs w:val="32"/>
        </w:rPr>
        <w:t>95</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95</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3" w:name="_Toc15377224"/>
      <w:r>
        <w:rPr>
          <w:rFonts w:hint="eastAsia" w:ascii="Times New Roman" w:hAnsi="Times New Roman" w:eastAsia="楷体_GB2312" w:cs="楷体_GB2312"/>
          <w:b/>
          <w:color w:val="auto"/>
          <w:sz w:val="32"/>
          <w:szCs w:val="32"/>
          <w:highlight w:val="none"/>
        </w:rPr>
        <w:t>（三）国有资产占有使用情况</w:t>
      </w:r>
      <w:bookmarkEnd w:id="43"/>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攀枝花市公安局仁和区分局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60</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kern w:val="2"/>
          <w:sz w:val="32"/>
          <w:szCs w:val="32"/>
          <w:highlight w:val="none"/>
          <w:lang w:val="en-US" w:eastAsia="zh-CN" w:bidi="ar-SA"/>
        </w:rPr>
        <w:t>辆，</w:t>
      </w:r>
      <w:r>
        <w:rPr>
          <w:rFonts w:hint="eastAsia" w:ascii="仿宋_GB2312" w:eastAsia="仿宋_GB2312"/>
          <w:sz w:val="32"/>
          <w:szCs w:val="32"/>
          <w:highlight w:val="none"/>
        </w:rPr>
        <w:t>主要是特种专业技术用车，用于执法办案工作需要。</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攀枝花市公安局仁和区分局</w:t>
      </w:r>
      <w:r>
        <w:rPr>
          <w:rFonts w:hint="eastAsia" w:ascii="Times New Roman" w:hAnsi="Times New Roman" w:eastAsia="仿宋_GB2312" w:cs="仿宋_GB2312"/>
          <w:color w:val="auto"/>
          <w:kern w:val="2"/>
          <w:sz w:val="32"/>
          <w:szCs w:val="32"/>
          <w:highlight w:val="none"/>
          <w:lang w:val="en-US" w:eastAsia="zh-CN" w:bidi="ar-SA"/>
        </w:rPr>
        <w:t>在2024年度预算编制阶段，组织对特别业务费、202</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年攀枝花市铁路护路资金</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个项目开展绩效监控。项目自评数与项目数不一致的原因是：我局未公开项目自评监控的项目里包含政法转移支付资金项目（因涉密未公开）</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个。绩效自评表详见第四部分附件。</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4" w:name="_Toc15377225"/>
      <w:bookmarkStart w:id="45" w:name="_Toc15396613"/>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4"/>
      <w:bookmarkEnd w:id="45"/>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2.其他收入：指单位取得的除上述收入以外的各项收入。</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 xml:space="preserve">.公共安全支出（类）公安（款）行政运行（项）:反映行政单位（包括实行公务员管理的事业单位）的基本支出。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.公共安全支出（类）公安（款）一般行政管理事务（项）: 反映行政单位（包括实行公务员管理的事业单位）未单独设置项级科目的其他项目支出。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.公共安全支出（类）公安（款）其他公安支出（项）: 反映公安事务及管理支出其他用于公安方面的支出。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.公共安全支出（类）其他公共安全支出（款）其他公共安全支出（项）: 反映其他用于公安方面的支出。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社会保障和就业支出（类）行政事业单位养老支出（款）行政单位离退休（项）: 反映行政单位（包括实行公务员管理的事业单位）开支的离退休经费。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.社会保障和就业支出（类）行政事业单位养老支出（款）机关事业单位基本养老保险缴费支出（项）:反映机关事业单位实施养老保险制度由单位缴纳的基本养老保险费支出。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.社会保障和就业支出（类）行政事业单位养老（款）机关事业单位职业年金缴费支出（项）:反映机关事业单位实施养老保险制度由单位实际缴纳的职业年金支出。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.社会保障和就业支出（类）抚恤（款）死亡抚恤（项）:反映按规定用于烈士和牺牲、病故人员家属的一次性和定期抚恤金、丧葬补助费以及烈士褒扬金。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.卫生健康支出（类）行政事业单位医疗（款）行政单位医疗（项）: 反映财政部门安排的行政单位（包括实行公务员管理的事业单位）基本医疗保险缴费经费，未参加医疗保险的行政单位的公费医疗经费，按国家规定享受离休人员、红军老战士待遇人员的医疗经费。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.卫生健康支出（类）行政事业单位医疗（款）公务员医疗补助（项）: 反映财政部门安排的公务员医疗补助经费。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.卫生健康支出（类）行政事业单位医疗（款）其他行政事业单位医疗支出（项）: 反映除上述项目以外的其他用于行政事业单位医疗方面的支出。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.住房保障支出（类）住房改革支出（款）住房公积金（项）:反映行政事业单位按人力资源和社会保障部、财政部规定的基本工资何津贴补贴以及规定比例为职工缴纳的住房公积金。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18</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jc w:val="center"/>
        <w:rPr>
          <w:rStyle w:val="28"/>
          <w:rFonts w:hint="eastAsia" w:ascii="Times New Roman" w:hAnsi="Times New Roman" w:eastAsia="黑体"/>
          <w:b w:val="0"/>
          <w:color w:val="FF0000"/>
          <w:highlight w:val="none"/>
          <w:lang w:eastAsia="zh-CN"/>
        </w:rPr>
      </w:pPr>
      <w:bookmarkStart w:id="46" w:name="_Toc15377226"/>
      <w:r>
        <w:rPr>
          <w:rFonts w:hint="eastAsia" w:ascii="Times New Roman" w:hAnsi="Times New Roman" w:eastAsia="仿宋_GB2312" w:cs="仿宋_GB2312"/>
          <w:color w:val="auto"/>
          <w:kern w:val="2"/>
          <w:sz w:val="32"/>
          <w:szCs w:val="32"/>
          <w:highlight w:val="none"/>
          <w:lang w:val="en-US" w:eastAsia="zh-CN" w:bidi="ar-SA"/>
        </w:rPr>
        <w:br w:type="page"/>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widowControl/>
        <w:jc w:val="center"/>
        <w:rPr>
          <w:rFonts w:hint="eastAsia" w:ascii="Times New Roman" w:hAnsi="Times New Roman" w:eastAsia="黑体"/>
          <w:b w:val="0"/>
          <w:color w:val="auto"/>
          <w:highlight w:val="none"/>
          <w:lang w:eastAsia="zh-CN"/>
        </w:rPr>
      </w:pPr>
      <w:bookmarkStart w:id="47" w:name="_Toc15396618"/>
      <w:r>
        <w:rPr>
          <w:rFonts w:hint="eastAsia" w:ascii="Times New Roman" w:hAnsi="Times New Roman" w:eastAsia="黑体"/>
          <w:color w:val="auto"/>
          <w:sz w:val="44"/>
          <w:szCs w:val="44"/>
          <w:highlight w:val="none"/>
        </w:rPr>
        <w:t>第</w:t>
      </w:r>
      <w:r>
        <w:rPr>
          <w:rStyle w:val="28"/>
          <w:rFonts w:hint="eastAsia" w:eastAsia="黑体"/>
          <w:b w:val="0"/>
          <w:color w:val="auto"/>
          <w:highlight w:val="none"/>
          <w:lang w:eastAsia="zh-CN"/>
        </w:rPr>
        <w:t>四</w:t>
      </w:r>
      <w:r>
        <w:rPr>
          <w:rStyle w:val="28"/>
          <w:rFonts w:hint="eastAsia" w:ascii="Times New Roman" w:hAnsi="Times New Roman" w:eastAsia="黑体"/>
          <w:b w:val="0"/>
          <w:color w:val="auto"/>
          <w:highlight w:val="none"/>
        </w:rPr>
        <w:t>部分 附</w:t>
      </w:r>
      <w:bookmarkEnd w:id="46"/>
      <w:bookmarkEnd w:id="47"/>
      <w:bookmarkStart w:id="48" w:name="_Toc15396619"/>
      <w:r>
        <w:rPr>
          <w:rStyle w:val="28"/>
          <w:rFonts w:hint="eastAsia" w:eastAsia="黑体"/>
          <w:b w:val="0"/>
          <w:color w:val="auto"/>
          <w:highlight w:val="none"/>
          <w:lang w:eastAsia="zh-CN"/>
        </w:rPr>
        <w:t>件</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r>
        <w:rPr>
          <w:rFonts w:hint="eastAsia" w:eastAsia="仿宋_GB2312" w:cs="仿宋_GB2312"/>
          <w:color w:val="auto"/>
          <w:sz w:val="32"/>
          <w:szCs w:val="32"/>
          <w:highlight w:val="none"/>
          <w:lang w:eastAsia="zh-CN"/>
        </w:rPr>
        <w:t>部门预算项目支出绩效自评表（</w:t>
      </w:r>
      <w:r>
        <w:rPr>
          <w:rFonts w:hint="eastAsia" w:eastAsia="仿宋_GB2312" w:cs="仿宋_GB2312"/>
          <w:color w:val="auto"/>
          <w:sz w:val="32"/>
          <w:szCs w:val="32"/>
          <w:highlight w:val="none"/>
          <w:lang w:val="en-US" w:eastAsia="zh-CN"/>
        </w:rPr>
        <w:t>2024年度</w:t>
      </w:r>
      <w:r>
        <w:rPr>
          <w:rFonts w:hint="eastAsia" w:eastAsia="仿宋_GB2312" w:cs="仿宋_GB2312"/>
          <w:color w:val="auto"/>
          <w:sz w:val="32"/>
          <w:szCs w:val="32"/>
          <w:highlight w:val="none"/>
          <w:lang w:eastAsia="zh-CN"/>
        </w:rPr>
        <w:t>）见附件</w:t>
      </w:r>
      <w:r>
        <w:rPr>
          <w:rFonts w:hint="eastAsia" w:eastAsia="仿宋_GB2312" w:cs="仿宋_GB2312"/>
          <w:color w:val="auto"/>
          <w:sz w:val="32"/>
          <w:szCs w:val="32"/>
          <w:highlight w:val="none"/>
          <w:lang w:val="en-US" w:eastAsia="zh-CN"/>
        </w:rPr>
        <w:t>3</w:t>
      </w:r>
      <w:bookmarkEnd w:id="48"/>
      <w:r>
        <w:rPr>
          <w:rFonts w:hint="eastAsia" w:eastAsia="仿宋_GB2312" w:cs="仿宋_GB2312"/>
          <w:color w:val="auto"/>
          <w:sz w:val="32"/>
          <w:szCs w:val="32"/>
          <w:highlight w:val="none"/>
          <w:lang w:val="en-US" w:eastAsia="zh-CN"/>
        </w:rPr>
        <w:t>。</w:t>
      </w:r>
    </w:p>
    <w:p>
      <w:pPr>
        <w:rPr>
          <w:rFonts w:hint="eastAsia" w:ascii="Times New Roman" w:hAnsi="Times New Roman"/>
          <w:lang w:eastAsia="zh-CN"/>
        </w:rPr>
      </w:pPr>
    </w:p>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04AB2"/>
    <w:multiLevelType w:val="singleLevel"/>
    <w:tmpl w:val="D7204A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YzdhMTE3ZWNkNjE2NGI5MmJjOGE2Y2RmNTc0M2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AE752A"/>
    <w:rsid w:val="01F62035"/>
    <w:rsid w:val="02FEBE30"/>
    <w:rsid w:val="03D746CC"/>
    <w:rsid w:val="04916F1E"/>
    <w:rsid w:val="061E35DE"/>
    <w:rsid w:val="062C51A3"/>
    <w:rsid w:val="066E0107"/>
    <w:rsid w:val="06700ADA"/>
    <w:rsid w:val="07996F6E"/>
    <w:rsid w:val="07DFD8BA"/>
    <w:rsid w:val="08B84ACC"/>
    <w:rsid w:val="09867E8F"/>
    <w:rsid w:val="0A2032A3"/>
    <w:rsid w:val="0A5B6057"/>
    <w:rsid w:val="0B5A630E"/>
    <w:rsid w:val="0B7727C1"/>
    <w:rsid w:val="0BDF0872"/>
    <w:rsid w:val="0C1E733C"/>
    <w:rsid w:val="0CA8290A"/>
    <w:rsid w:val="0CF16AD2"/>
    <w:rsid w:val="0D35B1ED"/>
    <w:rsid w:val="0DFF4117"/>
    <w:rsid w:val="0E254B6B"/>
    <w:rsid w:val="0E6D1D7A"/>
    <w:rsid w:val="0F564A91"/>
    <w:rsid w:val="0F98263C"/>
    <w:rsid w:val="101860EC"/>
    <w:rsid w:val="101F47CC"/>
    <w:rsid w:val="10C055FF"/>
    <w:rsid w:val="11694EBD"/>
    <w:rsid w:val="11772AA4"/>
    <w:rsid w:val="118107EC"/>
    <w:rsid w:val="12E24EE2"/>
    <w:rsid w:val="13D50BC4"/>
    <w:rsid w:val="14B17F78"/>
    <w:rsid w:val="16210154"/>
    <w:rsid w:val="165E0673"/>
    <w:rsid w:val="169F72CB"/>
    <w:rsid w:val="16B831D5"/>
    <w:rsid w:val="16BB723D"/>
    <w:rsid w:val="17604AD5"/>
    <w:rsid w:val="17823040"/>
    <w:rsid w:val="17E50567"/>
    <w:rsid w:val="186504BB"/>
    <w:rsid w:val="19A22A9C"/>
    <w:rsid w:val="19A445FC"/>
    <w:rsid w:val="1B0E3D27"/>
    <w:rsid w:val="1BE8440E"/>
    <w:rsid w:val="1CA76EDA"/>
    <w:rsid w:val="1D155CEE"/>
    <w:rsid w:val="1D1638FE"/>
    <w:rsid w:val="1E312DEB"/>
    <w:rsid w:val="1E740ACF"/>
    <w:rsid w:val="1FF35744"/>
    <w:rsid w:val="1FF6BC77"/>
    <w:rsid w:val="20896F92"/>
    <w:rsid w:val="20E73D48"/>
    <w:rsid w:val="2186353C"/>
    <w:rsid w:val="22384D53"/>
    <w:rsid w:val="23860B96"/>
    <w:rsid w:val="23867DB3"/>
    <w:rsid w:val="240371BF"/>
    <w:rsid w:val="244F3473"/>
    <w:rsid w:val="24C01AB2"/>
    <w:rsid w:val="24C97D99"/>
    <w:rsid w:val="25A718F0"/>
    <w:rsid w:val="25BB59F6"/>
    <w:rsid w:val="260F557C"/>
    <w:rsid w:val="26970054"/>
    <w:rsid w:val="281408E2"/>
    <w:rsid w:val="281A0EA7"/>
    <w:rsid w:val="29FD04D3"/>
    <w:rsid w:val="2ABB0720"/>
    <w:rsid w:val="2BD66E93"/>
    <w:rsid w:val="2BFF7BC6"/>
    <w:rsid w:val="2C8A61B5"/>
    <w:rsid w:val="2CDA0C05"/>
    <w:rsid w:val="2DF04E50"/>
    <w:rsid w:val="2E5461D3"/>
    <w:rsid w:val="2E586DFA"/>
    <w:rsid w:val="2F040D46"/>
    <w:rsid w:val="2F1C03BA"/>
    <w:rsid w:val="2F6B035B"/>
    <w:rsid w:val="2FAE5751"/>
    <w:rsid w:val="2FB1A395"/>
    <w:rsid w:val="2FD9A7D8"/>
    <w:rsid w:val="2FDBF714"/>
    <w:rsid w:val="30AB6865"/>
    <w:rsid w:val="319F7F4E"/>
    <w:rsid w:val="32BD1EF1"/>
    <w:rsid w:val="3304709D"/>
    <w:rsid w:val="33773DF2"/>
    <w:rsid w:val="33A773CB"/>
    <w:rsid w:val="349D6851"/>
    <w:rsid w:val="356067C2"/>
    <w:rsid w:val="36AA5135"/>
    <w:rsid w:val="36BE0DA7"/>
    <w:rsid w:val="376B6AA6"/>
    <w:rsid w:val="376D39B2"/>
    <w:rsid w:val="37E16F03"/>
    <w:rsid w:val="37F53A3B"/>
    <w:rsid w:val="389B6C89"/>
    <w:rsid w:val="38C77CE3"/>
    <w:rsid w:val="38D469F0"/>
    <w:rsid w:val="39627CCD"/>
    <w:rsid w:val="397BAF1F"/>
    <w:rsid w:val="3AB79AF3"/>
    <w:rsid w:val="3AE834C0"/>
    <w:rsid w:val="3B4402BD"/>
    <w:rsid w:val="3B7EF35A"/>
    <w:rsid w:val="3B9FDB6C"/>
    <w:rsid w:val="3BE20D07"/>
    <w:rsid w:val="3BF5BC2F"/>
    <w:rsid w:val="3CA174DE"/>
    <w:rsid w:val="3CEBA265"/>
    <w:rsid w:val="3D98207C"/>
    <w:rsid w:val="3DEE7CF3"/>
    <w:rsid w:val="3E740A63"/>
    <w:rsid w:val="3E78745D"/>
    <w:rsid w:val="3EAB41B0"/>
    <w:rsid w:val="3EE17838"/>
    <w:rsid w:val="3F55381A"/>
    <w:rsid w:val="3F6A7A39"/>
    <w:rsid w:val="3F7F7599"/>
    <w:rsid w:val="3FF4CAE0"/>
    <w:rsid w:val="3FF7B227"/>
    <w:rsid w:val="438A4CDB"/>
    <w:rsid w:val="44E268DA"/>
    <w:rsid w:val="450D13D7"/>
    <w:rsid w:val="45506656"/>
    <w:rsid w:val="478D1E29"/>
    <w:rsid w:val="486A6C7A"/>
    <w:rsid w:val="4A627F82"/>
    <w:rsid w:val="4B0E749A"/>
    <w:rsid w:val="4B2477C4"/>
    <w:rsid w:val="4B4F25DA"/>
    <w:rsid w:val="4BE068DB"/>
    <w:rsid w:val="4D577224"/>
    <w:rsid w:val="4DBF1CEB"/>
    <w:rsid w:val="4DF0007C"/>
    <w:rsid w:val="4E835590"/>
    <w:rsid w:val="4EAB630A"/>
    <w:rsid w:val="4ECE2238"/>
    <w:rsid w:val="4F833267"/>
    <w:rsid w:val="4FE9BD67"/>
    <w:rsid w:val="4FFB052F"/>
    <w:rsid w:val="50CB4D46"/>
    <w:rsid w:val="5184720E"/>
    <w:rsid w:val="51FA7585"/>
    <w:rsid w:val="527A7D88"/>
    <w:rsid w:val="533D58C6"/>
    <w:rsid w:val="537E6D0A"/>
    <w:rsid w:val="53F74C96"/>
    <w:rsid w:val="55170BA8"/>
    <w:rsid w:val="553218C9"/>
    <w:rsid w:val="56625644"/>
    <w:rsid w:val="567E1AA5"/>
    <w:rsid w:val="56E47B74"/>
    <w:rsid w:val="56E5115C"/>
    <w:rsid w:val="57175D52"/>
    <w:rsid w:val="57BD3DD4"/>
    <w:rsid w:val="598830B4"/>
    <w:rsid w:val="5AF92295"/>
    <w:rsid w:val="5B073454"/>
    <w:rsid w:val="5B250254"/>
    <w:rsid w:val="5B2D1660"/>
    <w:rsid w:val="5BDD79E6"/>
    <w:rsid w:val="5BF561CA"/>
    <w:rsid w:val="5BFF5DFC"/>
    <w:rsid w:val="5C3962C0"/>
    <w:rsid w:val="5CD71FC4"/>
    <w:rsid w:val="5D1F11B5"/>
    <w:rsid w:val="5D695134"/>
    <w:rsid w:val="5DAE1B18"/>
    <w:rsid w:val="5DE7D9E5"/>
    <w:rsid w:val="5ECEC941"/>
    <w:rsid w:val="5FBF9FF3"/>
    <w:rsid w:val="5FCD4E2C"/>
    <w:rsid w:val="5FEF394A"/>
    <w:rsid w:val="5FF67715"/>
    <w:rsid w:val="60DA70C8"/>
    <w:rsid w:val="60EC6564"/>
    <w:rsid w:val="62BF3928"/>
    <w:rsid w:val="63B3701E"/>
    <w:rsid w:val="64062A0F"/>
    <w:rsid w:val="647F5392"/>
    <w:rsid w:val="65E66580"/>
    <w:rsid w:val="664B1D71"/>
    <w:rsid w:val="664B4E8E"/>
    <w:rsid w:val="66BC030D"/>
    <w:rsid w:val="67277B67"/>
    <w:rsid w:val="67AA3209"/>
    <w:rsid w:val="698D0931"/>
    <w:rsid w:val="69D97337"/>
    <w:rsid w:val="6A4F41E6"/>
    <w:rsid w:val="6A7FE5F3"/>
    <w:rsid w:val="6B053271"/>
    <w:rsid w:val="6BDD78B3"/>
    <w:rsid w:val="6C4A05C8"/>
    <w:rsid w:val="6C4D70C0"/>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1CC00E9"/>
    <w:rsid w:val="72233669"/>
    <w:rsid w:val="72734D90"/>
    <w:rsid w:val="73160E6D"/>
    <w:rsid w:val="7332FE48"/>
    <w:rsid w:val="73AB61DA"/>
    <w:rsid w:val="73AD73D5"/>
    <w:rsid w:val="73B6EB34"/>
    <w:rsid w:val="73FA497D"/>
    <w:rsid w:val="74414493"/>
    <w:rsid w:val="744731E5"/>
    <w:rsid w:val="745E0948"/>
    <w:rsid w:val="748A6C86"/>
    <w:rsid w:val="74B72C97"/>
    <w:rsid w:val="74BBD01D"/>
    <w:rsid w:val="74ED5379"/>
    <w:rsid w:val="75BD4050"/>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35A5A"/>
    <w:rsid w:val="7AFF7572"/>
    <w:rsid w:val="7B6C7DFB"/>
    <w:rsid w:val="7B82077D"/>
    <w:rsid w:val="7BBFBED0"/>
    <w:rsid w:val="7BC3E394"/>
    <w:rsid w:val="7BEC1860"/>
    <w:rsid w:val="7C1F3737"/>
    <w:rsid w:val="7CBFC87B"/>
    <w:rsid w:val="7CFE0F48"/>
    <w:rsid w:val="7D0C0A6E"/>
    <w:rsid w:val="7D272ABC"/>
    <w:rsid w:val="7D7EC23E"/>
    <w:rsid w:val="7DCA040C"/>
    <w:rsid w:val="7E617E0B"/>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[工作簿1]Sheet1!$C$2:$C$3</c:f>
              <c:strCache>
                <c:ptCount val="2"/>
                <c:pt idx="0">
                  <c:v>2023年</c:v>
                </c:pt>
                <c:pt idx="1">
                  <c:v>2024年</c:v>
                </c:pt>
              </c:strCache>
            </c:strRef>
          </c:cat>
          <c:val>
            <c:numRef>
              <c:f>[工作簿1]Sheet1!$D$2:$D$3</c:f>
              <c:numCache>
                <c:formatCode>General</c:formatCode>
                <c:ptCount val="2"/>
                <c:pt idx="0">
                  <c:v>11582.71</c:v>
                </c:pt>
                <c:pt idx="1">
                  <c:v>11817.69</c:v>
                </c:pt>
              </c:numCache>
            </c:numRef>
          </c:val>
        </c:ser>
        <c:dLbls>
          <c:showLegendKey val="0"/>
          <c:showVal val="1"/>
          <c:showCatName val="0"/>
          <c:showSerName val="0"/>
          <c:showPercent val="0"/>
          <c:showBubbleSize val="0"/>
        </c:dLbls>
        <c:gapWidth val="219"/>
        <c:overlap val="-27"/>
        <c:axId val="337749932"/>
        <c:axId val="660755450"/>
      </c:barChart>
      <c:catAx>
        <c:axId val="3377499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755450"/>
        <c:crosses val="autoZero"/>
        <c:auto val="1"/>
        <c:lblAlgn val="ctr"/>
        <c:lblOffset val="100"/>
        <c:noMultiLvlLbl val="0"/>
      </c:catAx>
      <c:valAx>
        <c:axId val="66075545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99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29495888018097"/>
                  <c:y val="-0.082635484417382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621449569004692"/>
                  <c:y val="-0.012727119528609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[工作簿1]Sheet1!$C$6:$C$7</c:f>
              <c:strCache>
                <c:ptCount val="2"/>
                <c:pt idx="0">
                  <c:v>一般公共预算财政拨款收入</c:v>
                </c:pt>
                <c:pt idx="1">
                  <c:v>其他收入</c:v>
                </c:pt>
              </c:strCache>
            </c:strRef>
          </c:cat>
          <c:val>
            <c:numRef>
              <c:f>[工作簿1]Sheet1!$D$6:$D$7</c:f>
              <c:numCache>
                <c:formatCode>General</c:formatCode>
                <c:ptCount val="2"/>
                <c:pt idx="0">
                  <c:v>9927.98</c:v>
                </c:pt>
                <c:pt idx="1">
                  <c:v>1889.71</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00271346247484"/>
                  <c:y val="0.036827405927804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752713578996974"/>
                  <c:y val="-0.036827391008855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[工作簿1]Sheet1!$C$9:$C$10</c:f>
              <c:strCache>
                <c:ptCount val="2"/>
                <c:pt idx="0">
                  <c:v>基本支出</c:v>
                </c:pt>
                <c:pt idx="1">
                  <c:v>项目支出</c:v>
                </c:pt>
              </c:strCache>
            </c:strRef>
          </c:cat>
          <c:val>
            <c:numRef>
              <c:f>[工作簿1]Sheet1!$D$9:$D$10</c:f>
              <c:numCache>
                <c:formatCode>General</c:formatCode>
                <c:ptCount val="2"/>
                <c:pt idx="0">
                  <c:v>8667.41</c:v>
                </c:pt>
                <c:pt idx="1">
                  <c:v>3150.28</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[工作簿1]Sheet1!$C$12:$C$13</c:f>
              <c:strCache>
                <c:ptCount val="2"/>
                <c:pt idx="0">
                  <c:v>2023年</c:v>
                </c:pt>
                <c:pt idx="1">
                  <c:v>2024年</c:v>
                </c:pt>
              </c:strCache>
            </c:strRef>
          </c:cat>
          <c:val>
            <c:numRef>
              <c:f>[工作簿1]Sheet1!$D$12:$D$13</c:f>
              <c:numCache>
                <c:formatCode>General</c:formatCode>
                <c:ptCount val="2"/>
                <c:pt idx="0">
                  <c:v>9501.91</c:v>
                </c:pt>
                <c:pt idx="1">
                  <c:v>9927.98</c:v>
                </c:pt>
              </c:numCache>
            </c:numRef>
          </c:val>
        </c:ser>
        <c:dLbls>
          <c:showLegendKey val="0"/>
          <c:showVal val="1"/>
          <c:showCatName val="0"/>
          <c:showSerName val="0"/>
          <c:showPercent val="0"/>
          <c:showBubbleSize val="0"/>
        </c:dLbls>
        <c:gapWidth val="219"/>
        <c:overlap val="-27"/>
        <c:axId val="531391182"/>
        <c:axId val="231514423"/>
      </c:barChart>
      <c:catAx>
        <c:axId val="5313911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514423"/>
        <c:crosses val="autoZero"/>
        <c:auto val="1"/>
        <c:lblAlgn val="ctr"/>
        <c:lblOffset val="100"/>
        <c:noMultiLvlLbl val="0"/>
      </c:catAx>
      <c:valAx>
        <c:axId val="231514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13911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[工作簿1]Sheet1!$C$12:$C$13</c:f>
              <c:strCache>
                <c:ptCount val="2"/>
                <c:pt idx="0">
                  <c:v>2023年</c:v>
                </c:pt>
                <c:pt idx="1">
                  <c:v>2024年</c:v>
                </c:pt>
              </c:strCache>
            </c:strRef>
          </c:cat>
          <c:val>
            <c:numRef>
              <c:f>[工作簿1]Sheet1!$D$12:$D$13</c:f>
              <c:numCache>
                <c:formatCode>General</c:formatCode>
                <c:ptCount val="2"/>
                <c:pt idx="0">
                  <c:v>9501.91</c:v>
                </c:pt>
                <c:pt idx="1">
                  <c:v>9927.98</c:v>
                </c:pt>
              </c:numCache>
            </c:numRef>
          </c:val>
        </c:ser>
        <c:dLbls>
          <c:showLegendKey val="0"/>
          <c:showVal val="1"/>
          <c:showCatName val="0"/>
          <c:showSerName val="0"/>
          <c:showPercent val="0"/>
          <c:showBubbleSize val="0"/>
        </c:dLbls>
        <c:gapWidth val="219"/>
        <c:overlap val="-27"/>
        <c:axId val="531391182"/>
        <c:axId val="231514423"/>
      </c:barChart>
      <c:catAx>
        <c:axId val="5313911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514423"/>
        <c:crosses val="autoZero"/>
        <c:auto val="1"/>
        <c:lblAlgn val="ctr"/>
        <c:lblOffset val="100"/>
        <c:noMultiLvlLbl val="0"/>
      </c:catAx>
      <c:valAx>
        <c:axId val="231514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13911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978119316462735"/>
                  <c:y val="0.013038598577112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851990921277796"/>
                  <c:y val="-0.0059610473799993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31966178674406"/>
                  <c:y val="-0.036863119784991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59349160222839"/>
                  <c:y val="0.0153211442514647"/>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[工作簿1]Sheet1!$C$15:$C$18</c:f>
              <c:strCache>
                <c:ptCount val="4"/>
                <c:pt idx="0">
                  <c:v>公共安全支出</c:v>
                </c:pt>
                <c:pt idx="1">
                  <c:v>社会保障和就业支出</c:v>
                </c:pt>
                <c:pt idx="2">
                  <c:v>卫生健康支出</c:v>
                </c:pt>
                <c:pt idx="3">
                  <c:v>住房保障支出</c:v>
                </c:pt>
              </c:strCache>
            </c:strRef>
          </c:cat>
          <c:val>
            <c:numRef>
              <c:f>[工作簿1]Sheet1!$D$15:$D$18</c:f>
              <c:numCache>
                <c:formatCode>General</c:formatCode>
                <c:ptCount val="4"/>
                <c:pt idx="0">
                  <c:v>7795</c:v>
                </c:pt>
                <c:pt idx="1">
                  <c:v>1146.54</c:v>
                </c:pt>
                <c:pt idx="2">
                  <c:v>406.34</c:v>
                </c:pt>
                <c:pt idx="3">
                  <c:v>580.1</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a:solidFill>
              <a:schemeClr val="accent2"/>
            </a:solidFill>
            <a:ln w="19050" cap="flat" cmpd="sng" algn="ctr">
              <a:solidFill>
                <a:schemeClr val="lt1"/>
              </a:solidFill>
              <a:prstDash val="solid"/>
              <a:miter lim="800000"/>
            </a:ln>
            <a:sp3d>
              <a:extrusionClr>
                <a:srgbClr val="FFFFFF"/>
              </a:extrusionClr>
              <a:contourClr>
                <a:srgbClr val="FFFFFF"/>
              </a:contourClr>
            </a:sp3d>
          </c:spPr>
          <c:explosion val="0"/>
          <c:dPt>
            <c:idx val="0"/>
            <c:bubble3D val="0"/>
            <c:spPr>
              <a:solidFill>
                <a:schemeClr val="accent2"/>
              </a:solidFill>
              <a:ln w="19050" cap="flat" cmpd="sng" algn="ctr">
                <a:solidFill>
                  <a:schemeClr val="lt1"/>
                </a:solidFill>
                <a:prstDash val="solid"/>
                <a:miter lim="800000"/>
              </a:ln>
              <a:effectLst/>
              <a:sp3d>
                <a:extrusionClr>
                  <a:srgbClr val="FFFFFF"/>
                </a:extrusionClr>
                <a:contourClr>
                  <a:srgbClr val="FFFFFF"/>
                </a:contourClr>
              </a:sp3d>
            </c:spPr>
          </c:dPt>
          <c:dPt>
            <c:idx val="1"/>
            <c:bubble3D val="0"/>
            <c:spPr>
              <a:solidFill>
                <a:schemeClr val="accent2"/>
              </a:solidFill>
              <a:ln w="19050" cap="flat" cmpd="sng" algn="ctr">
                <a:solidFill>
                  <a:schemeClr val="lt1"/>
                </a:solidFill>
                <a:prstDash val="solid"/>
                <a:miter lim="800000"/>
              </a:ln>
              <a:effectLst/>
              <a:sp3d>
                <a:extrusionClr>
                  <a:srgbClr val="FFFFFF"/>
                </a:extrusionClr>
                <a:contourClr>
                  <a:srgbClr val="FFFFFF"/>
                </a:contourClr>
              </a:sp3d>
            </c:spPr>
          </c:dPt>
          <c:dLbls>
            <c:dLbl>
              <c:idx val="0"/>
              <c:layout>
                <c:manualLayout>
                  <c:x val="0.232326491003862"/>
                  <c:y val="-0.088150118225428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98.45, </a:t>
                    </a:r>
                    <a:r>
                      <a:rPr lang="en-US" altLang="zh-CN"/>
                      <a:t>99.87</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281524811474801"/>
                  <c:y val="0.008419249091364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0.13, </a:t>
                    </a:r>
                    <a:r>
                      <a:rPr lang="en-US" altLang="zh-CN"/>
                      <a:t>0.13</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[工作簿1]Sheet1!$C$20:$C$21</c:f>
              <c:strCache>
                <c:ptCount val="2"/>
                <c:pt idx="0">
                  <c:v>公务用车购置及运行维护费</c:v>
                </c:pt>
                <c:pt idx="1">
                  <c:v>公务接待费</c:v>
                </c:pt>
              </c:strCache>
            </c:strRef>
          </c:cat>
          <c:val>
            <c:numRef>
              <c:f>[工作簿1]Sheet1!$D$20:$D$21</c:f>
              <c:numCache>
                <c:formatCode>General</c:formatCode>
                <c:ptCount val="2"/>
                <c:pt idx="0">
                  <c:v>98.45</c:v>
                </c:pt>
                <c:pt idx="1">
                  <c:v>0.13</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4927</Words>
  <Characters>5503</Characters>
  <Lines>61</Lines>
  <Paragraphs>17</Paragraphs>
  <TotalTime>182</TotalTime>
  <ScaleCrop>false</ScaleCrop>
  <LinksUpToDate>false</LinksUpToDate>
  <CharactersWithSpaces>5643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Administrator</cp:lastModifiedBy>
  <cp:lastPrinted>2025-08-06T17:34:00Z</cp:lastPrinted>
  <dcterms:modified xsi:type="dcterms:W3CDTF">2025-09-15T07:12:29Z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976CF6437A044280995F018FAEC1316C</vt:lpwstr>
  </property>
</Properties>
</file>