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pStyle w:val="6"/>
        <w:spacing w:before="93"/>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7425"/>
      <w:bookmarkStart w:id="2" w:name="_Toc15377193"/>
      <w:bookmarkStart w:id="3" w:name="_Toc15396475"/>
      <w:bookmarkStart w:id="4" w:name="_Toc15378441"/>
      <w:bookmarkStart w:id="5" w:name="_Toc15396597"/>
      <w:r>
        <w:rPr>
          <w:rFonts w:hint="eastAsia" w:ascii="方正小标宋简体" w:hAnsi="方正小标宋简体" w:eastAsia="方正小标宋简体" w:cs="方正小标宋简体"/>
          <w:sz w:val="72"/>
          <w:szCs w:val="72"/>
        </w:rPr>
        <w:t>202</w:t>
      </w:r>
      <w:r>
        <w:rPr>
          <w:rFonts w:hint="eastAsia" w:ascii="方正小标宋简体" w:hAnsi="方正小标宋简体" w:eastAsia="方正小标宋简体" w:cs="方正小标宋简体"/>
          <w:sz w:val="72"/>
          <w:szCs w:val="72"/>
          <w:lang w:val="en-US" w:eastAsia="zh-CN"/>
        </w:rPr>
        <w:t>4</w:t>
      </w:r>
      <w:r>
        <w:rPr>
          <w:rFonts w:hint="eastAsia" w:ascii="方正小标宋简体" w:hAnsi="方正小标宋简体" w:eastAsia="方正小标宋简体" w:cs="方正小标宋简体"/>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96598"/>
      <w:bookmarkStart w:id="7" w:name="_Toc15396476"/>
      <w:bookmarkStart w:id="8" w:name="_Toc15377426"/>
      <w:bookmarkStart w:id="9" w:name="_Toc15377194"/>
      <w:bookmarkStart w:id="10" w:name="_Toc15378442"/>
      <w:r>
        <w:rPr>
          <w:rFonts w:hint="eastAsia" w:ascii="方正小标宋简体" w:hAnsi="方正小标宋简体" w:eastAsia="方正小标宋简体" w:cs="方正小标宋简体"/>
          <w:sz w:val="72"/>
          <w:szCs w:val="72"/>
        </w:rPr>
        <w:t>四川省</w:t>
      </w:r>
      <w:bookmarkEnd w:id="0"/>
      <w:bookmarkStart w:id="11" w:name="_Toc15306268"/>
      <w:r>
        <w:rPr>
          <w:rFonts w:hint="eastAsia" w:ascii="方正小标宋简体" w:hAnsi="方正小标宋简体" w:eastAsia="方正小标宋简体" w:cs="方正小标宋简体"/>
          <w:sz w:val="72"/>
          <w:szCs w:val="72"/>
        </w:rPr>
        <w:t>攀枝花市公安局</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西区分局单位决算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2"/>
        <w:rPr>
          <w:rFonts w:hint="eastAsia"/>
        </w:rPr>
      </w:pPr>
      <w:r>
        <w:rPr>
          <w:rFonts w:hint="eastAsia"/>
        </w:rPr>
        <w:t>公开时间：202</w:t>
      </w:r>
      <w:r>
        <w:rPr>
          <w:rFonts w:hint="eastAsia"/>
          <w:lang w:val="en-US" w:eastAsia="zh-CN"/>
        </w:rPr>
        <w:t>5</w:t>
      </w:r>
      <w:r>
        <w:rPr>
          <w:rFonts w:hint="eastAsia"/>
        </w:rPr>
        <w:t>年9月</w:t>
      </w:r>
      <w:r>
        <w:rPr>
          <w:rFonts w:hint="eastAsia"/>
          <w:lang w:val="en-US" w:eastAsia="zh-CN"/>
        </w:rPr>
        <w:t>16</w:t>
      </w:r>
      <w:r>
        <w:rPr>
          <w:rFonts w:hint="eastAsia"/>
        </w:rPr>
        <w:t>日</w:t>
      </w:r>
    </w:p>
    <w:p/>
    <w:p/>
    <w:p>
      <w:pPr>
        <w:pStyle w:val="12"/>
        <w:adjustRightInd w:val="0"/>
        <w:snapToGrid w:val="0"/>
        <w:spacing w:before="0" w:line="440" w:lineRule="exact"/>
        <w:jc w:val="left"/>
        <w:rPr>
          <w:rFonts w:hint="eastAsia" w:eastAsia="仿宋" w:cstheme="minorBidi"/>
          <w:sz w:val="24"/>
          <w:szCs w:val="24"/>
          <w:lang w:val="en-US" w:eastAsia="zh-CN"/>
        </w:rPr>
      </w:pPr>
      <w:r>
        <w:rPr>
          <w:rFonts w:hint="eastAsia"/>
          <w:sz w:val="24"/>
        </w:rPr>
        <w:t>第一部分</w:t>
      </w:r>
      <w:r>
        <w:rPr>
          <w:sz w:val="24"/>
        </w:rPr>
        <w:t xml:space="preserve"> </w:t>
      </w:r>
      <w:r>
        <w:rPr>
          <w:rFonts w:hint="eastAsia"/>
          <w:sz w:val="24"/>
        </w:rPr>
        <w:t>单位概况</w:t>
      </w:r>
      <w:r>
        <w:rPr>
          <w:rFonts w:hint="eastAsia" w:ascii="Times New Roman" w:hAnsi="Times New Roman" w:eastAsia="宋体" w:cs="Times New Roman"/>
          <w:kern w:val="2"/>
          <w:sz w:val="24"/>
          <w:szCs w:val="24"/>
          <w:lang w:val="en-US" w:eastAsia="zh-CN" w:bidi="ar-SA"/>
        </w:rPr>
        <w:t>···················································</w:t>
      </w:r>
      <w:r>
        <w:rPr>
          <w:rFonts w:hint="eastAsia"/>
          <w:sz w:val="24"/>
          <w:lang w:val="en-US" w:eastAsia="zh-CN"/>
        </w:rPr>
        <w:t>4</w:t>
      </w:r>
    </w:p>
    <w:p>
      <w:pPr>
        <w:pStyle w:val="13"/>
        <w:adjustRightInd w:val="0"/>
        <w:snapToGrid w:val="0"/>
        <w:spacing w:line="440" w:lineRule="exact"/>
        <w:jc w:val="left"/>
        <w:rPr>
          <w:rFonts w:hint="eastAsia" w:eastAsia="宋体"/>
          <w:sz w:val="24"/>
          <w:lang w:val="en-US" w:eastAsia="zh-CN"/>
        </w:rPr>
      </w:pPr>
      <w:r>
        <w:rPr>
          <w:rFonts w:hint="eastAsia"/>
          <w:sz w:val="24"/>
        </w:rPr>
        <w:t>一、主要职责</w:t>
      </w:r>
      <w:r>
        <w:rPr>
          <w:rFonts w:hint="eastAsia"/>
          <w:sz w:val="24"/>
          <w:lang w:val="en-US" w:eastAsia="zh-CN"/>
        </w:rPr>
        <w:t>·····················································4</w:t>
      </w:r>
    </w:p>
    <w:p>
      <w:pPr>
        <w:pStyle w:val="13"/>
        <w:adjustRightInd w:val="0"/>
        <w:snapToGrid w:val="0"/>
        <w:spacing w:line="440" w:lineRule="exact"/>
        <w:jc w:val="left"/>
        <w:rPr>
          <w:rFonts w:hint="eastAsia" w:eastAsia="宋体"/>
          <w:lang w:val="en-US" w:eastAsia="zh-CN"/>
        </w:rPr>
      </w:pPr>
      <w:r>
        <w:rPr>
          <w:rFonts w:hint="eastAsia"/>
          <w:sz w:val="24"/>
        </w:rPr>
        <w:t>二、机构设置</w:t>
      </w:r>
      <w:r>
        <w:rPr>
          <w:rFonts w:hint="eastAsia"/>
          <w:sz w:val="24"/>
          <w:lang w:val="en-US" w:eastAsia="zh-CN"/>
        </w:rPr>
        <w:t>·····················································4</w:t>
      </w:r>
    </w:p>
    <w:p>
      <w:pPr>
        <w:pStyle w:val="12"/>
        <w:adjustRightInd w:val="0"/>
        <w:snapToGrid w:val="0"/>
        <w:spacing w:before="0" w:line="440" w:lineRule="exact"/>
        <w:jc w:val="left"/>
        <w:rPr>
          <w:rFonts w:hint="eastAsia" w:eastAsia="仿宋"/>
          <w:sz w:val="24"/>
          <w:szCs w:val="24"/>
          <w:lang w:val="en-US" w:eastAsia="zh-CN"/>
        </w:rPr>
      </w:pPr>
      <w:r>
        <w:rPr>
          <w:rFonts w:hint="eastAsia"/>
          <w:sz w:val="24"/>
        </w:rPr>
        <w:t>第二部分 202</w:t>
      </w:r>
      <w:r>
        <w:rPr>
          <w:rFonts w:hint="eastAsia"/>
          <w:sz w:val="24"/>
          <w:lang w:val="en-US" w:eastAsia="zh-CN"/>
        </w:rPr>
        <w:t>4</w:t>
      </w:r>
      <w:r>
        <w:rPr>
          <w:rFonts w:hint="eastAsia"/>
          <w:sz w:val="24"/>
        </w:rPr>
        <w:t>年度单位决算情况说明</w:t>
      </w:r>
      <w:r>
        <w:rPr>
          <w:rFonts w:hint="eastAsia" w:ascii="Times New Roman" w:hAnsi="Times New Roman" w:eastAsia="宋体" w:cs="Times New Roman"/>
          <w:kern w:val="2"/>
          <w:sz w:val="24"/>
          <w:szCs w:val="24"/>
          <w:lang w:val="en-US" w:eastAsia="zh-CN" w:bidi="ar-SA"/>
        </w:rPr>
        <w:t>··································</w:t>
      </w:r>
      <w:r>
        <w:rPr>
          <w:rFonts w:hint="eastAsia"/>
          <w:spacing w:val="-20"/>
          <w:sz w:val="24"/>
          <w:lang w:val="en-US" w:eastAsia="zh-CN"/>
        </w:rPr>
        <w:t>5</w:t>
      </w:r>
    </w:p>
    <w:p>
      <w:pPr>
        <w:pStyle w:val="13"/>
        <w:adjustRightInd w:val="0"/>
        <w:snapToGrid w:val="0"/>
        <w:spacing w:line="440" w:lineRule="exact"/>
        <w:jc w:val="left"/>
        <w:rPr>
          <w:rFonts w:hint="eastAsia" w:ascii="仿宋" w:hAnsi="仿宋" w:eastAsia="宋体" w:cstheme="minorBidi"/>
          <w:sz w:val="24"/>
          <w:lang w:val="en-US" w:eastAsia="zh-CN"/>
        </w:rPr>
      </w:pPr>
      <w:r>
        <w:rPr>
          <w:rFonts w:hint="eastAsia"/>
          <w:sz w:val="24"/>
        </w:rPr>
        <w:t>一、收入支出决算总体情况说明</w:t>
      </w:r>
      <w:r>
        <w:rPr>
          <w:rFonts w:hint="eastAsia"/>
          <w:sz w:val="24"/>
          <w:lang w:val="en-US" w:eastAsia="zh-CN"/>
        </w:rPr>
        <w:t>·····································5</w:t>
      </w:r>
    </w:p>
    <w:p>
      <w:pPr>
        <w:pStyle w:val="13"/>
        <w:adjustRightInd w:val="0"/>
        <w:snapToGrid w:val="0"/>
        <w:spacing w:line="440" w:lineRule="exact"/>
        <w:jc w:val="left"/>
        <w:rPr>
          <w:rFonts w:hint="eastAsia" w:ascii="仿宋" w:hAnsi="仿宋" w:eastAsia="宋体" w:cstheme="minorBidi"/>
          <w:sz w:val="24"/>
          <w:lang w:val="en-US" w:eastAsia="zh-CN"/>
        </w:rPr>
      </w:pPr>
      <w:r>
        <w:rPr>
          <w:rFonts w:hint="eastAsia"/>
          <w:sz w:val="24"/>
        </w:rPr>
        <w:t>二、收入决算情况说明</w:t>
      </w:r>
      <w:r>
        <w:rPr>
          <w:rFonts w:hint="eastAsia"/>
          <w:sz w:val="24"/>
          <w:lang w:val="en-US" w:eastAsia="zh-CN"/>
        </w:rPr>
        <w:t>·············································5</w:t>
      </w:r>
    </w:p>
    <w:p>
      <w:pPr>
        <w:pStyle w:val="13"/>
        <w:adjustRightInd w:val="0"/>
        <w:snapToGrid w:val="0"/>
        <w:spacing w:line="440" w:lineRule="exact"/>
        <w:jc w:val="left"/>
        <w:rPr>
          <w:rFonts w:hint="eastAsia" w:ascii="仿宋" w:hAnsi="仿宋" w:eastAsia="宋体" w:cstheme="minorBidi"/>
          <w:sz w:val="24"/>
          <w:lang w:val="en-US" w:eastAsia="zh-CN"/>
        </w:rPr>
      </w:pPr>
      <w:r>
        <w:rPr>
          <w:rFonts w:hint="eastAsia"/>
          <w:sz w:val="24"/>
        </w:rPr>
        <w:t>三、支出决算情况说明</w:t>
      </w:r>
      <w:r>
        <w:rPr>
          <w:rFonts w:hint="eastAsia"/>
          <w:sz w:val="24"/>
          <w:lang w:val="en-US" w:eastAsia="zh-CN"/>
        </w:rPr>
        <w:t>·············································6</w:t>
      </w:r>
    </w:p>
    <w:p>
      <w:pPr>
        <w:pStyle w:val="13"/>
        <w:adjustRightInd w:val="0"/>
        <w:snapToGrid w:val="0"/>
        <w:spacing w:line="440" w:lineRule="exact"/>
        <w:jc w:val="left"/>
        <w:rPr>
          <w:rFonts w:hint="eastAsia" w:ascii="仿宋" w:hAnsi="仿宋" w:eastAsia="宋体" w:cstheme="minorBidi"/>
          <w:sz w:val="24"/>
          <w:lang w:val="en-US" w:eastAsia="zh-CN"/>
        </w:rPr>
      </w:pPr>
      <w:r>
        <w:rPr>
          <w:rFonts w:hint="eastAsia"/>
          <w:sz w:val="24"/>
        </w:rPr>
        <w:t>四、财政拨款收入支出决算总体情况说明</w:t>
      </w:r>
      <w:r>
        <w:rPr>
          <w:rFonts w:hint="eastAsia"/>
          <w:sz w:val="24"/>
          <w:lang w:val="en-US" w:eastAsia="zh-CN"/>
        </w:rPr>
        <w:t>·····························7</w:t>
      </w:r>
    </w:p>
    <w:p>
      <w:pPr>
        <w:pStyle w:val="13"/>
        <w:adjustRightInd w:val="0"/>
        <w:snapToGrid w:val="0"/>
        <w:spacing w:line="440" w:lineRule="exact"/>
        <w:jc w:val="left"/>
        <w:rPr>
          <w:rFonts w:hint="eastAsia" w:ascii="仿宋" w:hAnsi="仿宋" w:eastAsia="宋体" w:cstheme="minorBidi"/>
          <w:sz w:val="24"/>
          <w:lang w:val="en-US" w:eastAsia="zh-CN"/>
        </w:rPr>
      </w:pPr>
      <w:r>
        <w:rPr>
          <w:rFonts w:hint="eastAsia"/>
          <w:sz w:val="24"/>
        </w:rPr>
        <w:t>五、一般公共预算财政拨款支出决算情况说明</w:t>
      </w:r>
      <w:r>
        <w:rPr>
          <w:rFonts w:hint="eastAsia"/>
          <w:sz w:val="24"/>
          <w:lang w:val="en-US" w:eastAsia="zh-CN"/>
        </w:rPr>
        <w:t>·························8</w:t>
      </w:r>
    </w:p>
    <w:p>
      <w:pPr>
        <w:pStyle w:val="13"/>
        <w:adjustRightInd w:val="0"/>
        <w:snapToGrid w:val="0"/>
        <w:spacing w:line="440" w:lineRule="exact"/>
        <w:jc w:val="left"/>
        <w:rPr>
          <w:rFonts w:hint="eastAsia" w:ascii="仿宋" w:hAnsi="仿宋" w:eastAsia="宋体" w:cstheme="minorBidi"/>
          <w:sz w:val="24"/>
          <w:lang w:val="en-US" w:eastAsia="zh-CN"/>
        </w:rPr>
      </w:pPr>
      <w:r>
        <w:rPr>
          <w:rFonts w:hint="eastAsia"/>
          <w:sz w:val="24"/>
        </w:rPr>
        <w:t>六、一般公共预算财政拨款基本支出决算情况说明</w:t>
      </w:r>
      <w:r>
        <w:rPr>
          <w:rFonts w:hint="eastAsia"/>
          <w:sz w:val="24"/>
          <w:lang w:val="en-US" w:eastAsia="zh-CN"/>
        </w:rPr>
        <w:t>····················</w:t>
      </w:r>
      <w:r>
        <w:rPr>
          <w:rFonts w:hint="eastAsia"/>
          <w:sz w:val="24"/>
        </w:rPr>
        <w:t>1</w:t>
      </w:r>
      <w:r>
        <w:rPr>
          <w:rFonts w:hint="eastAsia"/>
          <w:sz w:val="24"/>
          <w:lang w:val="en-US" w:eastAsia="zh-CN"/>
        </w:rPr>
        <w:t>2</w:t>
      </w:r>
    </w:p>
    <w:p>
      <w:pPr>
        <w:pStyle w:val="13"/>
        <w:adjustRightInd w:val="0"/>
        <w:snapToGrid w:val="0"/>
        <w:spacing w:line="440" w:lineRule="exact"/>
        <w:jc w:val="left"/>
        <w:rPr>
          <w:rFonts w:hint="eastAsia" w:ascii="仿宋" w:hAnsi="仿宋" w:eastAsia="宋体" w:cstheme="minorBidi"/>
          <w:sz w:val="24"/>
          <w:lang w:val="en-US" w:eastAsia="zh-CN"/>
        </w:rPr>
      </w:pPr>
      <w:r>
        <w:rPr>
          <w:rFonts w:hint="eastAsia"/>
          <w:sz w:val="24"/>
        </w:rPr>
        <w:t>七、财政拨款“三公”经费支出决算情况说明</w:t>
      </w:r>
      <w:r>
        <w:rPr>
          <w:rFonts w:hint="eastAsia"/>
          <w:sz w:val="24"/>
          <w:lang w:val="en-US" w:eastAsia="zh-CN"/>
        </w:rPr>
        <w:t>·························</w:t>
      </w:r>
      <w:r>
        <w:rPr>
          <w:rFonts w:hint="eastAsia"/>
          <w:sz w:val="24"/>
        </w:rPr>
        <w:t>1</w:t>
      </w:r>
      <w:r>
        <w:rPr>
          <w:rFonts w:hint="eastAsia"/>
          <w:sz w:val="24"/>
          <w:lang w:val="en-US" w:eastAsia="zh-CN"/>
        </w:rPr>
        <w:t>2</w:t>
      </w:r>
    </w:p>
    <w:p>
      <w:pPr>
        <w:pStyle w:val="13"/>
        <w:adjustRightInd w:val="0"/>
        <w:snapToGrid w:val="0"/>
        <w:spacing w:line="440" w:lineRule="exact"/>
        <w:jc w:val="left"/>
        <w:rPr>
          <w:rFonts w:hint="eastAsia" w:ascii="仿宋" w:hAnsi="仿宋" w:eastAsia="宋体" w:cstheme="minorBidi"/>
          <w:sz w:val="24"/>
          <w:lang w:val="en-US" w:eastAsia="zh-CN"/>
        </w:rPr>
      </w:pPr>
      <w:r>
        <w:rPr>
          <w:rFonts w:hint="eastAsia"/>
          <w:sz w:val="24"/>
        </w:rPr>
        <w:t>八、政府性基金预算支出决算情况说明</w:t>
      </w:r>
      <w:r>
        <w:rPr>
          <w:rFonts w:hint="eastAsia"/>
          <w:sz w:val="24"/>
          <w:lang w:val="en-US" w:eastAsia="zh-CN"/>
        </w:rPr>
        <w:t>······························</w:t>
      </w:r>
      <w:r>
        <w:rPr>
          <w:rFonts w:hint="eastAsia"/>
          <w:sz w:val="24"/>
        </w:rPr>
        <w:t>1</w:t>
      </w:r>
      <w:r>
        <w:rPr>
          <w:rFonts w:hint="eastAsia"/>
          <w:sz w:val="24"/>
          <w:lang w:val="en-US" w:eastAsia="zh-CN"/>
        </w:rPr>
        <w:t>4</w:t>
      </w:r>
    </w:p>
    <w:p>
      <w:pPr>
        <w:pStyle w:val="13"/>
        <w:adjustRightInd w:val="0"/>
        <w:snapToGrid w:val="0"/>
        <w:spacing w:line="440" w:lineRule="exact"/>
        <w:jc w:val="left"/>
        <w:rPr>
          <w:rFonts w:hint="eastAsia" w:eastAsia="宋体"/>
          <w:sz w:val="24"/>
          <w:lang w:val="en-US" w:eastAsia="zh-CN"/>
        </w:rPr>
      </w:pPr>
      <w:r>
        <w:rPr>
          <w:rFonts w:hint="eastAsia"/>
          <w:sz w:val="24"/>
        </w:rPr>
        <w:t>九、国有资本经营预算支出决算情况说明</w:t>
      </w:r>
      <w:r>
        <w:rPr>
          <w:rFonts w:hint="eastAsia"/>
          <w:sz w:val="24"/>
          <w:lang w:val="en-US" w:eastAsia="zh-CN"/>
        </w:rPr>
        <w:t>····························</w:t>
      </w:r>
      <w:r>
        <w:rPr>
          <w:rFonts w:hint="eastAsia"/>
          <w:sz w:val="24"/>
        </w:rPr>
        <w:t>1</w:t>
      </w:r>
      <w:r>
        <w:rPr>
          <w:rFonts w:hint="eastAsia"/>
          <w:sz w:val="24"/>
          <w:lang w:val="en-US" w:eastAsia="zh-CN"/>
        </w:rPr>
        <w:t>4</w:t>
      </w:r>
    </w:p>
    <w:p>
      <w:pPr>
        <w:pStyle w:val="13"/>
        <w:adjustRightInd w:val="0"/>
        <w:snapToGrid w:val="0"/>
        <w:spacing w:line="440" w:lineRule="exact"/>
        <w:jc w:val="left"/>
        <w:rPr>
          <w:rFonts w:hint="eastAsia" w:eastAsia="宋体"/>
          <w:sz w:val="24"/>
          <w:lang w:val="en-US" w:eastAsia="zh-CN"/>
        </w:rPr>
      </w:pPr>
      <w:r>
        <w:rPr>
          <w:rFonts w:hint="eastAsia"/>
          <w:sz w:val="24"/>
        </w:rPr>
        <w:t>十、其他重要事项的情况说明</w:t>
      </w:r>
      <w:r>
        <w:rPr>
          <w:rFonts w:hint="eastAsia"/>
          <w:sz w:val="24"/>
          <w:lang w:val="en-US" w:eastAsia="zh-CN"/>
        </w:rPr>
        <w:t>······································</w:t>
      </w:r>
      <w:r>
        <w:rPr>
          <w:rFonts w:hint="eastAsia"/>
          <w:sz w:val="24"/>
        </w:rPr>
        <w:t>1</w:t>
      </w:r>
      <w:r>
        <w:rPr>
          <w:rFonts w:hint="eastAsia"/>
          <w:sz w:val="24"/>
          <w:lang w:val="en-US" w:eastAsia="zh-CN"/>
        </w:rPr>
        <w:t>4</w:t>
      </w:r>
    </w:p>
    <w:p>
      <w:pPr>
        <w:pStyle w:val="12"/>
        <w:adjustRightInd w:val="0"/>
        <w:snapToGrid w:val="0"/>
        <w:spacing w:before="0" w:line="440" w:lineRule="exact"/>
        <w:jc w:val="left"/>
        <w:rPr>
          <w:rFonts w:hint="default" w:eastAsia="仿宋" w:cstheme="minorBidi"/>
          <w:sz w:val="24"/>
          <w:szCs w:val="24"/>
          <w:lang w:val="en-US" w:eastAsia="zh-CN"/>
        </w:rPr>
      </w:pPr>
      <w:r>
        <w:rPr>
          <w:rFonts w:hint="eastAsia"/>
          <w:sz w:val="24"/>
        </w:rPr>
        <w:t>第三部分</w:t>
      </w:r>
      <w:r>
        <w:rPr>
          <w:sz w:val="24"/>
        </w:rPr>
        <w:t xml:space="preserve"> </w:t>
      </w:r>
      <w:r>
        <w:rPr>
          <w:rFonts w:hint="eastAsia"/>
          <w:sz w:val="24"/>
        </w:rPr>
        <w:t>名词解释</w:t>
      </w:r>
      <w:r>
        <w:rPr>
          <w:rFonts w:hint="eastAsia" w:ascii="Times New Roman" w:hAnsi="Times New Roman" w:eastAsia="宋体" w:cs="Times New Roman"/>
          <w:kern w:val="2"/>
          <w:sz w:val="24"/>
          <w:szCs w:val="24"/>
          <w:lang w:val="en-US" w:eastAsia="zh-CN" w:bidi="ar-SA"/>
        </w:rPr>
        <w:t>··················································</w:t>
      </w:r>
      <w:r>
        <w:rPr>
          <w:rFonts w:hint="eastAsia"/>
          <w:sz w:val="24"/>
        </w:rPr>
        <w:t>1</w:t>
      </w:r>
      <w:r>
        <w:rPr>
          <w:rFonts w:hint="eastAsia"/>
          <w:sz w:val="24"/>
          <w:lang w:val="en-US" w:eastAsia="zh-CN"/>
        </w:rPr>
        <w:t>6</w:t>
      </w:r>
      <w:r>
        <w:rPr>
          <w:rFonts w:hint="eastAsia"/>
          <w:sz w:val="24"/>
        </w:rPr>
        <w:t>第四部分</w:t>
      </w:r>
      <w:r>
        <w:rPr>
          <w:sz w:val="24"/>
        </w:rPr>
        <w:t xml:space="preserve"> </w:t>
      </w:r>
      <w:r>
        <w:rPr>
          <w:rFonts w:hint="eastAsia"/>
          <w:sz w:val="24"/>
        </w:rPr>
        <w:t>附件</w:t>
      </w:r>
      <w:r>
        <w:rPr>
          <w:rFonts w:hint="eastAsia" w:ascii="Times New Roman" w:hAnsi="Times New Roman" w:eastAsia="宋体" w:cs="Times New Roman"/>
          <w:kern w:val="2"/>
          <w:sz w:val="24"/>
          <w:szCs w:val="24"/>
          <w:lang w:val="en-US" w:eastAsia="zh-CN" w:bidi="ar-SA"/>
        </w:rPr>
        <w:t>······················································</w:t>
      </w:r>
      <w:r>
        <w:rPr>
          <w:rFonts w:hint="eastAsia"/>
          <w:sz w:val="24"/>
          <w:lang w:val="en-US" w:eastAsia="zh-CN"/>
        </w:rPr>
        <w:t>19</w:t>
      </w:r>
    </w:p>
    <w:p>
      <w:pPr>
        <w:pStyle w:val="12"/>
        <w:adjustRightInd w:val="0"/>
        <w:snapToGrid w:val="0"/>
        <w:spacing w:before="0" w:line="440" w:lineRule="exact"/>
        <w:jc w:val="left"/>
        <w:rPr>
          <w:rFonts w:hint="default" w:eastAsia="仿宋" w:cstheme="minorBidi"/>
          <w:sz w:val="24"/>
          <w:szCs w:val="24"/>
          <w:lang w:val="en-US" w:eastAsia="zh-CN"/>
        </w:rPr>
      </w:pPr>
      <w:r>
        <w:rPr>
          <w:rFonts w:hint="eastAsia"/>
          <w:sz w:val="24"/>
        </w:rPr>
        <w:t>第五部分</w:t>
      </w:r>
      <w:r>
        <w:rPr>
          <w:sz w:val="24"/>
        </w:rPr>
        <w:t xml:space="preserve"> </w:t>
      </w:r>
      <w:r>
        <w:rPr>
          <w:rFonts w:hint="eastAsia"/>
          <w:sz w:val="24"/>
        </w:rPr>
        <w:t>附表</w:t>
      </w:r>
      <w:r>
        <w:rPr>
          <w:rFonts w:hint="eastAsia" w:ascii="Times New Roman" w:hAnsi="Times New Roman" w:eastAsia="宋体" w:cs="Times New Roman"/>
          <w:kern w:val="2"/>
          <w:sz w:val="24"/>
          <w:szCs w:val="24"/>
          <w:lang w:val="en-US" w:eastAsia="zh-CN" w:bidi="ar-SA"/>
        </w:rPr>
        <w:t>······················································</w:t>
      </w:r>
      <w:r>
        <w:rPr>
          <w:rFonts w:hint="eastAsia"/>
          <w:sz w:val="24"/>
          <w:lang w:val="en-US" w:eastAsia="zh-CN"/>
        </w:rPr>
        <w:t>20</w:t>
      </w:r>
    </w:p>
    <w:p>
      <w:pPr>
        <w:pStyle w:val="13"/>
        <w:adjustRightInd w:val="0"/>
        <w:snapToGrid w:val="0"/>
        <w:spacing w:line="440" w:lineRule="exact"/>
        <w:jc w:val="left"/>
        <w:rPr>
          <w:rFonts w:hint="default" w:eastAsia="宋体"/>
          <w:sz w:val="24"/>
          <w:lang w:val="en-US" w:eastAsia="zh-CN"/>
        </w:rPr>
      </w:pPr>
      <w:bookmarkStart w:id="12" w:name="_Toc15396599"/>
      <w:bookmarkStart w:id="13" w:name="_Toc15377196"/>
      <w:r>
        <w:rPr>
          <w:rFonts w:hint="eastAsia"/>
          <w:sz w:val="24"/>
        </w:rPr>
        <w:t>一、收入支出决算总表</w:t>
      </w:r>
      <w:r>
        <w:rPr>
          <w:rFonts w:hint="eastAsia"/>
          <w:sz w:val="24"/>
          <w:lang w:val="en-US" w:eastAsia="zh-CN"/>
        </w:rPr>
        <w:t>············································20</w:t>
      </w:r>
    </w:p>
    <w:p>
      <w:pPr>
        <w:pStyle w:val="13"/>
        <w:adjustRightInd w:val="0"/>
        <w:snapToGrid w:val="0"/>
        <w:spacing w:line="440" w:lineRule="exact"/>
        <w:jc w:val="left"/>
        <w:rPr>
          <w:rFonts w:hint="default" w:eastAsia="宋体"/>
          <w:sz w:val="24"/>
          <w:lang w:val="en-US" w:eastAsia="zh-CN"/>
        </w:rPr>
      </w:pPr>
      <w:r>
        <w:rPr>
          <w:rFonts w:hint="eastAsia"/>
          <w:sz w:val="24"/>
        </w:rPr>
        <w:t>二、收入决算表</w:t>
      </w:r>
      <w:r>
        <w:rPr>
          <w:rFonts w:hint="eastAsia"/>
          <w:sz w:val="24"/>
          <w:lang w:val="en-US" w:eastAsia="zh-CN"/>
        </w:rPr>
        <w:t>··················································20</w:t>
      </w:r>
    </w:p>
    <w:p>
      <w:pPr>
        <w:pStyle w:val="13"/>
        <w:adjustRightInd w:val="0"/>
        <w:snapToGrid w:val="0"/>
        <w:spacing w:line="440" w:lineRule="exact"/>
        <w:jc w:val="left"/>
        <w:rPr>
          <w:rFonts w:hint="default" w:eastAsia="宋体"/>
          <w:sz w:val="24"/>
          <w:lang w:val="en-US" w:eastAsia="zh-CN"/>
        </w:rPr>
      </w:pPr>
      <w:r>
        <w:rPr>
          <w:rFonts w:hint="eastAsia"/>
          <w:sz w:val="24"/>
        </w:rPr>
        <w:t>三、支出决算表</w:t>
      </w:r>
      <w:r>
        <w:rPr>
          <w:rFonts w:hint="eastAsia"/>
          <w:sz w:val="24"/>
          <w:lang w:val="en-US" w:eastAsia="zh-CN"/>
        </w:rPr>
        <w:t>··················································20</w:t>
      </w:r>
    </w:p>
    <w:p>
      <w:pPr>
        <w:pStyle w:val="13"/>
        <w:adjustRightInd w:val="0"/>
        <w:snapToGrid w:val="0"/>
        <w:spacing w:line="440" w:lineRule="exact"/>
        <w:jc w:val="left"/>
        <w:rPr>
          <w:rFonts w:hint="default" w:eastAsia="宋体"/>
          <w:sz w:val="24"/>
          <w:lang w:val="en-US" w:eastAsia="zh-CN"/>
        </w:rPr>
      </w:pPr>
      <w:r>
        <w:rPr>
          <w:rFonts w:hint="eastAsia"/>
          <w:sz w:val="24"/>
        </w:rPr>
        <w:t>四、财政拨款收入支出决算总表</w:t>
      </w:r>
      <w:r>
        <w:rPr>
          <w:rFonts w:hint="eastAsia"/>
          <w:sz w:val="24"/>
          <w:lang w:val="en-US" w:eastAsia="zh-CN"/>
        </w:rPr>
        <w:t>····································20</w:t>
      </w:r>
    </w:p>
    <w:p>
      <w:pPr>
        <w:pStyle w:val="13"/>
        <w:adjustRightInd w:val="0"/>
        <w:snapToGrid w:val="0"/>
        <w:spacing w:line="440" w:lineRule="exact"/>
        <w:jc w:val="left"/>
        <w:rPr>
          <w:rFonts w:hint="default" w:eastAsia="宋体"/>
          <w:sz w:val="24"/>
          <w:lang w:val="en-US" w:eastAsia="zh-CN"/>
        </w:rPr>
      </w:pPr>
      <w:r>
        <w:rPr>
          <w:rFonts w:hint="eastAsia"/>
          <w:sz w:val="24"/>
        </w:rPr>
        <w:t>五、财政拨款支出决算明细表</w:t>
      </w:r>
      <w:r>
        <w:rPr>
          <w:rFonts w:hint="eastAsia"/>
          <w:sz w:val="24"/>
          <w:lang w:val="en-US" w:eastAsia="zh-CN"/>
        </w:rPr>
        <w:t>······································20</w:t>
      </w:r>
    </w:p>
    <w:p>
      <w:pPr>
        <w:pStyle w:val="13"/>
        <w:adjustRightInd w:val="0"/>
        <w:snapToGrid w:val="0"/>
        <w:spacing w:line="440" w:lineRule="exact"/>
        <w:jc w:val="left"/>
        <w:rPr>
          <w:rFonts w:hint="default" w:eastAsia="宋体"/>
          <w:sz w:val="24"/>
          <w:lang w:val="en-US" w:eastAsia="zh-CN"/>
        </w:rPr>
      </w:pPr>
      <w:r>
        <w:rPr>
          <w:rFonts w:hint="eastAsia"/>
          <w:sz w:val="24"/>
        </w:rPr>
        <w:t>六、一般公共预算财政拨款支出决算表</w:t>
      </w:r>
      <w:r>
        <w:rPr>
          <w:rFonts w:hint="eastAsia"/>
          <w:sz w:val="24"/>
          <w:lang w:val="en-US" w:eastAsia="zh-CN"/>
        </w:rPr>
        <w:t>······························20</w:t>
      </w:r>
    </w:p>
    <w:p>
      <w:pPr>
        <w:pStyle w:val="13"/>
        <w:adjustRightInd w:val="0"/>
        <w:snapToGrid w:val="0"/>
        <w:spacing w:line="440" w:lineRule="exact"/>
        <w:jc w:val="left"/>
        <w:rPr>
          <w:rFonts w:hint="default" w:eastAsia="宋体"/>
          <w:sz w:val="24"/>
          <w:lang w:val="en-US" w:eastAsia="zh-CN"/>
        </w:rPr>
      </w:pPr>
      <w:r>
        <w:rPr>
          <w:rFonts w:hint="eastAsia"/>
          <w:sz w:val="24"/>
        </w:rPr>
        <w:t>七、一般公共预算财政拨款支出决算明细表</w:t>
      </w:r>
      <w:r>
        <w:rPr>
          <w:rFonts w:hint="eastAsia"/>
          <w:sz w:val="24"/>
          <w:lang w:val="en-US" w:eastAsia="zh-CN"/>
        </w:rPr>
        <w:t>··························20</w:t>
      </w:r>
    </w:p>
    <w:p>
      <w:pPr>
        <w:pStyle w:val="13"/>
        <w:adjustRightInd w:val="0"/>
        <w:snapToGrid w:val="0"/>
        <w:spacing w:line="440" w:lineRule="exact"/>
        <w:jc w:val="left"/>
        <w:rPr>
          <w:rFonts w:hint="default" w:eastAsia="宋体"/>
          <w:sz w:val="24"/>
          <w:lang w:val="en-US" w:eastAsia="zh-CN"/>
        </w:rPr>
      </w:pPr>
      <w:r>
        <w:rPr>
          <w:rFonts w:hint="eastAsia"/>
          <w:sz w:val="24"/>
        </w:rPr>
        <w:t>八、一般公共预算财政拨款基本支出决算明细表</w:t>
      </w:r>
      <w:r>
        <w:rPr>
          <w:rFonts w:hint="eastAsia"/>
          <w:sz w:val="24"/>
          <w:lang w:val="en-US" w:eastAsia="zh-CN"/>
        </w:rPr>
        <w:t>······················20</w:t>
      </w:r>
    </w:p>
    <w:p>
      <w:pPr>
        <w:pStyle w:val="13"/>
        <w:adjustRightInd w:val="0"/>
        <w:snapToGrid w:val="0"/>
        <w:spacing w:line="440" w:lineRule="exact"/>
        <w:jc w:val="left"/>
        <w:rPr>
          <w:rFonts w:hint="default" w:eastAsia="宋体"/>
          <w:sz w:val="24"/>
          <w:lang w:val="en-US" w:eastAsia="zh-CN"/>
        </w:rPr>
      </w:pPr>
      <w:r>
        <w:rPr>
          <w:rFonts w:hint="eastAsia"/>
          <w:sz w:val="24"/>
        </w:rPr>
        <w:t>九、一般公共预算财政拨款项目支出决算表</w:t>
      </w:r>
      <w:r>
        <w:rPr>
          <w:rFonts w:hint="eastAsia"/>
          <w:sz w:val="24"/>
          <w:lang w:val="en-US" w:eastAsia="zh-CN"/>
        </w:rPr>
        <w:t>··························20</w:t>
      </w:r>
    </w:p>
    <w:p>
      <w:pPr>
        <w:pStyle w:val="13"/>
        <w:adjustRightInd w:val="0"/>
        <w:snapToGrid w:val="0"/>
        <w:spacing w:line="440" w:lineRule="exact"/>
        <w:jc w:val="left"/>
        <w:rPr>
          <w:rFonts w:hint="default" w:eastAsia="宋体"/>
          <w:sz w:val="24"/>
          <w:lang w:val="en-US" w:eastAsia="zh-CN"/>
        </w:rPr>
      </w:pPr>
      <w:r>
        <w:rPr>
          <w:rFonts w:hint="eastAsia"/>
          <w:sz w:val="24"/>
        </w:rPr>
        <w:t>十、政府性基金预算财政拨款收入支出决算表</w:t>
      </w:r>
      <w:r>
        <w:rPr>
          <w:rFonts w:hint="eastAsia"/>
          <w:sz w:val="24"/>
          <w:lang w:val="en-US" w:eastAsia="zh-CN"/>
        </w:rPr>
        <w:t>························20</w:t>
      </w:r>
    </w:p>
    <w:p>
      <w:pPr>
        <w:pStyle w:val="13"/>
        <w:adjustRightInd w:val="0"/>
        <w:snapToGrid w:val="0"/>
        <w:spacing w:line="440" w:lineRule="exact"/>
        <w:jc w:val="left"/>
        <w:rPr>
          <w:rFonts w:hint="default" w:eastAsia="宋体"/>
          <w:sz w:val="24"/>
          <w:lang w:val="en-US" w:eastAsia="zh-CN"/>
        </w:rPr>
      </w:pPr>
      <w:r>
        <w:rPr>
          <w:rFonts w:hint="eastAsia"/>
          <w:sz w:val="24"/>
        </w:rPr>
        <w:t>十一、国有资本经营预算财政拨款收入支出决算表</w:t>
      </w:r>
      <w:r>
        <w:rPr>
          <w:rFonts w:hint="eastAsia"/>
          <w:sz w:val="24"/>
          <w:lang w:val="en-US" w:eastAsia="zh-CN"/>
        </w:rPr>
        <w:t>····················20</w:t>
      </w:r>
    </w:p>
    <w:p>
      <w:pPr>
        <w:pStyle w:val="13"/>
        <w:adjustRightInd w:val="0"/>
        <w:snapToGrid w:val="0"/>
        <w:spacing w:line="440" w:lineRule="exact"/>
        <w:jc w:val="left"/>
        <w:rPr>
          <w:rFonts w:hint="default" w:eastAsia="宋体"/>
          <w:sz w:val="24"/>
          <w:lang w:val="en-US" w:eastAsia="zh-CN"/>
        </w:rPr>
      </w:pPr>
      <w:r>
        <w:rPr>
          <w:rFonts w:hint="eastAsia"/>
          <w:sz w:val="24"/>
        </w:rPr>
        <w:t>十二、国有资本经营预算财政拨款支出决算表</w:t>
      </w:r>
      <w:r>
        <w:rPr>
          <w:rFonts w:hint="eastAsia"/>
          <w:sz w:val="24"/>
          <w:lang w:val="en-US" w:eastAsia="zh-CN"/>
        </w:rPr>
        <w:t>························20</w:t>
      </w:r>
    </w:p>
    <w:p>
      <w:pPr>
        <w:pStyle w:val="13"/>
        <w:adjustRightInd w:val="0"/>
        <w:snapToGrid w:val="0"/>
        <w:spacing w:line="440" w:lineRule="exact"/>
        <w:jc w:val="left"/>
        <w:rPr>
          <w:rFonts w:hint="default" w:eastAsia="宋体"/>
          <w:sz w:val="24"/>
          <w:lang w:val="en-US" w:eastAsia="zh-CN"/>
        </w:rPr>
      </w:pPr>
      <w:r>
        <w:rPr>
          <w:rFonts w:hint="eastAsia"/>
          <w:sz w:val="24"/>
        </w:rPr>
        <w:t>十三、财政拨款“三公”经费支出决算表</w:t>
      </w:r>
      <w:r>
        <w:rPr>
          <w:rFonts w:hint="eastAsia"/>
          <w:sz w:val="24"/>
          <w:lang w:val="en-US" w:eastAsia="zh-CN"/>
        </w:rPr>
        <w:t>······························20</w:t>
      </w:r>
    </w:p>
    <w:p>
      <w:pPr>
        <w:widowControl/>
        <w:spacing w:line="440" w:lineRule="exact"/>
        <w:jc w:val="left"/>
        <w:rPr>
          <w:rFonts w:ascii="仿宋" w:hAnsi="仿宋" w:eastAsia="仿宋"/>
          <w:bCs/>
          <w:kern w:val="44"/>
          <w:sz w:val="24"/>
        </w:rPr>
      </w:pPr>
      <w:r>
        <w:rPr>
          <w:rFonts w:ascii="仿宋" w:hAnsi="仿宋" w:eastAsia="仿宋"/>
          <w:b/>
          <w:sz w:val="24"/>
        </w:rPr>
        <w:br w:type="page"/>
      </w:r>
      <w:bookmarkStart w:id="67" w:name="_GoBack"/>
      <w:bookmarkEnd w:id="67"/>
    </w:p>
    <w:p>
      <w:pPr>
        <w:pStyle w:val="3"/>
        <w:jc w:val="center"/>
        <w:rPr>
          <w:rStyle w:val="27"/>
          <w:rFonts w:ascii="黑体" w:hAnsi="黑体" w:eastAsia="黑体"/>
          <w:b/>
          <w:bCs w:val="0"/>
        </w:rPr>
      </w:pPr>
      <w:r>
        <w:rPr>
          <w:rFonts w:hint="eastAsia" w:ascii="黑体" w:hAnsi="黑体" w:eastAsia="黑体"/>
          <w:b w:val="0"/>
        </w:rPr>
        <w:t>第一部分 单位</w:t>
      </w:r>
      <w:r>
        <w:rPr>
          <w:rStyle w:val="27"/>
          <w:rFonts w:hint="eastAsia" w:ascii="黑体" w:hAnsi="黑体" w:eastAsia="黑体"/>
          <w:b w:val="0"/>
          <w:bCs w:val="0"/>
        </w:rPr>
        <w:t>概况</w:t>
      </w:r>
      <w:bookmarkEnd w:id="12"/>
      <w:bookmarkEnd w:id="13"/>
    </w:p>
    <w:p>
      <w:pPr>
        <w:widowControl/>
        <w:jc w:val="left"/>
        <w:rPr>
          <w:rFonts w:ascii="黑体" w:eastAsia="黑体"/>
          <w:sz w:val="32"/>
          <w:szCs w:val="32"/>
        </w:rPr>
      </w:pPr>
    </w:p>
    <w:p>
      <w:pPr>
        <w:pStyle w:val="4"/>
        <w:numPr>
          <w:ilvl w:val="0"/>
          <w:numId w:val="1"/>
        </w:numPr>
        <w:rPr>
          <w:rStyle w:val="28"/>
          <w:rFonts w:ascii="黑体" w:hAnsi="黑体" w:eastAsia="黑体"/>
          <w:b w:val="0"/>
          <w:bCs w:val="0"/>
        </w:rPr>
      </w:pPr>
      <w:bookmarkStart w:id="14" w:name="_Toc15396600"/>
      <w:bookmarkStart w:id="15" w:name="_Toc15377197"/>
      <w:r>
        <w:rPr>
          <w:rStyle w:val="28"/>
          <w:rFonts w:hint="eastAsia" w:ascii="黑体" w:hAnsi="黑体" w:eastAsia="黑体"/>
          <w:b w:val="0"/>
          <w:bCs w:val="0"/>
        </w:rPr>
        <w:t>主要职责</w:t>
      </w:r>
    </w:p>
    <w:p>
      <w:pPr>
        <w:pStyle w:val="26"/>
        <w:ind w:left="420" w:firstLine="640"/>
      </w:pPr>
      <w:r>
        <w:rPr>
          <w:rFonts w:hint="eastAsia" w:ascii="仿宋_GB2312" w:eastAsia="仿宋_GB2312"/>
          <w:bCs/>
          <w:color w:val="000000"/>
          <w:kern w:val="0"/>
          <w:sz w:val="32"/>
          <w:szCs w:val="36"/>
        </w:rPr>
        <w:t>根据攀办发[2013]72号《攀枝花市公安局主要职责内设机构和人员编制规定》文件规定，我局主要职责是在市公安局领导下，负责治安行政管理和刑事执法工作以及市公安局22项职责中涉及分局完成的工作职责。</w:t>
      </w:r>
    </w:p>
    <w:p/>
    <w:p>
      <w:pPr>
        <w:pStyle w:val="4"/>
        <w:rPr>
          <w:rFonts w:ascii="黑体" w:hAnsi="黑体" w:eastAsia="黑体"/>
          <w:b w:val="0"/>
        </w:rPr>
      </w:pPr>
      <w:r>
        <w:rPr>
          <w:rFonts w:hint="eastAsia" w:ascii="黑体" w:hAnsi="黑体" w:eastAsia="黑体"/>
          <w:b w:val="0"/>
        </w:rPr>
        <w:t>二、机构设置</w:t>
      </w:r>
    </w:p>
    <w:p>
      <w:pPr>
        <w:ind w:firstLine="640" w:firstLineChars="200"/>
      </w:pPr>
      <w:r>
        <w:rPr>
          <w:rFonts w:hint="eastAsia" w:ascii="仿宋_GB2312" w:hAnsi="仿宋" w:eastAsia="仿宋_GB2312"/>
          <w:sz w:val="32"/>
          <w:szCs w:val="32"/>
        </w:rPr>
        <w:t>我局为市级财政二级预算单位，现内设机构</w:t>
      </w:r>
      <w:r>
        <w:rPr>
          <w:rFonts w:hint="eastAsia" w:ascii="仿宋_GB2312" w:hAnsi="仿宋" w:eastAsia="仿宋_GB2312"/>
          <w:sz w:val="32"/>
          <w:szCs w:val="32"/>
          <w:lang w:val="en-US" w:eastAsia="zh-CN"/>
        </w:rPr>
        <w:t>17</w:t>
      </w:r>
      <w:r>
        <w:rPr>
          <w:rFonts w:hint="eastAsia" w:ascii="仿宋_GB2312" w:hAnsi="仿宋" w:eastAsia="仿宋_GB2312"/>
          <w:sz w:val="32"/>
          <w:szCs w:val="32"/>
        </w:rPr>
        <w:t>个</w:t>
      </w:r>
      <w:r>
        <w:rPr>
          <w:rFonts w:hint="eastAsia" w:ascii="仿宋_GB2312" w:eastAsia="仿宋_GB2312"/>
          <w:sz w:val="30"/>
          <w:szCs w:val="30"/>
        </w:rPr>
        <w:t>。</w:t>
      </w:r>
    </w:p>
    <w:bookmarkEnd w:id="14"/>
    <w:bookmarkEnd w:id="15"/>
    <w:p>
      <w:pPr>
        <w:widowControl/>
        <w:jc w:val="left"/>
        <w:rPr>
          <w:rFonts w:ascii="仿宋" w:hAnsi="仿宋" w:eastAsia="仿宋"/>
          <w:kern w:val="0"/>
          <w:sz w:val="32"/>
          <w:szCs w:val="32"/>
        </w:rPr>
      </w:pPr>
      <w:r>
        <w:rPr>
          <w:rFonts w:ascii="仿宋" w:hAnsi="仿宋" w:eastAsia="仿宋"/>
          <w:sz w:val="32"/>
          <w:szCs w:val="32"/>
        </w:rPr>
        <w:br w:type="page"/>
      </w:r>
    </w:p>
    <w:p>
      <w:pPr>
        <w:pStyle w:val="3"/>
        <w:ind w:right="440"/>
        <w:jc w:val="center"/>
        <w:rPr>
          <w:rStyle w:val="27"/>
          <w:rFonts w:ascii="黑体" w:hAnsi="黑体" w:eastAsia="黑体"/>
          <w:b w:val="0"/>
          <w:bCs/>
        </w:rPr>
      </w:pPr>
      <w:bookmarkStart w:id="16" w:name="_Toc15377204"/>
      <w:bookmarkStart w:id="17" w:name="_Toc15396602"/>
      <w:r>
        <w:rPr>
          <w:rFonts w:hint="eastAsia" w:ascii="黑体" w:hAnsi="黑体" w:eastAsia="黑体"/>
          <w:b w:val="0"/>
        </w:rPr>
        <w:t>第二部分 202</w:t>
      </w:r>
      <w:r>
        <w:rPr>
          <w:rFonts w:hint="eastAsia" w:ascii="黑体" w:hAnsi="黑体" w:eastAsia="黑体"/>
          <w:b w:val="0"/>
          <w:lang w:val="en-US" w:eastAsia="zh-CN"/>
        </w:rPr>
        <w:t>4</w:t>
      </w:r>
      <w:r>
        <w:rPr>
          <w:rFonts w:hint="eastAsia" w:ascii="黑体" w:hAnsi="黑体" w:eastAsia="黑体"/>
          <w:b w:val="0"/>
        </w:rPr>
        <w:t>年度</w:t>
      </w:r>
      <w:r>
        <w:rPr>
          <w:rStyle w:val="27"/>
          <w:rFonts w:hint="eastAsia" w:ascii="黑体" w:hAnsi="黑体" w:eastAsia="黑体"/>
          <w:b w:val="0"/>
          <w:bCs/>
        </w:rPr>
        <w:t>单位决算情况说明</w:t>
      </w:r>
      <w:bookmarkEnd w:id="16"/>
      <w:bookmarkEnd w:id="17"/>
    </w:p>
    <w:p/>
    <w:p>
      <w:pPr>
        <w:pStyle w:val="26"/>
        <w:numPr>
          <w:ilvl w:val="0"/>
          <w:numId w:val="2"/>
        </w:numPr>
        <w:spacing w:line="600" w:lineRule="exact"/>
        <w:ind w:firstLineChars="0"/>
        <w:outlineLvl w:val="1"/>
        <w:rPr>
          <w:rStyle w:val="28"/>
          <w:rFonts w:ascii="黑体" w:hAnsi="黑体" w:eastAsia="黑体"/>
          <w:b w:val="0"/>
        </w:rPr>
      </w:pPr>
      <w:bookmarkStart w:id="18" w:name="_Toc15396603"/>
      <w:bookmarkStart w:id="19" w:name="_Toc15377205"/>
      <w:r>
        <w:rPr>
          <w:rFonts w:hint="eastAsia" w:ascii="黑体" w:hAnsi="黑体" w:eastAsia="黑体"/>
          <w:sz w:val="32"/>
          <w:szCs w:val="32"/>
        </w:rPr>
        <w:t>收</w:t>
      </w:r>
      <w:r>
        <w:rPr>
          <w:rStyle w:val="28"/>
          <w:rFonts w:hint="eastAsia" w:ascii="黑体" w:hAnsi="黑体" w:eastAsia="黑体"/>
          <w:b w:val="0"/>
        </w:rPr>
        <w:t>入支出决算总体情况说明</w:t>
      </w:r>
      <w:bookmarkEnd w:id="18"/>
      <w:bookmarkEnd w:id="19"/>
    </w:p>
    <w:p>
      <w:pPr>
        <w:spacing w:line="600" w:lineRule="exact"/>
        <w:ind w:firstLine="640" w:firstLineChars="2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年度收、支总计均为</w:t>
      </w:r>
      <w:r>
        <w:rPr>
          <w:rFonts w:hint="eastAsia" w:ascii="仿宋" w:hAnsi="仿宋" w:eastAsia="仿宋"/>
          <w:b/>
          <w:sz w:val="32"/>
          <w:szCs w:val="32"/>
          <w:lang w:val="en-US" w:eastAsia="zh-CN"/>
        </w:rPr>
        <w:t>8079.18</w:t>
      </w:r>
      <w:r>
        <w:rPr>
          <w:rFonts w:hint="eastAsia" w:ascii="仿宋" w:hAnsi="仿宋" w:eastAsia="仿宋"/>
          <w:sz w:val="32"/>
          <w:szCs w:val="32"/>
        </w:rPr>
        <w:t>万元。与202</w:t>
      </w:r>
      <w:r>
        <w:rPr>
          <w:rFonts w:hint="eastAsia" w:ascii="仿宋" w:hAnsi="仿宋" w:eastAsia="仿宋"/>
          <w:sz w:val="32"/>
          <w:szCs w:val="32"/>
          <w:lang w:val="en-US" w:eastAsia="zh-CN"/>
        </w:rPr>
        <w:t>3</w:t>
      </w:r>
      <w:r>
        <w:rPr>
          <w:rFonts w:hint="eastAsia" w:ascii="仿宋" w:hAnsi="仿宋" w:eastAsia="仿宋"/>
          <w:sz w:val="32"/>
          <w:szCs w:val="32"/>
        </w:rPr>
        <w:t>年度相比，收、支总计</w:t>
      </w:r>
      <w:r>
        <w:rPr>
          <w:rFonts w:hint="eastAsia" w:ascii="仿宋" w:hAnsi="仿宋" w:eastAsia="仿宋"/>
          <w:sz w:val="32"/>
          <w:szCs w:val="32"/>
          <w:lang w:val="en-US" w:eastAsia="zh-CN"/>
        </w:rPr>
        <w:t>减少342.96</w:t>
      </w:r>
      <w:r>
        <w:rPr>
          <w:rFonts w:hint="eastAsia" w:ascii="仿宋" w:hAnsi="仿宋" w:eastAsia="仿宋"/>
          <w:sz w:val="32"/>
          <w:szCs w:val="32"/>
        </w:rPr>
        <w:t>万元，</w:t>
      </w:r>
      <w:r>
        <w:rPr>
          <w:rFonts w:hint="eastAsia" w:ascii="仿宋" w:hAnsi="仿宋" w:eastAsia="仿宋"/>
          <w:sz w:val="32"/>
          <w:szCs w:val="32"/>
          <w:lang w:val="en-US" w:eastAsia="zh-CN"/>
        </w:rPr>
        <w:t>降低4.24</w:t>
      </w:r>
      <w:r>
        <w:rPr>
          <w:rFonts w:ascii="仿宋" w:hAnsi="仿宋" w:eastAsia="仿宋"/>
          <w:sz w:val="32"/>
          <w:szCs w:val="32"/>
        </w:rPr>
        <w:t>%</w:t>
      </w:r>
      <w:r>
        <w:rPr>
          <w:rFonts w:hint="eastAsia" w:ascii="仿宋" w:hAnsi="仿宋" w:eastAsia="仿宋"/>
          <w:sz w:val="32"/>
          <w:szCs w:val="32"/>
        </w:rPr>
        <w:t>。主要变动原因是人员经费</w:t>
      </w:r>
      <w:r>
        <w:rPr>
          <w:rFonts w:hint="eastAsia" w:ascii="仿宋" w:hAnsi="仿宋" w:eastAsia="仿宋"/>
          <w:sz w:val="32"/>
          <w:szCs w:val="32"/>
          <w:lang w:val="en-US" w:eastAsia="zh-CN"/>
        </w:rPr>
        <w:t>降低</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drawing>
          <wp:anchor distT="0" distB="0" distL="114300" distR="114300" simplePos="0" relativeHeight="251659264" behindDoc="0" locked="0" layoutInCell="1" allowOverlap="1">
            <wp:simplePos x="0" y="0"/>
            <wp:positionH relativeFrom="column">
              <wp:posOffset>428625</wp:posOffset>
            </wp:positionH>
            <wp:positionV relativeFrom="paragraph">
              <wp:posOffset>-3503930</wp:posOffset>
            </wp:positionV>
            <wp:extent cx="5080000" cy="3810000"/>
            <wp:effectExtent l="19050" t="0" r="25400" b="0"/>
            <wp:wrapSquare wrapText="bothSides"/>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pPr>
        <w:spacing w:line="600" w:lineRule="exact"/>
        <w:ind w:firstLine="640" w:firstLineChars="200"/>
        <w:jc w:val="left"/>
        <w:rPr>
          <w:rFonts w:ascii="仿宋_GB2312" w:eastAsia="仿宋_GB2312"/>
          <w:sz w:val="32"/>
          <w:szCs w:val="32"/>
        </w:rPr>
      </w:pPr>
    </w:p>
    <w:p>
      <w:pPr>
        <w:pStyle w:val="26"/>
        <w:numPr>
          <w:ilvl w:val="0"/>
          <w:numId w:val="2"/>
        </w:numPr>
        <w:spacing w:line="600" w:lineRule="exact"/>
        <w:ind w:firstLineChars="0"/>
        <w:outlineLvl w:val="1"/>
        <w:rPr>
          <w:rStyle w:val="28"/>
          <w:rFonts w:ascii="黑体" w:hAnsi="黑体" w:eastAsia="黑体"/>
          <w:b w:val="0"/>
        </w:rPr>
      </w:pPr>
      <w:bookmarkStart w:id="20" w:name="_Toc15396604"/>
      <w:bookmarkStart w:id="21" w:name="_Toc15377206"/>
      <w:r>
        <w:rPr>
          <w:rFonts w:hint="eastAsia" w:ascii="黑体" w:hAnsi="黑体" w:eastAsia="黑体"/>
          <w:sz w:val="32"/>
          <w:szCs w:val="32"/>
        </w:rPr>
        <w:t>收</w:t>
      </w:r>
      <w:r>
        <w:rPr>
          <w:rStyle w:val="28"/>
          <w:rFonts w:hint="eastAsia" w:ascii="黑体" w:hAnsi="黑体" w:eastAsia="黑体"/>
          <w:b w:val="0"/>
        </w:rPr>
        <w:t>入决算情况说明</w:t>
      </w:r>
      <w:bookmarkEnd w:id="20"/>
      <w:bookmarkEnd w:id="21"/>
    </w:p>
    <w:p>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年度本年收入合计</w:t>
      </w:r>
      <w:r>
        <w:rPr>
          <w:rFonts w:hint="eastAsia" w:ascii="仿宋" w:hAnsi="仿宋" w:eastAsia="仿宋"/>
          <w:b/>
          <w:sz w:val="32"/>
          <w:szCs w:val="32"/>
          <w:lang w:val="en-US" w:eastAsia="zh-CN"/>
        </w:rPr>
        <w:t>8079.18</w:t>
      </w:r>
      <w:r>
        <w:rPr>
          <w:rFonts w:hint="eastAsia" w:ascii="仿宋" w:hAnsi="仿宋" w:eastAsia="仿宋"/>
          <w:sz w:val="32"/>
          <w:szCs w:val="32"/>
        </w:rPr>
        <w:t>万元，其中：一般公共预算财政拨款收入</w:t>
      </w:r>
      <w:r>
        <w:rPr>
          <w:rFonts w:hint="eastAsia" w:ascii="仿宋" w:hAnsi="仿宋" w:eastAsia="仿宋"/>
          <w:b/>
          <w:sz w:val="32"/>
          <w:szCs w:val="32"/>
          <w:lang w:val="en-US" w:eastAsia="zh-CN"/>
        </w:rPr>
        <w:t>8079.18</w:t>
      </w:r>
      <w:r>
        <w:rPr>
          <w:rFonts w:hint="eastAsia" w:ascii="仿宋" w:hAnsi="仿宋" w:eastAsia="仿宋"/>
          <w:sz w:val="32"/>
          <w:szCs w:val="32"/>
        </w:rPr>
        <w:t>万元，占</w:t>
      </w:r>
      <w:r>
        <w:rPr>
          <w:rFonts w:ascii="仿宋" w:hAnsi="仿宋" w:eastAsia="仿宋"/>
          <w:b/>
          <w:sz w:val="32"/>
          <w:szCs w:val="32"/>
        </w:rPr>
        <w:t>100%</w:t>
      </w:r>
      <w:r>
        <w:rPr>
          <w:rFonts w:hint="eastAsia" w:ascii="仿宋" w:hAnsi="仿宋" w:eastAsia="仿宋"/>
          <w:sz w:val="32"/>
          <w:szCs w:val="32"/>
        </w:rPr>
        <w:t>；政府性基金预算财政拨款收入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；国有资本经营预算财政拨款收入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；上级补助收入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；事业收入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；附属单位上缴收入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；其他收入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p>
    <w:p>
      <w:pPr>
        <w:spacing w:line="600" w:lineRule="exact"/>
        <w:ind w:firstLine="640" w:firstLineChars="200"/>
        <w:outlineLvl w:val="1"/>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drawing>
          <wp:anchor distT="0" distB="0" distL="114300" distR="114300" simplePos="0" relativeHeight="251660288" behindDoc="0" locked="0" layoutInCell="1" allowOverlap="1">
            <wp:simplePos x="0" y="0"/>
            <wp:positionH relativeFrom="column">
              <wp:posOffset>405130</wp:posOffset>
            </wp:positionH>
            <wp:positionV relativeFrom="paragraph">
              <wp:posOffset>-3143885</wp:posOffset>
            </wp:positionV>
            <wp:extent cx="5081270" cy="3804920"/>
            <wp:effectExtent l="4445" t="4445" r="20955" b="14605"/>
            <wp:wrapSquare wrapText="bothSides"/>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（（图2：收入决算结构图）</w:t>
      </w:r>
    </w:p>
    <w:p>
      <w:pPr>
        <w:spacing w:line="600" w:lineRule="exact"/>
        <w:ind w:firstLine="640" w:firstLineChars="200"/>
        <w:rPr>
          <w:rFonts w:ascii="仿宋_GB2312" w:eastAsia="仿宋_GB2312"/>
          <w:sz w:val="32"/>
          <w:szCs w:val="32"/>
        </w:rPr>
      </w:pPr>
    </w:p>
    <w:p>
      <w:pPr>
        <w:pStyle w:val="26"/>
        <w:numPr>
          <w:ilvl w:val="0"/>
          <w:numId w:val="2"/>
        </w:numPr>
        <w:spacing w:line="600" w:lineRule="exact"/>
        <w:ind w:firstLineChars="0"/>
        <w:outlineLvl w:val="1"/>
        <w:rPr>
          <w:rStyle w:val="28"/>
          <w:rFonts w:ascii="黑体" w:hAnsi="黑体" w:eastAsia="黑体"/>
          <w:b w:val="0"/>
        </w:rPr>
      </w:pPr>
      <w:bookmarkStart w:id="22" w:name="_Toc15377207"/>
      <w:bookmarkStart w:id="23" w:name="_Toc15396605"/>
      <w:r>
        <w:rPr>
          <w:rFonts w:hint="eastAsia" w:ascii="黑体" w:hAnsi="黑体" w:eastAsia="黑体"/>
          <w:sz w:val="32"/>
          <w:szCs w:val="32"/>
        </w:rPr>
        <w:t>支</w:t>
      </w:r>
      <w:r>
        <w:rPr>
          <w:rStyle w:val="28"/>
          <w:rFonts w:hint="eastAsia" w:ascii="黑体" w:hAnsi="黑体" w:eastAsia="黑体"/>
          <w:b w:val="0"/>
        </w:rPr>
        <w:t>出决算情况说明</w:t>
      </w:r>
      <w:bookmarkEnd w:id="22"/>
      <w:bookmarkEnd w:id="23"/>
    </w:p>
    <w:p>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年度本年支出合计</w:t>
      </w:r>
      <w:r>
        <w:rPr>
          <w:rFonts w:hint="eastAsia" w:ascii="仿宋" w:hAnsi="仿宋" w:eastAsia="仿宋"/>
          <w:b/>
          <w:sz w:val="32"/>
          <w:szCs w:val="32"/>
          <w:lang w:val="en-US" w:eastAsia="zh-CN"/>
        </w:rPr>
        <w:t>8079.18</w:t>
      </w:r>
      <w:r>
        <w:rPr>
          <w:rFonts w:hint="eastAsia" w:ascii="仿宋" w:hAnsi="仿宋" w:eastAsia="仿宋"/>
          <w:sz w:val="32"/>
          <w:szCs w:val="32"/>
        </w:rPr>
        <w:t>万元，其中：基本支出</w:t>
      </w:r>
      <w:r>
        <w:rPr>
          <w:rFonts w:hint="eastAsia" w:ascii="仿宋" w:hAnsi="仿宋" w:eastAsia="仿宋"/>
          <w:b/>
          <w:sz w:val="32"/>
          <w:szCs w:val="32"/>
          <w:lang w:val="en-US" w:eastAsia="zh-CN"/>
        </w:rPr>
        <w:t>7184.41</w:t>
      </w:r>
      <w:r>
        <w:rPr>
          <w:rFonts w:hint="eastAsia" w:ascii="仿宋" w:hAnsi="仿宋" w:eastAsia="仿宋"/>
          <w:sz w:val="32"/>
          <w:szCs w:val="32"/>
        </w:rPr>
        <w:t>万元，占</w:t>
      </w:r>
      <w:r>
        <w:rPr>
          <w:rFonts w:ascii="仿宋" w:hAnsi="仿宋" w:eastAsia="仿宋"/>
          <w:b/>
          <w:sz w:val="32"/>
          <w:szCs w:val="32"/>
        </w:rPr>
        <w:t>88.</w:t>
      </w:r>
      <w:r>
        <w:rPr>
          <w:rFonts w:hint="eastAsia" w:ascii="仿宋" w:hAnsi="仿宋" w:eastAsia="仿宋"/>
          <w:b/>
          <w:sz w:val="32"/>
          <w:szCs w:val="32"/>
          <w:lang w:val="en-US" w:eastAsia="zh-CN"/>
        </w:rPr>
        <w:t>92</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894.76</w:t>
      </w:r>
      <w:r>
        <w:rPr>
          <w:rFonts w:hint="eastAsia" w:ascii="仿宋" w:hAnsi="仿宋" w:eastAsia="仿宋"/>
          <w:sz w:val="32"/>
          <w:szCs w:val="32"/>
        </w:rPr>
        <w:t>万元，占</w:t>
      </w:r>
      <w:r>
        <w:rPr>
          <w:rFonts w:ascii="仿宋" w:hAnsi="仿宋" w:eastAsia="仿宋"/>
          <w:b/>
          <w:sz w:val="32"/>
          <w:szCs w:val="32"/>
        </w:rPr>
        <w:t>11.</w:t>
      </w:r>
      <w:r>
        <w:rPr>
          <w:rFonts w:hint="eastAsia" w:ascii="仿宋" w:hAnsi="仿宋" w:eastAsia="仿宋"/>
          <w:b/>
          <w:sz w:val="32"/>
          <w:szCs w:val="32"/>
          <w:lang w:val="en-US" w:eastAsia="zh-CN"/>
        </w:rPr>
        <w:t>08</w:t>
      </w:r>
      <w:r>
        <w:rPr>
          <w:rFonts w:ascii="仿宋" w:hAnsi="仿宋" w:eastAsia="仿宋"/>
          <w:sz w:val="32"/>
          <w:szCs w:val="32"/>
        </w:rPr>
        <w:t>%</w:t>
      </w:r>
      <w:r>
        <w:rPr>
          <w:rFonts w:hint="eastAsia" w:ascii="仿宋" w:hAnsi="仿宋" w:eastAsia="仿宋"/>
          <w:sz w:val="32"/>
          <w:szCs w:val="32"/>
        </w:rPr>
        <w:t>；上缴上级支出</w:t>
      </w:r>
      <w:r>
        <w:rPr>
          <w:rFonts w:ascii="仿宋" w:hAnsi="仿宋" w:eastAsia="仿宋"/>
          <w:b/>
          <w:sz w:val="32"/>
          <w:szCs w:val="32"/>
        </w:rPr>
        <w:t>0</w:t>
      </w:r>
      <w:r>
        <w:rPr>
          <w:rFonts w:hint="eastAsia" w:ascii="仿宋" w:hAnsi="仿宋" w:eastAsia="仿宋"/>
          <w:sz w:val="32"/>
          <w:szCs w:val="32"/>
        </w:rPr>
        <w:t>万元，占</w:t>
      </w:r>
      <w:r>
        <w:rPr>
          <w:rFonts w:hint="eastAsia"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；对附属单位补助支出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w:t>
      </w:r>
    </w:p>
    <w:p>
      <w:pPr>
        <w:spacing w:line="600" w:lineRule="exact"/>
        <w:ind w:firstLine="643" w:firstLineChars="200"/>
        <w:outlineLvl w:val="1"/>
        <w:rPr>
          <w:rFonts w:ascii="仿宋" w:hAnsi="仿宋" w:eastAsia="仿宋"/>
          <w:b/>
          <w:sz w:val="32"/>
          <w:szCs w:val="32"/>
        </w:rPr>
      </w:pPr>
    </w:p>
    <w:p>
      <w:pPr>
        <w:spacing w:line="600" w:lineRule="exact"/>
        <w:ind w:firstLine="640"/>
        <w:rPr>
          <w:rFonts w:ascii="仿宋" w:hAnsi="仿宋" w:eastAsia="仿宋"/>
          <w:sz w:val="32"/>
          <w:szCs w:val="32"/>
          <w:shd w:val="pct10" w:color="auto" w:fill="FFFFFF"/>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drawing>
          <wp:anchor distT="0" distB="0" distL="114300" distR="114300" simplePos="0" relativeHeight="251661312" behindDoc="0" locked="0" layoutInCell="1" allowOverlap="1">
            <wp:simplePos x="0" y="0"/>
            <wp:positionH relativeFrom="column">
              <wp:posOffset>416560</wp:posOffset>
            </wp:positionH>
            <wp:positionV relativeFrom="paragraph">
              <wp:posOffset>-1617345</wp:posOffset>
            </wp:positionV>
            <wp:extent cx="5081270" cy="3804920"/>
            <wp:effectExtent l="4445" t="4445" r="20955" b="14605"/>
            <wp:wrapSquare wrapText="bothSides"/>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（（图3：支出决算结构图）</w:t>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Style w:val="28"/>
          <w:rFonts w:ascii="黑体" w:hAnsi="黑体" w:eastAsia="黑体"/>
          <w:b w:val="0"/>
        </w:rPr>
      </w:pPr>
      <w:bookmarkStart w:id="24" w:name="_Toc15396606"/>
      <w:bookmarkStart w:id="25" w:name="_Toc15377208"/>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24"/>
      <w:bookmarkEnd w:id="25"/>
    </w:p>
    <w:p>
      <w:pPr>
        <w:spacing w:line="600" w:lineRule="exact"/>
        <w:ind w:firstLine="640" w:firstLineChars="2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年度财政拨款收、支总计均为</w:t>
      </w:r>
      <w:r>
        <w:rPr>
          <w:rFonts w:hint="eastAsia" w:ascii="仿宋" w:hAnsi="仿宋" w:eastAsia="仿宋"/>
          <w:b/>
          <w:sz w:val="32"/>
          <w:szCs w:val="32"/>
          <w:lang w:val="en-US" w:eastAsia="zh-CN"/>
        </w:rPr>
        <w:t>8079.18</w:t>
      </w:r>
      <w:r>
        <w:rPr>
          <w:rFonts w:hint="eastAsia" w:ascii="仿宋" w:hAnsi="仿宋" w:eastAsia="仿宋"/>
          <w:sz w:val="32"/>
          <w:szCs w:val="32"/>
        </w:rPr>
        <w:t>万元。与202</w:t>
      </w:r>
      <w:r>
        <w:rPr>
          <w:rFonts w:hint="eastAsia" w:ascii="仿宋" w:hAnsi="仿宋" w:eastAsia="仿宋"/>
          <w:sz w:val="32"/>
          <w:szCs w:val="32"/>
          <w:lang w:val="en-US" w:eastAsia="zh-CN"/>
        </w:rPr>
        <w:t>3</w:t>
      </w:r>
      <w:r>
        <w:rPr>
          <w:rFonts w:hint="eastAsia" w:ascii="仿宋" w:hAnsi="仿宋" w:eastAsia="仿宋"/>
          <w:sz w:val="32"/>
          <w:szCs w:val="32"/>
        </w:rPr>
        <w:t>年度相比，财政拨款收、支总计</w:t>
      </w:r>
      <w:r>
        <w:rPr>
          <w:rFonts w:hint="eastAsia" w:ascii="仿宋" w:hAnsi="仿宋" w:eastAsia="仿宋"/>
          <w:sz w:val="32"/>
          <w:szCs w:val="32"/>
          <w:lang w:val="en-US" w:eastAsia="zh-CN"/>
        </w:rPr>
        <w:t>减少342.96</w:t>
      </w:r>
      <w:r>
        <w:rPr>
          <w:rFonts w:hint="eastAsia" w:ascii="仿宋" w:hAnsi="仿宋" w:eastAsia="仿宋"/>
          <w:sz w:val="32"/>
          <w:szCs w:val="32"/>
        </w:rPr>
        <w:t>万元，</w:t>
      </w:r>
      <w:r>
        <w:rPr>
          <w:rFonts w:hint="eastAsia" w:ascii="仿宋" w:hAnsi="仿宋" w:eastAsia="仿宋"/>
          <w:sz w:val="32"/>
          <w:szCs w:val="32"/>
          <w:lang w:val="en-US" w:eastAsia="zh-CN"/>
        </w:rPr>
        <w:t>降低4.24</w:t>
      </w:r>
      <w:r>
        <w:rPr>
          <w:rFonts w:ascii="仿宋" w:hAnsi="仿宋" w:eastAsia="仿宋"/>
          <w:sz w:val="32"/>
          <w:szCs w:val="32"/>
        </w:rPr>
        <w:t>%</w:t>
      </w:r>
      <w:r>
        <w:rPr>
          <w:rFonts w:hint="eastAsia" w:ascii="仿宋" w:hAnsi="仿宋" w:eastAsia="仿宋"/>
          <w:sz w:val="32"/>
          <w:szCs w:val="32"/>
        </w:rPr>
        <w:t>。主要变动原因是人员经费</w:t>
      </w:r>
      <w:r>
        <w:rPr>
          <w:rFonts w:hint="eastAsia" w:ascii="仿宋" w:hAnsi="仿宋" w:eastAsia="仿宋"/>
          <w:sz w:val="32"/>
          <w:szCs w:val="32"/>
          <w:lang w:val="en-US" w:eastAsia="zh-CN"/>
        </w:rPr>
        <w:t>降低</w:t>
      </w:r>
      <w:r>
        <w:rPr>
          <w:rFonts w:hint="eastAsia" w:ascii="仿宋" w:hAnsi="仿宋" w:eastAsia="仿宋"/>
          <w:sz w:val="32"/>
          <w:szCs w:val="32"/>
        </w:rPr>
        <w:t>。</w:t>
      </w:r>
    </w:p>
    <w:p>
      <w:pPr>
        <w:spacing w:line="600" w:lineRule="exact"/>
        <w:ind w:firstLine="64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drawing>
          <wp:anchor distT="0" distB="0" distL="114300" distR="114300" simplePos="0" relativeHeight="251662336" behindDoc="0" locked="0" layoutInCell="1" allowOverlap="1">
            <wp:simplePos x="0" y="0"/>
            <wp:positionH relativeFrom="column">
              <wp:posOffset>440690</wp:posOffset>
            </wp:positionH>
            <wp:positionV relativeFrom="paragraph">
              <wp:posOffset>-1617345</wp:posOffset>
            </wp:positionV>
            <wp:extent cx="5081270" cy="3804920"/>
            <wp:effectExtent l="4445" t="4445" r="20955" b="14605"/>
            <wp:wrapSquare wrapText="bothSides"/>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（图4：财政拨款收、支决算总计变动情况）</w:t>
      </w:r>
    </w:p>
    <w:p>
      <w:pPr>
        <w:spacing w:line="600" w:lineRule="exact"/>
        <w:ind w:firstLine="640"/>
        <w:jc w:val="center"/>
        <w:rPr>
          <w:rFonts w:ascii="仿宋" w:hAnsi="仿宋" w:eastAsia="仿宋"/>
          <w:b/>
          <w:sz w:val="32"/>
          <w:szCs w:val="32"/>
        </w:rPr>
      </w:pPr>
    </w:p>
    <w:p>
      <w:pPr>
        <w:spacing w:line="600" w:lineRule="exact"/>
        <w:ind w:firstLine="640" w:firstLineChars="200"/>
        <w:outlineLvl w:val="1"/>
        <w:rPr>
          <w:rStyle w:val="28"/>
          <w:rFonts w:ascii="黑体" w:hAnsi="黑体" w:eastAsia="黑体"/>
          <w:b w:val="0"/>
        </w:rPr>
      </w:pPr>
      <w:bookmarkStart w:id="26" w:name="_Toc15396607"/>
      <w:bookmarkStart w:id="27" w:name="_Toc15377209"/>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26"/>
      <w:bookmarkEnd w:id="27"/>
    </w:p>
    <w:p>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spacing w:line="600" w:lineRule="exact"/>
        <w:ind w:firstLine="640" w:firstLineChars="2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年度一般公共预算财政拨款支出</w:t>
      </w:r>
      <w:r>
        <w:rPr>
          <w:rFonts w:hint="eastAsia" w:ascii="仿宋" w:hAnsi="仿宋" w:eastAsia="仿宋"/>
          <w:b/>
          <w:sz w:val="32"/>
          <w:szCs w:val="32"/>
          <w:lang w:val="en-US" w:eastAsia="zh-CN"/>
        </w:rPr>
        <w:t>8079.18</w:t>
      </w:r>
      <w:r>
        <w:rPr>
          <w:rFonts w:hint="eastAsia" w:ascii="仿宋" w:hAnsi="仿宋" w:eastAsia="仿宋"/>
          <w:sz w:val="32"/>
          <w:szCs w:val="32"/>
        </w:rPr>
        <w:t>万元，占本年支出合计的</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。与202</w:t>
      </w:r>
      <w:r>
        <w:rPr>
          <w:rFonts w:hint="eastAsia" w:ascii="仿宋" w:hAnsi="仿宋" w:eastAsia="仿宋"/>
          <w:sz w:val="32"/>
          <w:szCs w:val="32"/>
          <w:lang w:val="en-US" w:eastAsia="zh-CN"/>
        </w:rPr>
        <w:t>3</w:t>
      </w:r>
      <w:r>
        <w:rPr>
          <w:rFonts w:hint="eastAsia" w:ascii="仿宋" w:hAnsi="仿宋" w:eastAsia="仿宋"/>
          <w:sz w:val="32"/>
          <w:szCs w:val="32"/>
        </w:rPr>
        <w:t>年度相比，一般公共预算财政拨款支出</w:t>
      </w:r>
      <w:r>
        <w:rPr>
          <w:rFonts w:hint="eastAsia" w:ascii="仿宋" w:hAnsi="仿宋" w:eastAsia="仿宋"/>
          <w:sz w:val="32"/>
          <w:szCs w:val="32"/>
          <w:lang w:val="en-US" w:eastAsia="zh-CN"/>
        </w:rPr>
        <w:t>减少342.96</w:t>
      </w:r>
      <w:r>
        <w:rPr>
          <w:rFonts w:hint="eastAsia" w:ascii="仿宋" w:hAnsi="仿宋" w:eastAsia="仿宋"/>
          <w:sz w:val="32"/>
          <w:szCs w:val="32"/>
        </w:rPr>
        <w:t>万元，</w:t>
      </w:r>
      <w:r>
        <w:rPr>
          <w:rFonts w:hint="eastAsia" w:ascii="仿宋" w:hAnsi="仿宋" w:eastAsia="仿宋"/>
          <w:sz w:val="32"/>
          <w:szCs w:val="32"/>
          <w:lang w:val="en-US" w:eastAsia="zh-CN"/>
        </w:rPr>
        <w:t>降低4.24</w:t>
      </w:r>
      <w:r>
        <w:rPr>
          <w:rFonts w:ascii="仿宋" w:hAnsi="仿宋" w:eastAsia="仿宋"/>
          <w:sz w:val="32"/>
          <w:szCs w:val="32"/>
        </w:rPr>
        <w:t>%</w:t>
      </w:r>
      <w:r>
        <w:rPr>
          <w:rFonts w:hint="eastAsia" w:ascii="仿宋" w:hAnsi="仿宋" w:eastAsia="仿宋"/>
          <w:sz w:val="32"/>
          <w:szCs w:val="32"/>
        </w:rPr>
        <w:t>。主要变动原因是人员经费</w:t>
      </w:r>
      <w:r>
        <w:rPr>
          <w:rFonts w:hint="eastAsia" w:ascii="仿宋" w:hAnsi="仿宋" w:eastAsia="仿宋"/>
          <w:sz w:val="32"/>
          <w:szCs w:val="32"/>
          <w:lang w:val="en-US" w:eastAsia="zh-CN"/>
        </w:rPr>
        <w:t>降低</w:t>
      </w:r>
      <w:r>
        <w:rPr>
          <w:rFonts w:hint="eastAsia" w:ascii="仿宋" w:hAnsi="仿宋" w:eastAsia="仿宋"/>
          <w:sz w:val="32"/>
          <w:szCs w:val="32"/>
        </w:rPr>
        <w:t>。</w:t>
      </w:r>
    </w:p>
    <w:p>
      <w:pPr>
        <w:pStyle w:val="2"/>
      </w:pPr>
      <w:r>
        <w:rPr>
          <w:rFonts w:hint="eastAsia"/>
        </w:rPr>
        <w:drawing>
          <wp:anchor distT="0" distB="0" distL="114300" distR="114300" simplePos="0" relativeHeight="251663360" behindDoc="0" locked="0" layoutInCell="1" allowOverlap="1">
            <wp:simplePos x="0" y="0"/>
            <wp:positionH relativeFrom="column">
              <wp:posOffset>66675</wp:posOffset>
            </wp:positionH>
            <wp:positionV relativeFrom="paragraph">
              <wp:posOffset>600075</wp:posOffset>
            </wp:positionV>
            <wp:extent cx="5080000" cy="3800475"/>
            <wp:effectExtent l="19050" t="0" r="25400" b="0"/>
            <wp:wrapSquare wrapText="bothSides"/>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w:t>
      </w:r>
    </w:p>
    <w:p>
      <w:pPr>
        <w:spacing w:line="600" w:lineRule="exact"/>
        <w:ind w:firstLine="643" w:firstLineChars="200"/>
        <w:outlineLvl w:val="2"/>
        <w:rPr>
          <w:rFonts w:ascii="仿宋" w:hAnsi="仿宋" w:eastAsia="仿宋"/>
          <w:b/>
          <w:sz w:val="32"/>
          <w:szCs w:val="32"/>
        </w:rPr>
      </w:pPr>
      <w:bookmarkStart w:id="29" w:name="_Toc15377211"/>
    </w:p>
    <w:p>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（二）一般公共预算财政拨款支出决算结构情况</w:t>
      </w:r>
      <w:bookmarkEnd w:id="29"/>
    </w:p>
    <w:p>
      <w:pPr>
        <w:spacing w:line="600" w:lineRule="exact"/>
        <w:ind w:firstLine="640"/>
        <w:rPr>
          <w:rFonts w:ascii="仿宋" w:hAnsi="仿宋" w:eastAsia="仿宋"/>
          <w:b/>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年度一般公共预算财政拨款支出</w:t>
      </w:r>
      <w:r>
        <w:rPr>
          <w:rFonts w:hint="eastAsia" w:ascii="仿宋" w:hAnsi="仿宋" w:eastAsia="仿宋"/>
          <w:sz w:val="32"/>
          <w:szCs w:val="32"/>
          <w:lang w:val="en-US" w:eastAsia="zh-CN"/>
        </w:rPr>
        <w:t>8079.18</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公共安全支出</w:t>
      </w:r>
      <w:r>
        <w:rPr>
          <w:rFonts w:hint="eastAsia" w:ascii="仿宋" w:hAnsi="仿宋" w:eastAsia="仿宋"/>
          <w:sz w:val="32"/>
          <w:szCs w:val="32"/>
        </w:rPr>
        <w:t>604</w:t>
      </w:r>
      <w:r>
        <w:rPr>
          <w:rFonts w:hint="eastAsia" w:ascii="仿宋" w:hAnsi="仿宋" w:eastAsia="仿宋"/>
          <w:sz w:val="32"/>
          <w:szCs w:val="32"/>
          <w:lang w:val="en-US" w:eastAsia="zh-CN"/>
        </w:rPr>
        <w:t>1</w:t>
      </w:r>
      <w:r>
        <w:rPr>
          <w:rFonts w:hint="eastAsia" w:ascii="仿宋" w:hAnsi="仿宋" w:eastAsia="仿宋"/>
          <w:sz w:val="32"/>
          <w:szCs w:val="32"/>
        </w:rPr>
        <w:t>.</w:t>
      </w:r>
      <w:r>
        <w:rPr>
          <w:rFonts w:hint="eastAsia" w:ascii="仿宋" w:hAnsi="仿宋" w:eastAsia="仿宋"/>
          <w:sz w:val="32"/>
          <w:szCs w:val="32"/>
          <w:lang w:val="en-US" w:eastAsia="zh-CN"/>
        </w:rPr>
        <w:t>31</w:t>
      </w:r>
      <w:r>
        <w:rPr>
          <w:rFonts w:hint="eastAsia" w:ascii="仿宋" w:hAnsi="仿宋" w:eastAsia="仿宋"/>
          <w:sz w:val="32"/>
          <w:szCs w:val="32"/>
        </w:rPr>
        <w:t>万元，占7</w:t>
      </w:r>
      <w:r>
        <w:rPr>
          <w:rFonts w:hint="eastAsia" w:ascii="仿宋" w:hAnsi="仿宋" w:eastAsia="仿宋"/>
          <w:sz w:val="32"/>
          <w:szCs w:val="32"/>
          <w:lang w:val="en-US" w:eastAsia="zh-CN"/>
        </w:rPr>
        <w:t>4.78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社会保障和就业支出</w:t>
      </w:r>
      <w:r>
        <w:rPr>
          <w:rFonts w:hint="eastAsia" w:ascii="仿宋" w:hAnsi="仿宋" w:eastAsia="仿宋"/>
          <w:sz w:val="32"/>
          <w:szCs w:val="32"/>
        </w:rPr>
        <w:t>12</w:t>
      </w:r>
      <w:r>
        <w:rPr>
          <w:rFonts w:hint="eastAsia" w:ascii="仿宋" w:hAnsi="仿宋" w:eastAsia="仿宋"/>
          <w:sz w:val="32"/>
          <w:szCs w:val="32"/>
          <w:lang w:val="en-US" w:eastAsia="zh-CN"/>
        </w:rPr>
        <w:t>00</w:t>
      </w:r>
      <w:r>
        <w:rPr>
          <w:rFonts w:hint="eastAsia" w:ascii="仿宋" w:hAnsi="仿宋" w:eastAsia="仿宋"/>
          <w:sz w:val="32"/>
          <w:szCs w:val="32"/>
        </w:rPr>
        <w:t>.</w:t>
      </w:r>
      <w:r>
        <w:rPr>
          <w:rFonts w:hint="eastAsia" w:ascii="仿宋" w:hAnsi="仿宋" w:eastAsia="仿宋"/>
          <w:sz w:val="32"/>
          <w:szCs w:val="32"/>
          <w:lang w:val="en-US" w:eastAsia="zh-CN"/>
        </w:rPr>
        <w:t>91</w:t>
      </w:r>
      <w:r>
        <w:rPr>
          <w:rFonts w:hint="eastAsia" w:ascii="仿宋" w:hAnsi="仿宋" w:eastAsia="仿宋"/>
          <w:sz w:val="32"/>
          <w:szCs w:val="32"/>
        </w:rPr>
        <w:t>万元，占</w:t>
      </w:r>
      <w:r>
        <w:rPr>
          <w:rFonts w:hint="eastAsia" w:ascii="仿宋" w:hAnsi="仿宋" w:eastAsia="仿宋"/>
          <w:sz w:val="32"/>
          <w:szCs w:val="32"/>
          <w:lang w:val="en-US" w:eastAsia="zh-CN"/>
        </w:rPr>
        <w:t>14.86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bCs/>
          <w:sz w:val="32"/>
          <w:szCs w:val="32"/>
        </w:rPr>
        <w:t>3</w:t>
      </w:r>
      <w:r>
        <w:rPr>
          <w:rFonts w:hint="eastAsia" w:ascii="仿宋" w:hAnsi="仿宋" w:eastAsia="仿宋"/>
          <w:bCs/>
          <w:sz w:val="32"/>
          <w:szCs w:val="32"/>
          <w:lang w:val="en-US" w:eastAsia="zh-CN"/>
        </w:rPr>
        <w:t>33.65</w:t>
      </w:r>
      <w:r>
        <w:rPr>
          <w:rFonts w:hint="eastAsia" w:ascii="仿宋" w:hAnsi="仿宋" w:eastAsia="仿宋"/>
          <w:b/>
          <w:bCs/>
          <w:sz w:val="32"/>
          <w:szCs w:val="32"/>
        </w:rPr>
        <w:t>万元，</w:t>
      </w:r>
      <w:r>
        <w:rPr>
          <w:rFonts w:hint="eastAsia" w:ascii="仿宋" w:hAnsi="仿宋" w:eastAsia="仿宋"/>
          <w:bCs/>
          <w:sz w:val="32"/>
          <w:szCs w:val="32"/>
        </w:rPr>
        <w:t>占4.</w:t>
      </w:r>
      <w:r>
        <w:rPr>
          <w:rFonts w:hint="eastAsia" w:ascii="仿宋" w:hAnsi="仿宋" w:eastAsia="仿宋"/>
          <w:bCs/>
          <w:sz w:val="32"/>
          <w:szCs w:val="32"/>
          <w:lang w:val="en-US" w:eastAsia="zh-CN"/>
        </w:rPr>
        <w:t>13</w:t>
      </w:r>
      <w:r>
        <w:rPr>
          <w:rFonts w:ascii="仿宋" w:hAnsi="仿宋" w:eastAsia="仿宋"/>
          <w:bCs/>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503.31</w:t>
      </w:r>
      <w:r>
        <w:rPr>
          <w:rFonts w:hint="eastAsia" w:ascii="仿宋" w:hAnsi="仿宋" w:eastAsia="仿宋"/>
          <w:sz w:val="32"/>
          <w:szCs w:val="32"/>
        </w:rPr>
        <w:t>万元，占</w:t>
      </w:r>
      <w:r>
        <w:rPr>
          <w:rFonts w:hint="eastAsia" w:ascii="仿宋" w:hAnsi="仿宋" w:eastAsia="仿宋"/>
          <w:sz w:val="32"/>
          <w:szCs w:val="32"/>
          <w:lang w:val="en-US" w:eastAsia="zh-CN"/>
        </w:rPr>
        <w:t>6.23</w:t>
      </w:r>
      <w:r>
        <w:rPr>
          <w:rFonts w:ascii="仿宋" w:hAnsi="仿宋" w:eastAsia="仿宋"/>
          <w:sz w:val="32"/>
          <w:szCs w:val="32"/>
        </w:rPr>
        <w:t>%</w:t>
      </w:r>
      <w:r>
        <w:rPr>
          <w:rFonts w:hint="eastAsia" w:ascii="仿宋" w:hAnsi="仿宋" w:eastAsia="仿宋"/>
          <w:sz w:val="32"/>
          <w:szCs w:val="32"/>
        </w:rPr>
        <w:t>。</w:t>
      </w:r>
    </w:p>
    <w:p>
      <w:pPr>
        <w:spacing w:line="600" w:lineRule="exact"/>
        <w:ind w:firstLine="64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drawing>
          <wp:anchor distT="0" distB="0" distL="114300" distR="114300" simplePos="0" relativeHeight="251664384" behindDoc="0" locked="0" layoutInCell="1" allowOverlap="1">
            <wp:simplePos x="0" y="0"/>
            <wp:positionH relativeFrom="column">
              <wp:posOffset>368935</wp:posOffset>
            </wp:positionH>
            <wp:positionV relativeFrom="paragraph">
              <wp:posOffset>108585</wp:posOffset>
            </wp:positionV>
            <wp:extent cx="5081270" cy="3804920"/>
            <wp:effectExtent l="4445" t="4445" r="20955" b="14605"/>
            <wp:wrapSquare wrapText="bothSides"/>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w:t>
      </w:r>
    </w:p>
    <w:p>
      <w:pPr>
        <w:spacing w:line="600" w:lineRule="exact"/>
        <w:ind w:firstLine="643" w:firstLineChars="200"/>
        <w:outlineLvl w:val="2"/>
        <w:rPr>
          <w:rFonts w:ascii="仿宋" w:hAnsi="仿宋" w:eastAsia="仿宋"/>
          <w:b/>
          <w:sz w:val="32"/>
          <w:szCs w:val="32"/>
        </w:rPr>
      </w:pPr>
      <w:bookmarkStart w:id="30" w:name="_Toc15377212"/>
    </w:p>
    <w:p>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（三）一般公共预算财政拨款支出决算具体情况</w:t>
      </w:r>
      <w:bookmarkEnd w:id="30"/>
    </w:p>
    <w:p>
      <w:pPr>
        <w:spacing w:line="600" w:lineRule="exact"/>
        <w:ind w:firstLine="643" w:firstLineChars="200"/>
        <w:outlineLvl w:val="2"/>
        <w:rPr>
          <w:rFonts w:ascii="仿宋" w:hAnsi="仿宋" w:eastAsia="仿宋"/>
          <w:sz w:val="32"/>
          <w:szCs w:val="32"/>
        </w:rPr>
      </w:pPr>
      <w:bookmarkStart w:id="31" w:name="_Toc15377444"/>
      <w:bookmarkStart w:id="32" w:name="_Toc15377213"/>
      <w:bookmarkStart w:id="33" w:name="_Toc15378460"/>
      <w:r>
        <w:rPr>
          <w:rFonts w:hint="eastAsia" w:ascii="仿宋" w:hAnsi="仿宋" w:eastAsia="仿宋"/>
          <w:b/>
          <w:sz w:val="32"/>
          <w:szCs w:val="32"/>
        </w:rPr>
        <w:t>202</w:t>
      </w:r>
      <w:r>
        <w:rPr>
          <w:rFonts w:hint="eastAsia" w:ascii="仿宋" w:hAnsi="仿宋" w:eastAsia="仿宋"/>
          <w:b/>
          <w:sz w:val="32"/>
          <w:szCs w:val="32"/>
          <w:lang w:val="en-US" w:eastAsia="zh-CN"/>
        </w:rPr>
        <w:t>4</w:t>
      </w:r>
      <w:r>
        <w:rPr>
          <w:rFonts w:hint="eastAsia" w:ascii="仿宋" w:hAnsi="仿宋" w:eastAsia="仿宋"/>
          <w:b/>
          <w:sz w:val="32"/>
          <w:szCs w:val="32"/>
        </w:rPr>
        <w:t>年度一般公共预算支出决算数为</w:t>
      </w:r>
      <w:r>
        <w:rPr>
          <w:rFonts w:hint="eastAsia" w:ascii="仿宋" w:hAnsi="仿宋" w:eastAsia="仿宋"/>
          <w:b/>
          <w:sz w:val="32"/>
          <w:szCs w:val="32"/>
          <w:lang w:val="en-US" w:eastAsia="zh-CN"/>
        </w:rPr>
        <w:t>8079.18</w:t>
      </w:r>
      <w:r>
        <w:rPr>
          <w:rFonts w:hint="eastAsia" w:ascii="仿宋" w:hAnsi="仿宋" w:eastAsia="仿宋"/>
          <w:sz w:val="32"/>
          <w:szCs w:val="32"/>
        </w:rPr>
        <w:t>，</w:t>
      </w:r>
      <w:r>
        <w:rPr>
          <w:rStyle w:val="17"/>
          <w:rFonts w:hint="eastAsia" w:ascii="仿宋" w:hAnsi="仿宋" w:eastAsia="仿宋"/>
          <w:bCs/>
          <w:sz w:val="32"/>
          <w:szCs w:val="32"/>
        </w:rPr>
        <w:t>完成预算100</w:t>
      </w:r>
      <w:r>
        <w:rPr>
          <w:rStyle w:val="17"/>
          <w:rFonts w:ascii="仿宋" w:hAnsi="仿宋" w:eastAsia="仿宋"/>
          <w:bCs/>
          <w:sz w:val="32"/>
          <w:szCs w:val="32"/>
        </w:rPr>
        <w:t>%</w:t>
      </w:r>
      <w:r>
        <w:rPr>
          <w:rStyle w:val="17"/>
          <w:rFonts w:hint="eastAsia" w:ascii="仿宋" w:hAnsi="仿宋" w:eastAsia="仿宋"/>
          <w:bCs/>
          <w:sz w:val="32"/>
          <w:szCs w:val="32"/>
        </w:rPr>
        <w:t>。其中：</w:t>
      </w:r>
      <w:bookmarkEnd w:id="31"/>
      <w:bookmarkEnd w:id="32"/>
      <w:bookmarkEnd w:id="33"/>
    </w:p>
    <w:p>
      <w:pPr>
        <w:spacing w:line="600" w:lineRule="exact"/>
        <w:ind w:firstLine="643" w:firstLineChars="200"/>
        <w:rPr>
          <w:rFonts w:ascii="仿宋" w:hAnsi="仿宋" w:eastAsia="仿宋"/>
          <w:b/>
          <w:sz w:val="32"/>
          <w:szCs w:val="32"/>
        </w:rPr>
      </w:pPr>
      <w:r>
        <w:rPr>
          <w:rStyle w:val="17"/>
          <w:rFonts w:hint="eastAsia" w:ascii="仿宋" w:hAnsi="仿宋" w:eastAsia="仿宋"/>
          <w:bCs/>
          <w:sz w:val="32"/>
          <w:szCs w:val="32"/>
          <w:lang w:val="en-US" w:eastAsia="zh-CN"/>
        </w:rPr>
        <w:t>1</w:t>
      </w:r>
      <w:r>
        <w:rPr>
          <w:rStyle w:val="17"/>
          <w:rFonts w:ascii="仿宋" w:hAnsi="仿宋" w:eastAsia="仿宋"/>
          <w:bCs/>
          <w:sz w:val="32"/>
          <w:szCs w:val="32"/>
        </w:rPr>
        <w:t>.</w:t>
      </w:r>
      <w:r>
        <w:rPr>
          <w:rStyle w:val="17"/>
          <w:rFonts w:hint="eastAsia" w:ascii="仿宋" w:hAnsi="仿宋" w:eastAsia="仿宋"/>
          <w:bCs/>
          <w:sz w:val="32"/>
          <w:szCs w:val="32"/>
        </w:rPr>
        <w:t>公共安全（类）公安（款）行政运行（项）</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5146.55</w:t>
      </w:r>
      <w:r>
        <w:rPr>
          <w:rStyle w:val="17"/>
          <w:rFonts w:hint="eastAsia" w:ascii="仿宋" w:hAnsi="仿宋" w:eastAsia="仿宋"/>
          <w:b w:val="0"/>
          <w:bCs/>
          <w:sz w:val="32"/>
          <w:szCs w:val="32"/>
        </w:rPr>
        <w:t>万元，完成预算100</w:t>
      </w:r>
      <w:r>
        <w:rPr>
          <w:rStyle w:val="17"/>
          <w:rFonts w:ascii="仿宋" w:hAnsi="仿宋" w:eastAsia="仿宋"/>
          <w:b w:val="0"/>
          <w:bCs/>
          <w:sz w:val="32"/>
          <w:szCs w:val="32"/>
        </w:rPr>
        <w:t>%</w:t>
      </w:r>
      <w:r>
        <w:rPr>
          <w:rStyle w:val="17"/>
          <w:rFonts w:hint="eastAsia" w:ascii="仿宋" w:hAnsi="仿宋" w:eastAsia="仿宋"/>
          <w:b w:val="0"/>
          <w:bCs/>
          <w:sz w:val="32"/>
          <w:szCs w:val="32"/>
          <w:lang w:eastAsia="zh-CN"/>
        </w:rPr>
        <w:t>，</w:t>
      </w:r>
      <w:r>
        <w:rPr>
          <w:rStyle w:val="17"/>
          <w:rFonts w:hint="eastAsia" w:ascii="仿宋" w:hAnsi="仿宋" w:eastAsia="仿宋"/>
          <w:b w:val="0"/>
          <w:bCs/>
          <w:sz w:val="32"/>
          <w:szCs w:val="32"/>
          <w:lang w:val="en-US" w:eastAsia="zh-CN"/>
        </w:rPr>
        <w:t>决算数等于预算数</w:t>
      </w:r>
      <w:r>
        <w:rPr>
          <w:rStyle w:val="17"/>
          <w:rFonts w:hint="eastAsia" w:ascii="仿宋" w:hAnsi="仿宋" w:eastAsia="仿宋"/>
          <w:b w:val="0"/>
          <w:bCs/>
          <w:sz w:val="32"/>
          <w:szCs w:val="32"/>
        </w:rPr>
        <w:t>。</w:t>
      </w:r>
    </w:p>
    <w:p>
      <w:pPr>
        <w:spacing w:line="600" w:lineRule="exact"/>
        <w:ind w:firstLine="630" w:firstLineChars="196"/>
        <w:rPr>
          <w:rFonts w:ascii="仿宋" w:hAnsi="仿宋" w:eastAsia="仿宋"/>
          <w:b/>
          <w:sz w:val="32"/>
          <w:szCs w:val="32"/>
        </w:rPr>
      </w:pPr>
      <w:r>
        <w:rPr>
          <w:rStyle w:val="17"/>
          <w:rFonts w:hint="eastAsia" w:ascii="仿宋" w:hAnsi="仿宋" w:eastAsia="仿宋"/>
          <w:bCs/>
          <w:sz w:val="32"/>
          <w:szCs w:val="32"/>
          <w:lang w:val="en-US" w:eastAsia="zh-CN"/>
        </w:rPr>
        <w:t>2</w:t>
      </w:r>
      <w:r>
        <w:rPr>
          <w:rStyle w:val="17"/>
          <w:rFonts w:ascii="仿宋" w:hAnsi="仿宋" w:eastAsia="仿宋"/>
          <w:bCs/>
          <w:sz w:val="32"/>
          <w:szCs w:val="32"/>
        </w:rPr>
        <w:t>.</w:t>
      </w:r>
      <w:r>
        <w:rPr>
          <w:rStyle w:val="17"/>
          <w:rFonts w:hint="eastAsia" w:ascii="仿宋" w:hAnsi="仿宋" w:eastAsia="仿宋"/>
          <w:bCs/>
          <w:sz w:val="32"/>
          <w:szCs w:val="32"/>
        </w:rPr>
        <w:t>公共安全（类）公安（款）一般行政管理事务（项）</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143.47</w:t>
      </w:r>
      <w:r>
        <w:rPr>
          <w:rStyle w:val="17"/>
          <w:rFonts w:hint="eastAsia" w:ascii="仿宋" w:hAnsi="仿宋" w:eastAsia="仿宋"/>
          <w:b w:val="0"/>
          <w:bCs/>
          <w:sz w:val="32"/>
          <w:szCs w:val="32"/>
        </w:rPr>
        <w:t>万元，完成预算100</w:t>
      </w:r>
      <w:r>
        <w:rPr>
          <w:rStyle w:val="17"/>
          <w:rFonts w:ascii="仿宋" w:hAnsi="仿宋" w:eastAsia="仿宋"/>
          <w:b w:val="0"/>
          <w:bCs/>
          <w:sz w:val="32"/>
          <w:szCs w:val="32"/>
        </w:rPr>
        <w:t>%</w:t>
      </w:r>
      <w:r>
        <w:rPr>
          <w:rStyle w:val="17"/>
          <w:rFonts w:hint="eastAsia" w:ascii="仿宋" w:hAnsi="仿宋" w:eastAsia="仿宋"/>
          <w:b w:val="0"/>
          <w:bCs/>
          <w:sz w:val="32"/>
          <w:szCs w:val="32"/>
          <w:lang w:eastAsia="zh-CN"/>
        </w:rPr>
        <w:t>，</w:t>
      </w:r>
      <w:r>
        <w:rPr>
          <w:rStyle w:val="17"/>
          <w:rFonts w:hint="eastAsia" w:ascii="仿宋" w:hAnsi="仿宋" w:eastAsia="仿宋"/>
          <w:b w:val="0"/>
          <w:bCs/>
          <w:sz w:val="32"/>
          <w:szCs w:val="32"/>
          <w:lang w:val="en-US" w:eastAsia="zh-CN"/>
        </w:rPr>
        <w:t>决算数等于预算数</w:t>
      </w:r>
      <w:r>
        <w:rPr>
          <w:rStyle w:val="17"/>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7"/>
          <w:rFonts w:hint="eastAsia" w:ascii="仿宋" w:hAnsi="仿宋" w:eastAsia="仿宋"/>
          <w:bCs/>
          <w:sz w:val="32"/>
          <w:szCs w:val="32"/>
          <w:lang w:val="en-US" w:eastAsia="zh-CN"/>
        </w:rPr>
        <w:t>3</w:t>
      </w:r>
      <w:r>
        <w:rPr>
          <w:rStyle w:val="17"/>
          <w:rFonts w:ascii="仿宋" w:hAnsi="仿宋" w:eastAsia="仿宋"/>
          <w:bCs/>
          <w:sz w:val="32"/>
          <w:szCs w:val="32"/>
        </w:rPr>
        <w:t>.</w:t>
      </w:r>
      <w:r>
        <w:rPr>
          <w:rStyle w:val="17"/>
          <w:rFonts w:hint="eastAsia" w:ascii="仿宋" w:hAnsi="仿宋" w:eastAsia="仿宋"/>
          <w:bCs/>
          <w:sz w:val="32"/>
          <w:szCs w:val="32"/>
        </w:rPr>
        <w:t>公共安全（类）公安（款）其他公安支出（项）</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751.29</w:t>
      </w:r>
      <w:r>
        <w:rPr>
          <w:rStyle w:val="17"/>
          <w:rFonts w:hint="eastAsia" w:ascii="仿宋" w:hAnsi="仿宋" w:eastAsia="仿宋"/>
          <w:b w:val="0"/>
          <w:bCs/>
          <w:sz w:val="32"/>
          <w:szCs w:val="32"/>
        </w:rPr>
        <w:t>万元，完成预算100</w:t>
      </w:r>
      <w:r>
        <w:rPr>
          <w:rStyle w:val="17"/>
          <w:rFonts w:ascii="仿宋" w:hAnsi="仿宋" w:eastAsia="仿宋"/>
          <w:b w:val="0"/>
          <w:bCs/>
          <w:sz w:val="32"/>
          <w:szCs w:val="32"/>
        </w:rPr>
        <w:t>%</w:t>
      </w:r>
      <w:r>
        <w:rPr>
          <w:rStyle w:val="17"/>
          <w:rFonts w:hint="eastAsia" w:ascii="仿宋" w:hAnsi="仿宋" w:eastAsia="仿宋"/>
          <w:b w:val="0"/>
          <w:bCs/>
          <w:sz w:val="32"/>
          <w:szCs w:val="32"/>
          <w:lang w:eastAsia="zh-CN"/>
        </w:rPr>
        <w:t>，</w:t>
      </w:r>
      <w:r>
        <w:rPr>
          <w:rStyle w:val="17"/>
          <w:rFonts w:hint="eastAsia" w:ascii="仿宋" w:hAnsi="仿宋" w:eastAsia="仿宋"/>
          <w:b w:val="0"/>
          <w:bCs/>
          <w:sz w:val="32"/>
          <w:szCs w:val="32"/>
          <w:lang w:val="en-US" w:eastAsia="zh-CN"/>
        </w:rPr>
        <w:t>决算数等于预算数</w:t>
      </w:r>
      <w:r>
        <w:rPr>
          <w:rStyle w:val="17"/>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7"/>
          <w:rFonts w:hint="eastAsia" w:ascii="仿宋" w:hAnsi="仿宋" w:eastAsia="仿宋"/>
          <w:bCs/>
          <w:sz w:val="32"/>
          <w:szCs w:val="32"/>
          <w:lang w:val="en-US" w:eastAsia="zh-CN"/>
        </w:rPr>
        <w:t>4</w:t>
      </w:r>
      <w:r>
        <w:rPr>
          <w:rStyle w:val="17"/>
          <w:rFonts w:ascii="仿宋" w:hAnsi="仿宋" w:eastAsia="仿宋"/>
          <w:bCs/>
          <w:sz w:val="32"/>
          <w:szCs w:val="32"/>
        </w:rPr>
        <w:t>.</w:t>
      </w:r>
      <w:r>
        <w:rPr>
          <w:rStyle w:val="17"/>
          <w:rFonts w:hint="eastAsia" w:ascii="仿宋" w:hAnsi="仿宋" w:eastAsia="仿宋"/>
          <w:bCs/>
          <w:sz w:val="32"/>
          <w:szCs w:val="32"/>
        </w:rPr>
        <w:t>社会保障和就业（类）行政事业单位养老支出（款）行政单位离退休（项）</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521.41</w:t>
      </w:r>
      <w:r>
        <w:rPr>
          <w:rStyle w:val="17"/>
          <w:rFonts w:hint="eastAsia" w:ascii="仿宋" w:hAnsi="仿宋" w:eastAsia="仿宋"/>
          <w:b w:val="0"/>
          <w:bCs/>
          <w:sz w:val="32"/>
          <w:szCs w:val="32"/>
        </w:rPr>
        <w:t>万元，完成预算100</w:t>
      </w:r>
      <w:r>
        <w:rPr>
          <w:rStyle w:val="17"/>
          <w:rFonts w:ascii="仿宋" w:hAnsi="仿宋" w:eastAsia="仿宋"/>
          <w:b w:val="0"/>
          <w:bCs/>
          <w:sz w:val="32"/>
          <w:szCs w:val="32"/>
        </w:rPr>
        <w:t>%</w:t>
      </w:r>
      <w:r>
        <w:rPr>
          <w:rStyle w:val="17"/>
          <w:rFonts w:hint="eastAsia" w:ascii="仿宋" w:hAnsi="仿宋" w:eastAsia="仿宋"/>
          <w:b w:val="0"/>
          <w:bCs/>
          <w:sz w:val="32"/>
          <w:szCs w:val="32"/>
          <w:lang w:eastAsia="zh-CN"/>
        </w:rPr>
        <w:t>，</w:t>
      </w:r>
      <w:r>
        <w:rPr>
          <w:rStyle w:val="17"/>
          <w:rFonts w:hint="eastAsia" w:ascii="仿宋" w:hAnsi="仿宋" w:eastAsia="仿宋"/>
          <w:b w:val="0"/>
          <w:bCs/>
          <w:sz w:val="32"/>
          <w:szCs w:val="32"/>
          <w:lang w:val="en-US" w:eastAsia="zh-CN"/>
        </w:rPr>
        <w:t>决算数等于预算数</w:t>
      </w:r>
      <w:r>
        <w:rPr>
          <w:rStyle w:val="17"/>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7"/>
          <w:rFonts w:hint="eastAsia" w:ascii="仿宋" w:hAnsi="仿宋" w:eastAsia="仿宋"/>
          <w:bCs/>
          <w:sz w:val="32"/>
          <w:szCs w:val="32"/>
          <w:lang w:val="en-US" w:eastAsia="zh-CN"/>
        </w:rPr>
        <w:t>5</w:t>
      </w:r>
      <w:r>
        <w:rPr>
          <w:rStyle w:val="17"/>
          <w:rFonts w:ascii="仿宋" w:hAnsi="仿宋" w:eastAsia="仿宋"/>
          <w:bCs/>
          <w:sz w:val="32"/>
          <w:szCs w:val="32"/>
        </w:rPr>
        <w:t>.</w:t>
      </w:r>
      <w:r>
        <w:rPr>
          <w:rStyle w:val="17"/>
          <w:rFonts w:hint="eastAsia" w:ascii="仿宋" w:hAnsi="仿宋" w:eastAsia="仿宋"/>
          <w:bCs/>
          <w:sz w:val="32"/>
          <w:szCs w:val="32"/>
        </w:rPr>
        <w:t>社会保障和就业（类）行政事业单位养老支出（款）机关事业单位基本养老保险缴费支出（项）</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566.72</w:t>
      </w:r>
      <w:r>
        <w:rPr>
          <w:rStyle w:val="17"/>
          <w:rFonts w:hint="eastAsia" w:ascii="仿宋" w:hAnsi="仿宋" w:eastAsia="仿宋"/>
          <w:b w:val="0"/>
          <w:bCs/>
          <w:sz w:val="32"/>
          <w:szCs w:val="32"/>
        </w:rPr>
        <w:t>万元，完成预算100</w:t>
      </w:r>
      <w:r>
        <w:rPr>
          <w:rStyle w:val="17"/>
          <w:rFonts w:ascii="仿宋" w:hAnsi="仿宋" w:eastAsia="仿宋"/>
          <w:b w:val="0"/>
          <w:bCs/>
          <w:sz w:val="32"/>
          <w:szCs w:val="32"/>
        </w:rPr>
        <w:t>%</w:t>
      </w:r>
      <w:r>
        <w:rPr>
          <w:rStyle w:val="17"/>
          <w:rFonts w:hint="eastAsia" w:ascii="仿宋" w:hAnsi="仿宋" w:eastAsia="仿宋"/>
          <w:b w:val="0"/>
          <w:bCs/>
          <w:sz w:val="32"/>
          <w:szCs w:val="32"/>
          <w:lang w:eastAsia="zh-CN"/>
        </w:rPr>
        <w:t>，</w:t>
      </w:r>
      <w:r>
        <w:rPr>
          <w:rStyle w:val="17"/>
          <w:rFonts w:hint="eastAsia" w:ascii="仿宋" w:hAnsi="仿宋" w:eastAsia="仿宋"/>
          <w:b w:val="0"/>
          <w:bCs/>
          <w:sz w:val="32"/>
          <w:szCs w:val="32"/>
          <w:lang w:val="en-US" w:eastAsia="zh-CN"/>
        </w:rPr>
        <w:t>决算数等于预算数</w:t>
      </w:r>
      <w:r>
        <w:rPr>
          <w:rStyle w:val="17"/>
          <w:rFonts w:hint="eastAsia" w:ascii="仿宋" w:hAnsi="仿宋" w:eastAsia="仿宋"/>
          <w:b w:val="0"/>
          <w:bCs/>
          <w:sz w:val="32"/>
          <w:szCs w:val="32"/>
        </w:rPr>
        <w:t>。</w:t>
      </w:r>
    </w:p>
    <w:p>
      <w:pPr>
        <w:spacing w:line="600" w:lineRule="exact"/>
        <w:ind w:firstLine="643" w:firstLineChars="200"/>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6</w:t>
      </w:r>
      <w:r>
        <w:rPr>
          <w:rStyle w:val="17"/>
          <w:rFonts w:ascii="仿宋" w:hAnsi="仿宋" w:eastAsia="仿宋"/>
          <w:bCs/>
          <w:sz w:val="32"/>
          <w:szCs w:val="32"/>
        </w:rPr>
        <w:t>.</w:t>
      </w:r>
      <w:r>
        <w:rPr>
          <w:rStyle w:val="17"/>
          <w:rFonts w:hint="eastAsia" w:ascii="仿宋" w:hAnsi="仿宋" w:eastAsia="仿宋"/>
          <w:bCs/>
          <w:sz w:val="32"/>
          <w:szCs w:val="32"/>
        </w:rPr>
        <w:t>社会保障和就业（类）行政事业单位养老支出（款）机关事业单位职业年金缴费支出（项）</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55.63</w:t>
      </w:r>
      <w:r>
        <w:rPr>
          <w:rStyle w:val="17"/>
          <w:rFonts w:hint="eastAsia" w:ascii="仿宋" w:hAnsi="仿宋" w:eastAsia="仿宋"/>
          <w:b w:val="0"/>
          <w:bCs/>
          <w:sz w:val="32"/>
          <w:szCs w:val="32"/>
        </w:rPr>
        <w:t>万元，完成预算100</w:t>
      </w:r>
      <w:r>
        <w:rPr>
          <w:rStyle w:val="17"/>
          <w:rFonts w:ascii="仿宋" w:hAnsi="仿宋" w:eastAsia="仿宋"/>
          <w:b w:val="0"/>
          <w:bCs/>
          <w:sz w:val="32"/>
          <w:szCs w:val="32"/>
        </w:rPr>
        <w:t>%</w:t>
      </w:r>
      <w:r>
        <w:rPr>
          <w:rStyle w:val="17"/>
          <w:rFonts w:hint="eastAsia" w:ascii="仿宋" w:hAnsi="仿宋" w:eastAsia="仿宋"/>
          <w:b w:val="0"/>
          <w:bCs/>
          <w:sz w:val="32"/>
          <w:szCs w:val="32"/>
          <w:lang w:eastAsia="zh-CN"/>
        </w:rPr>
        <w:t>，</w:t>
      </w:r>
      <w:r>
        <w:rPr>
          <w:rStyle w:val="17"/>
          <w:rFonts w:hint="eastAsia" w:ascii="仿宋" w:hAnsi="仿宋" w:eastAsia="仿宋"/>
          <w:b w:val="0"/>
          <w:bCs/>
          <w:sz w:val="32"/>
          <w:szCs w:val="32"/>
          <w:lang w:val="en-US" w:eastAsia="zh-CN"/>
        </w:rPr>
        <w:t>决算数等于预算数</w:t>
      </w:r>
      <w:r>
        <w:rPr>
          <w:rStyle w:val="17"/>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7"/>
          <w:rFonts w:hint="eastAsia" w:ascii="仿宋" w:hAnsi="仿宋" w:eastAsia="仿宋"/>
          <w:bCs/>
          <w:sz w:val="32"/>
          <w:szCs w:val="32"/>
          <w:lang w:val="en-US" w:eastAsia="zh-CN"/>
        </w:rPr>
        <w:t>7</w:t>
      </w:r>
      <w:r>
        <w:rPr>
          <w:rStyle w:val="17"/>
          <w:rFonts w:ascii="仿宋" w:hAnsi="仿宋" w:eastAsia="仿宋"/>
          <w:bCs/>
          <w:sz w:val="32"/>
          <w:szCs w:val="32"/>
        </w:rPr>
        <w:t>.</w:t>
      </w:r>
      <w:r>
        <w:rPr>
          <w:rStyle w:val="17"/>
          <w:rFonts w:hint="eastAsia" w:ascii="仿宋" w:hAnsi="仿宋" w:eastAsia="仿宋"/>
          <w:bCs/>
          <w:sz w:val="32"/>
          <w:szCs w:val="32"/>
        </w:rPr>
        <w:t xml:space="preserve"> 社会保障和就业（类）行政事业单位养老支出（款）其他行政事业单位养老支出</w:t>
      </w:r>
      <w:r>
        <w:rPr>
          <w:rStyle w:val="17"/>
          <w:rFonts w:hint="eastAsia" w:ascii="仿宋" w:hAnsi="仿宋" w:eastAsia="仿宋"/>
          <w:bCs/>
          <w:sz w:val="32"/>
          <w:szCs w:val="32"/>
          <w:lang w:eastAsia="zh-CN"/>
        </w:rPr>
        <w:t>（</w:t>
      </w:r>
      <w:r>
        <w:rPr>
          <w:rStyle w:val="17"/>
          <w:rFonts w:hint="eastAsia" w:ascii="仿宋" w:hAnsi="仿宋" w:eastAsia="仿宋"/>
          <w:bCs/>
          <w:sz w:val="32"/>
          <w:szCs w:val="32"/>
          <w:lang w:val="en-US" w:eastAsia="zh-CN"/>
        </w:rPr>
        <w:t>项</w:t>
      </w:r>
      <w:r>
        <w:rPr>
          <w:rStyle w:val="17"/>
          <w:rFonts w:hint="eastAsia" w:ascii="仿宋" w:hAnsi="仿宋" w:eastAsia="仿宋"/>
          <w:bCs/>
          <w:sz w:val="32"/>
          <w:szCs w:val="32"/>
          <w:lang w:eastAsia="zh-CN"/>
        </w:rPr>
        <w:t>）</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8.39</w:t>
      </w:r>
      <w:r>
        <w:rPr>
          <w:rStyle w:val="17"/>
          <w:rFonts w:hint="eastAsia" w:ascii="仿宋" w:hAnsi="仿宋" w:eastAsia="仿宋"/>
          <w:b w:val="0"/>
          <w:bCs/>
          <w:sz w:val="32"/>
          <w:szCs w:val="32"/>
        </w:rPr>
        <w:t>万元，完成预算100</w:t>
      </w:r>
      <w:r>
        <w:rPr>
          <w:rStyle w:val="17"/>
          <w:rFonts w:ascii="仿宋" w:hAnsi="仿宋" w:eastAsia="仿宋"/>
          <w:b w:val="0"/>
          <w:bCs/>
          <w:sz w:val="32"/>
          <w:szCs w:val="32"/>
        </w:rPr>
        <w:t>%</w:t>
      </w:r>
      <w:r>
        <w:rPr>
          <w:rStyle w:val="17"/>
          <w:rFonts w:hint="eastAsia" w:ascii="仿宋" w:hAnsi="仿宋" w:eastAsia="仿宋"/>
          <w:b w:val="0"/>
          <w:bCs/>
          <w:sz w:val="32"/>
          <w:szCs w:val="32"/>
          <w:lang w:eastAsia="zh-CN"/>
        </w:rPr>
        <w:t>，</w:t>
      </w:r>
      <w:r>
        <w:rPr>
          <w:rStyle w:val="17"/>
          <w:rFonts w:hint="eastAsia" w:ascii="仿宋" w:hAnsi="仿宋" w:eastAsia="仿宋"/>
          <w:b w:val="0"/>
          <w:bCs/>
          <w:sz w:val="32"/>
          <w:szCs w:val="32"/>
          <w:lang w:val="en-US" w:eastAsia="zh-CN"/>
        </w:rPr>
        <w:t>决算数等于预算数</w:t>
      </w:r>
      <w:r>
        <w:rPr>
          <w:rStyle w:val="17"/>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7"/>
          <w:rFonts w:hint="eastAsia" w:ascii="仿宋" w:hAnsi="仿宋" w:eastAsia="仿宋"/>
          <w:bCs/>
          <w:sz w:val="32"/>
          <w:szCs w:val="32"/>
          <w:lang w:val="en-US" w:eastAsia="zh-CN"/>
        </w:rPr>
        <w:t>8</w:t>
      </w:r>
      <w:r>
        <w:rPr>
          <w:rStyle w:val="17"/>
          <w:rFonts w:ascii="仿宋" w:hAnsi="仿宋" w:eastAsia="仿宋"/>
          <w:bCs/>
          <w:sz w:val="32"/>
          <w:szCs w:val="32"/>
        </w:rPr>
        <w:t>.</w:t>
      </w:r>
      <w:r>
        <w:rPr>
          <w:rStyle w:val="17"/>
          <w:rFonts w:hint="eastAsia" w:ascii="仿宋" w:hAnsi="仿宋" w:eastAsia="仿宋"/>
          <w:bCs/>
          <w:sz w:val="32"/>
          <w:szCs w:val="32"/>
        </w:rPr>
        <w:t xml:space="preserve"> 社会保障和就业（类）抚恤（款）死亡抚恤（项）</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48.76</w:t>
      </w:r>
      <w:r>
        <w:rPr>
          <w:rStyle w:val="17"/>
          <w:rFonts w:hint="eastAsia" w:ascii="仿宋" w:hAnsi="仿宋" w:eastAsia="仿宋"/>
          <w:b w:val="0"/>
          <w:bCs/>
          <w:sz w:val="32"/>
          <w:szCs w:val="32"/>
        </w:rPr>
        <w:t>万元，完成预算100</w:t>
      </w:r>
      <w:r>
        <w:rPr>
          <w:rStyle w:val="17"/>
          <w:rFonts w:ascii="仿宋" w:hAnsi="仿宋" w:eastAsia="仿宋"/>
          <w:b w:val="0"/>
          <w:bCs/>
          <w:sz w:val="32"/>
          <w:szCs w:val="32"/>
        </w:rPr>
        <w:t>%</w:t>
      </w:r>
      <w:r>
        <w:rPr>
          <w:rStyle w:val="17"/>
          <w:rFonts w:hint="eastAsia" w:ascii="仿宋" w:hAnsi="仿宋" w:eastAsia="仿宋"/>
          <w:b w:val="0"/>
          <w:bCs/>
          <w:sz w:val="32"/>
          <w:szCs w:val="32"/>
          <w:lang w:eastAsia="zh-CN"/>
        </w:rPr>
        <w:t>，</w:t>
      </w:r>
      <w:r>
        <w:rPr>
          <w:rStyle w:val="17"/>
          <w:rFonts w:hint="eastAsia" w:ascii="仿宋" w:hAnsi="仿宋" w:eastAsia="仿宋"/>
          <w:b w:val="0"/>
          <w:bCs/>
          <w:sz w:val="32"/>
          <w:szCs w:val="32"/>
          <w:lang w:val="en-US" w:eastAsia="zh-CN"/>
        </w:rPr>
        <w:t>决算数等于预算数</w:t>
      </w:r>
      <w:r>
        <w:rPr>
          <w:rStyle w:val="17"/>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7"/>
          <w:rFonts w:hint="eastAsia" w:ascii="仿宋" w:hAnsi="仿宋" w:eastAsia="仿宋"/>
          <w:bCs/>
          <w:sz w:val="32"/>
          <w:szCs w:val="32"/>
          <w:lang w:val="en-US" w:eastAsia="zh-CN"/>
        </w:rPr>
        <w:t>9</w:t>
      </w:r>
      <w:r>
        <w:rPr>
          <w:rStyle w:val="17"/>
          <w:rFonts w:ascii="仿宋" w:hAnsi="仿宋" w:eastAsia="仿宋"/>
          <w:bCs/>
          <w:sz w:val="32"/>
          <w:szCs w:val="32"/>
        </w:rPr>
        <w:t>.</w:t>
      </w:r>
      <w:r>
        <w:rPr>
          <w:rStyle w:val="17"/>
          <w:rFonts w:hint="eastAsia" w:ascii="仿宋" w:hAnsi="仿宋" w:eastAsia="仿宋"/>
          <w:bCs/>
          <w:sz w:val="32"/>
          <w:szCs w:val="32"/>
        </w:rPr>
        <w:t>卫生健康支出（类）行政事业单位医疗（款）行政单位医疗（项）</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301.09</w:t>
      </w:r>
      <w:r>
        <w:rPr>
          <w:rStyle w:val="17"/>
          <w:rFonts w:hint="eastAsia" w:ascii="仿宋" w:hAnsi="仿宋" w:eastAsia="仿宋"/>
          <w:b w:val="0"/>
          <w:bCs/>
          <w:sz w:val="32"/>
          <w:szCs w:val="32"/>
        </w:rPr>
        <w:t>万元，完成预算100</w:t>
      </w:r>
      <w:r>
        <w:rPr>
          <w:rStyle w:val="17"/>
          <w:rFonts w:ascii="仿宋" w:hAnsi="仿宋" w:eastAsia="仿宋"/>
          <w:b w:val="0"/>
          <w:bCs/>
          <w:sz w:val="32"/>
          <w:szCs w:val="32"/>
        </w:rPr>
        <w:t>%</w:t>
      </w:r>
      <w:r>
        <w:rPr>
          <w:rStyle w:val="17"/>
          <w:rFonts w:hint="eastAsia" w:ascii="仿宋" w:hAnsi="仿宋" w:eastAsia="仿宋"/>
          <w:b w:val="0"/>
          <w:bCs/>
          <w:sz w:val="32"/>
          <w:szCs w:val="32"/>
          <w:lang w:eastAsia="zh-CN"/>
        </w:rPr>
        <w:t>，</w:t>
      </w:r>
      <w:r>
        <w:rPr>
          <w:rStyle w:val="17"/>
          <w:rFonts w:hint="eastAsia" w:ascii="仿宋" w:hAnsi="仿宋" w:eastAsia="仿宋"/>
          <w:b w:val="0"/>
          <w:bCs/>
          <w:sz w:val="32"/>
          <w:szCs w:val="32"/>
          <w:lang w:val="en-US" w:eastAsia="zh-CN"/>
        </w:rPr>
        <w:t>决算数等于预算数</w:t>
      </w:r>
      <w:r>
        <w:rPr>
          <w:rStyle w:val="17"/>
          <w:rFonts w:hint="eastAsia" w:ascii="仿宋" w:hAnsi="仿宋" w:eastAsia="仿宋"/>
          <w:b w:val="0"/>
          <w:bCs/>
          <w:sz w:val="32"/>
          <w:szCs w:val="32"/>
        </w:rPr>
        <w:t>。</w:t>
      </w:r>
    </w:p>
    <w:p>
      <w:pPr>
        <w:spacing w:line="600" w:lineRule="exact"/>
        <w:ind w:firstLine="643" w:firstLineChars="200"/>
        <w:rPr>
          <w:rStyle w:val="17"/>
          <w:rFonts w:ascii="仿宋" w:hAnsi="仿宋" w:eastAsia="仿宋"/>
          <w:bCs/>
          <w:sz w:val="32"/>
          <w:szCs w:val="32"/>
        </w:rPr>
      </w:pPr>
      <w:r>
        <w:rPr>
          <w:rStyle w:val="17"/>
          <w:rFonts w:hint="eastAsia" w:ascii="仿宋" w:hAnsi="仿宋" w:eastAsia="仿宋"/>
          <w:bCs/>
          <w:sz w:val="32"/>
          <w:szCs w:val="32"/>
          <w:lang w:val="en-US" w:eastAsia="zh-CN"/>
        </w:rPr>
        <w:t>10</w:t>
      </w:r>
      <w:r>
        <w:rPr>
          <w:rStyle w:val="17"/>
          <w:rFonts w:ascii="仿宋" w:hAnsi="仿宋" w:eastAsia="仿宋"/>
          <w:bCs/>
          <w:sz w:val="32"/>
          <w:szCs w:val="32"/>
        </w:rPr>
        <w:t>.</w:t>
      </w:r>
      <w:r>
        <w:rPr>
          <w:rStyle w:val="17"/>
          <w:rFonts w:hint="eastAsia" w:ascii="仿宋" w:hAnsi="仿宋" w:eastAsia="仿宋"/>
          <w:bCs/>
          <w:sz w:val="32"/>
          <w:szCs w:val="32"/>
        </w:rPr>
        <w:t xml:space="preserve"> 卫生健康支出（类）行政事业单位医疗（款）公务员医疗补助（项）</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32.56</w:t>
      </w:r>
      <w:r>
        <w:rPr>
          <w:rStyle w:val="17"/>
          <w:rFonts w:hint="eastAsia" w:ascii="仿宋" w:hAnsi="仿宋" w:eastAsia="仿宋"/>
          <w:b w:val="0"/>
          <w:bCs/>
          <w:sz w:val="32"/>
          <w:szCs w:val="32"/>
        </w:rPr>
        <w:t>万元，完成预算100</w:t>
      </w:r>
      <w:r>
        <w:rPr>
          <w:rStyle w:val="17"/>
          <w:rFonts w:ascii="仿宋" w:hAnsi="仿宋" w:eastAsia="仿宋"/>
          <w:b w:val="0"/>
          <w:bCs/>
          <w:sz w:val="32"/>
          <w:szCs w:val="32"/>
        </w:rPr>
        <w:t>%</w:t>
      </w:r>
      <w:r>
        <w:rPr>
          <w:rStyle w:val="17"/>
          <w:rFonts w:hint="eastAsia" w:ascii="仿宋" w:hAnsi="仿宋" w:eastAsia="仿宋"/>
          <w:b w:val="0"/>
          <w:bCs/>
          <w:sz w:val="32"/>
          <w:szCs w:val="32"/>
          <w:lang w:eastAsia="zh-CN"/>
        </w:rPr>
        <w:t>，</w:t>
      </w:r>
      <w:r>
        <w:rPr>
          <w:rStyle w:val="17"/>
          <w:rFonts w:hint="eastAsia" w:ascii="仿宋" w:hAnsi="仿宋" w:eastAsia="仿宋"/>
          <w:b w:val="0"/>
          <w:bCs/>
          <w:sz w:val="32"/>
          <w:szCs w:val="32"/>
          <w:lang w:val="en-US" w:eastAsia="zh-CN"/>
        </w:rPr>
        <w:t>决算数等于预算数</w:t>
      </w:r>
      <w:r>
        <w:rPr>
          <w:rStyle w:val="17"/>
          <w:rFonts w:hint="eastAsia" w:ascii="仿宋" w:hAnsi="仿宋" w:eastAsia="仿宋"/>
          <w:b w:val="0"/>
          <w:bCs/>
          <w:sz w:val="32"/>
          <w:szCs w:val="32"/>
        </w:rPr>
        <w:t>。</w:t>
      </w:r>
    </w:p>
    <w:p>
      <w:pPr>
        <w:spacing w:line="600" w:lineRule="exact"/>
        <w:ind w:firstLine="643" w:firstLineChars="200"/>
        <w:rPr>
          <w:rFonts w:ascii="仿宋" w:hAnsi="仿宋" w:eastAsia="仿宋"/>
          <w:b/>
          <w:bCs/>
          <w:sz w:val="32"/>
          <w:szCs w:val="32"/>
        </w:rPr>
      </w:pPr>
      <w:r>
        <w:rPr>
          <w:rStyle w:val="17"/>
          <w:rFonts w:hint="eastAsia" w:ascii="仿宋" w:hAnsi="仿宋" w:eastAsia="仿宋"/>
          <w:bCs/>
          <w:sz w:val="32"/>
          <w:szCs w:val="32"/>
        </w:rPr>
        <w:t>1</w:t>
      </w:r>
      <w:r>
        <w:rPr>
          <w:rStyle w:val="17"/>
          <w:rFonts w:hint="eastAsia" w:ascii="仿宋" w:hAnsi="仿宋" w:eastAsia="仿宋"/>
          <w:bCs/>
          <w:sz w:val="32"/>
          <w:szCs w:val="32"/>
          <w:lang w:val="en-US" w:eastAsia="zh-CN"/>
        </w:rPr>
        <w:t>1</w:t>
      </w:r>
      <w:r>
        <w:rPr>
          <w:rStyle w:val="17"/>
          <w:rFonts w:hint="eastAsia" w:ascii="仿宋" w:hAnsi="仿宋" w:eastAsia="仿宋"/>
          <w:bCs/>
          <w:sz w:val="32"/>
          <w:szCs w:val="32"/>
        </w:rPr>
        <w:t>.住房保障支出（类）住房改革支出（款）住房公积金（项）</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503.</w:t>
      </w:r>
      <w:r>
        <w:rPr>
          <w:rStyle w:val="17"/>
          <w:rFonts w:hint="eastAsia" w:ascii="仿宋" w:hAnsi="仿宋" w:eastAsia="仿宋"/>
          <w:b w:val="0"/>
          <w:bCs/>
          <w:sz w:val="32"/>
          <w:szCs w:val="32"/>
        </w:rPr>
        <w:t>31万元，完成预算100</w:t>
      </w:r>
      <w:r>
        <w:rPr>
          <w:rStyle w:val="17"/>
          <w:rFonts w:ascii="仿宋" w:hAnsi="仿宋" w:eastAsia="仿宋"/>
          <w:b w:val="0"/>
          <w:bCs/>
          <w:sz w:val="32"/>
          <w:szCs w:val="32"/>
        </w:rPr>
        <w:t>%</w:t>
      </w:r>
      <w:r>
        <w:rPr>
          <w:rStyle w:val="17"/>
          <w:rFonts w:hint="eastAsia" w:ascii="仿宋" w:hAnsi="仿宋" w:eastAsia="仿宋"/>
          <w:b w:val="0"/>
          <w:bCs/>
          <w:sz w:val="32"/>
          <w:szCs w:val="32"/>
          <w:lang w:eastAsia="zh-CN"/>
        </w:rPr>
        <w:t>，</w:t>
      </w:r>
      <w:r>
        <w:rPr>
          <w:rStyle w:val="17"/>
          <w:rFonts w:hint="eastAsia" w:ascii="仿宋" w:hAnsi="仿宋" w:eastAsia="仿宋"/>
          <w:b w:val="0"/>
          <w:bCs/>
          <w:sz w:val="32"/>
          <w:szCs w:val="32"/>
          <w:lang w:val="en-US" w:eastAsia="zh-CN"/>
        </w:rPr>
        <w:t>决算数等于预算数</w:t>
      </w:r>
      <w:r>
        <w:rPr>
          <w:rStyle w:val="17"/>
          <w:rFonts w:hint="eastAsia" w:ascii="仿宋" w:hAnsi="仿宋" w:eastAsia="仿宋"/>
          <w:b w:val="0"/>
          <w:bCs/>
          <w:sz w:val="32"/>
          <w:szCs w:val="32"/>
        </w:rPr>
        <w:t>。</w:t>
      </w:r>
    </w:p>
    <w:p>
      <w:pPr>
        <w:spacing w:line="600" w:lineRule="exact"/>
        <w:rPr>
          <w:rFonts w:ascii="仿宋" w:hAnsi="仿宋" w:eastAsia="仿宋"/>
          <w:b/>
          <w:sz w:val="32"/>
          <w:szCs w:val="32"/>
        </w:rPr>
      </w:pPr>
    </w:p>
    <w:p>
      <w:pPr>
        <w:tabs>
          <w:tab w:val="right" w:pos="8306"/>
        </w:tabs>
        <w:spacing w:line="600" w:lineRule="exact"/>
        <w:ind w:firstLine="640"/>
        <w:outlineLvl w:val="1"/>
        <w:rPr>
          <w:rStyle w:val="28"/>
        </w:rPr>
      </w:pPr>
      <w:bookmarkStart w:id="34" w:name="_Toc15377214"/>
      <w:bookmarkStart w:id="35"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34"/>
      <w:bookmarkEnd w:id="35"/>
      <w:r>
        <w:rPr>
          <w:rStyle w:val="28"/>
          <w:rFonts w:ascii="黑体" w:hAnsi="黑体" w:eastAsia="黑体"/>
          <w:b w:val="0"/>
        </w:rPr>
        <w:tab/>
      </w:r>
    </w:p>
    <w:p>
      <w:pPr>
        <w:spacing w:line="600" w:lineRule="exact"/>
        <w:ind w:firstLine="645"/>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年度一般公共预算财政拨款基本支出</w:t>
      </w:r>
      <w:r>
        <w:rPr>
          <w:rFonts w:hint="eastAsia" w:ascii="仿宋" w:hAnsi="仿宋" w:eastAsia="仿宋"/>
          <w:b/>
          <w:sz w:val="32"/>
          <w:szCs w:val="32"/>
          <w:lang w:val="en-US" w:eastAsia="zh-CN"/>
        </w:rPr>
        <w:t>7184.41</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b/>
          <w:sz w:val="32"/>
          <w:szCs w:val="32"/>
          <w:lang w:val="en-US" w:eastAsia="zh-CN"/>
        </w:rPr>
        <w:t>6560.21</w:t>
      </w:r>
      <w:r>
        <w:rPr>
          <w:rFonts w:hint="eastAsia" w:ascii="仿宋" w:hAnsi="仿宋" w:eastAsia="仿宋"/>
          <w:sz w:val="32"/>
          <w:szCs w:val="32"/>
        </w:rPr>
        <w:t>万元，主要包括：基本工资、津贴补贴、奖金、机关事业单位基本养老保险缴费、职业年金缴费、 职工基本医疗保险缴费</w:t>
      </w:r>
      <w:r>
        <w:rPr>
          <w:rFonts w:hint="eastAsia" w:ascii="仿宋" w:hAnsi="仿宋" w:eastAsia="仿宋"/>
          <w:sz w:val="32"/>
          <w:szCs w:val="32"/>
          <w:lang w:eastAsia="zh-CN"/>
        </w:rPr>
        <w:t>、公务员医疗补助缴费、 其他社会保障缴费、其他工资福利支出</w:t>
      </w:r>
      <w:r>
        <w:rPr>
          <w:rFonts w:hint="eastAsia" w:ascii="仿宋" w:hAnsi="仿宋" w:eastAsia="仿宋"/>
          <w:sz w:val="32"/>
          <w:szCs w:val="32"/>
        </w:rPr>
        <w:t>、抚恤金、生活补助、医疗费补助、住房公积金。</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b/>
          <w:sz w:val="32"/>
          <w:szCs w:val="32"/>
          <w:lang w:val="en-US" w:eastAsia="zh-CN"/>
        </w:rPr>
        <w:t>624.21</w:t>
      </w:r>
      <w:r>
        <w:rPr>
          <w:rFonts w:hint="eastAsia" w:ascii="仿宋" w:hAnsi="仿宋" w:eastAsia="仿宋"/>
          <w:sz w:val="32"/>
          <w:szCs w:val="32"/>
        </w:rPr>
        <w:t>万元，主要包括：办公费、水费、电费、邮电费、差旅费、公务接待费、工会经费、福利费、公务用车运行维护费、其他交通费、其他商品和服务支出。</w:t>
      </w:r>
    </w:p>
    <w:p>
      <w:pPr>
        <w:spacing w:line="600" w:lineRule="exact"/>
        <w:ind w:firstLine="640"/>
        <w:rPr>
          <w:rFonts w:ascii="仿宋" w:hAnsi="仿宋" w:eastAsia="仿宋"/>
          <w:b/>
          <w:sz w:val="32"/>
          <w:szCs w:val="32"/>
        </w:rPr>
      </w:pPr>
    </w:p>
    <w:p>
      <w:pPr>
        <w:spacing w:line="600" w:lineRule="exact"/>
        <w:ind w:firstLine="640"/>
        <w:outlineLvl w:val="1"/>
        <w:rPr>
          <w:rStyle w:val="28"/>
          <w:rFonts w:ascii="黑体" w:hAnsi="黑体" w:eastAsia="黑体"/>
          <w:b w:val="0"/>
        </w:rPr>
      </w:pPr>
      <w:bookmarkStart w:id="36" w:name="_Toc15396609"/>
      <w:bookmarkStart w:id="37" w:name="_Toc15377215"/>
      <w:r>
        <w:rPr>
          <w:rFonts w:hint="eastAsia" w:ascii="黑体" w:eastAsia="黑体"/>
          <w:sz w:val="32"/>
          <w:szCs w:val="32"/>
        </w:rPr>
        <w:t>七、</w:t>
      </w:r>
      <w:r>
        <w:rPr>
          <w:rStyle w:val="28"/>
          <w:rFonts w:hint="eastAsia" w:ascii="黑体" w:hAnsi="黑体" w:eastAsia="黑体"/>
          <w:b w:val="0"/>
        </w:rPr>
        <w:t>财政拨款</w:t>
      </w:r>
      <w:r>
        <w:rPr>
          <w:rStyle w:val="28"/>
          <w:rFonts w:hint="eastAsia" w:ascii="黑体" w:hAnsi="黑体" w:eastAsia="黑体"/>
        </w:rPr>
        <w:t>“</w:t>
      </w:r>
      <w:r>
        <w:rPr>
          <w:rStyle w:val="28"/>
          <w:rFonts w:hint="eastAsia" w:ascii="黑体" w:hAnsi="黑体" w:eastAsia="黑体"/>
          <w:b w:val="0"/>
        </w:rPr>
        <w:t>三公”经费支出决算情况说明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spacing w:line="600" w:lineRule="exact"/>
        <w:ind w:firstLine="64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年度“三公”经费财政拨款支出决算为</w:t>
      </w:r>
      <w:r>
        <w:rPr>
          <w:rFonts w:hint="eastAsia" w:ascii="仿宋" w:hAnsi="仿宋" w:eastAsia="仿宋"/>
          <w:b/>
          <w:sz w:val="32"/>
          <w:szCs w:val="32"/>
          <w:lang w:val="en-US" w:eastAsia="zh-CN"/>
        </w:rPr>
        <w:t>69.29</w:t>
      </w:r>
      <w:r>
        <w:rPr>
          <w:rFonts w:hint="eastAsia" w:ascii="仿宋" w:hAnsi="仿宋" w:eastAsia="仿宋"/>
          <w:sz w:val="32"/>
          <w:szCs w:val="32"/>
        </w:rPr>
        <w:t>万元，完成预算</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，较上年度</w:t>
      </w:r>
      <w:r>
        <w:rPr>
          <w:rFonts w:hint="eastAsia" w:ascii="仿宋" w:hAnsi="仿宋" w:eastAsia="仿宋"/>
          <w:sz w:val="32"/>
          <w:szCs w:val="32"/>
          <w:lang w:val="en-US" w:eastAsia="zh-CN"/>
        </w:rPr>
        <w:t>减少5.84</w:t>
      </w:r>
      <w:r>
        <w:rPr>
          <w:rFonts w:hint="eastAsia" w:ascii="仿宋" w:hAnsi="仿宋" w:eastAsia="仿宋"/>
          <w:sz w:val="32"/>
          <w:szCs w:val="32"/>
        </w:rPr>
        <w:t>万元，</w:t>
      </w:r>
      <w:r>
        <w:rPr>
          <w:rFonts w:hint="eastAsia" w:ascii="仿宋" w:hAnsi="仿宋" w:eastAsia="仿宋"/>
          <w:sz w:val="32"/>
          <w:szCs w:val="32"/>
          <w:lang w:val="en-US" w:eastAsia="zh-CN"/>
        </w:rPr>
        <w:t>降低7.77</w:t>
      </w:r>
      <w:r>
        <w:rPr>
          <w:rFonts w:hint="eastAsia" w:ascii="仿宋" w:hAnsi="仿宋" w:eastAsia="仿宋"/>
          <w:sz w:val="32"/>
          <w:szCs w:val="32"/>
        </w:rPr>
        <w:t>%。决算数小于预算数的主要原因是严格控制“三公”经费支出。</w:t>
      </w:r>
    </w:p>
    <w:p>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spacing w:line="600" w:lineRule="exact"/>
        <w:ind w:firstLine="64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b/>
          <w:sz w:val="32"/>
          <w:szCs w:val="32"/>
          <w:lang w:val="en-US" w:eastAsia="zh-CN"/>
        </w:rPr>
        <w:t>69.12</w:t>
      </w:r>
      <w:r>
        <w:rPr>
          <w:rFonts w:hint="eastAsia" w:ascii="仿宋" w:hAnsi="仿宋" w:eastAsia="仿宋"/>
          <w:sz w:val="32"/>
          <w:szCs w:val="32"/>
        </w:rPr>
        <w:t>万元，占</w:t>
      </w:r>
      <w:r>
        <w:rPr>
          <w:rFonts w:ascii="仿宋" w:hAnsi="仿宋" w:eastAsia="仿宋"/>
          <w:b/>
          <w:sz w:val="32"/>
          <w:szCs w:val="32"/>
        </w:rPr>
        <w:t>9</w:t>
      </w:r>
      <w:r>
        <w:rPr>
          <w:rFonts w:hint="eastAsia" w:ascii="仿宋" w:hAnsi="仿宋" w:eastAsia="仿宋"/>
          <w:b/>
          <w:sz w:val="32"/>
          <w:szCs w:val="32"/>
          <w:lang w:val="en-US" w:eastAsia="zh-CN"/>
        </w:rPr>
        <w:t>9.75</w:t>
      </w:r>
      <w:r>
        <w:rPr>
          <w:rFonts w:ascii="仿宋" w:hAnsi="仿宋" w:eastAsia="仿宋"/>
          <w:sz w:val="32"/>
          <w:szCs w:val="32"/>
        </w:rPr>
        <w:t>%</w:t>
      </w:r>
      <w:r>
        <w:rPr>
          <w:rFonts w:hint="eastAsia" w:ascii="仿宋" w:hAnsi="仿宋" w:eastAsia="仿宋"/>
          <w:sz w:val="32"/>
          <w:szCs w:val="32"/>
        </w:rPr>
        <w:t>；公务接待费支出决算</w:t>
      </w:r>
      <w:r>
        <w:rPr>
          <w:rFonts w:ascii="仿宋" w:hAnsi="仿宋" w:eastAsia="仿宋"/>
          <w:b/>
          <w:sz w:val="32"/>
          <w:szCs w:val="32"/>
        </w:rPr>
        <w:t>0.</w:t>
      </w:r>
      <w:r>
        <w:rPr>
          <w:rFonts w:hint="eastAsia" w:ascii="仿宋" w:hAnsi="仿宋" w:eastAsia="仿宋"/>
          <w:b/>
          <w:sz w:val="32"/>
          <w:szCs w:val="32"/>
          <w:lang w:val="en-US" w:eastAsia="zh-CN"/>
        </w:rPr>
        <w:t>17</w:t>
      </w:r>
      <w:r>
        <w:rPr>
          <w:rFonts w:hint="eastAsia" w:ascii="仿宋" w:hAnsi="仿宋" w:eastAsia="仿宋"/>
          <w:sz w:val="32"/>
          <w:szCs w:val="32"/>
        </w:rPr>
        <w:t>万元，占</w:t>
      </w:r>
      <w:r>
        <w:rPr>
          <w:rFonts w:hint="eastAsia" w:ascii="仿宋" w:hAnsi="仿宋" w:eastAsia="仿宋"/>
          <w:b/>
          <w:sz w:val="32"/>
          <w:szCs w:val="32"/>
          <w:lang w:val="en-US" w:eastAsia="zh-CN"/>
        </w:rPr>
        <w:t>0.25</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ascii="仿宋" w:hAnsi="仿宋" w:eastAsia="仿宋"/>
          <w:sz w:val="32"/>
          <w:szCs w:val="32"/>
        </w:rPr>
      </w:pPr>
    </w:p>
    <w:p>
      <w:pPr>
        <w:spacing w:line="600" w:lineRule="exact"/>
        <w:ind w:firstLine="640"/>
        <w:rPr>
          <w:rFonts w:ascii="仿宋" w:hAnsi="仿宋" w:eastAsia="仿宋"/>
          <w:sz w:val="32"/>
          <w:szCs w:val="32"/>
        </w:rPr>
      </w:pPr>
    </w:p>
    <w:p>
      <w:pPr>
        <w:spacing w:line="600" w:lineRule="exact"/>
        <w:ind w:firstLine="640"/>
        <w:rPr>
          <w:rFonts w:ascii="仿宋" w:hAnsi="仿宋" w:eastAsia="仿宋"/>
          <w:sz w:val="32"/>
          <w:szCs w:val="32"/>
        </w:rPr>
      </w:pPr>
      <w:r>
        <w:rPr>
          <w:rFonts w:hint="eastAsia" w:ascii="仿宋" w:hAnsi="仿宋" w:eastAsia="仿宋"/>
          <w:sz w:val="32"/>
          <w:szCs w:val="32"/>
        </w:rPr>
        <w:drawing>
          <wp:anchor distT="0" distB="0" distL="114300" distR="114300" simplePos="0" relativeHeight="251665408" behindDoc="0" locked="0" layoutInCell="1" allowOverlap="1">
            <wp:simplePos x="0" y="0"/>
            <wp:positionH relativeFrom="column">
              <wp:posOffset>405130</wp:posOffset>
            </wp:positionH>
            <wp:positionV relativeFrom="paragraph">
              <wp:posOffset>-471170</wp:posOffset>
            </wp:positionV>
            <wp:extent cx="5081270" cy="3804920"/>
            <wp:effectExtent l="4445" t="4445" r="20955" b="14605"/>
            <wp:wrapSquare wrapText="bothSides"/>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640"/>
        <w:rPr>
          <w:rFonts w:ascii="仿宋" w:hAnsi="仿宋" w:eastAsia="仿宋"/>
          <w:sz w:val="32"/>
          <w:szCs w:val="32"/>
        </w:rPr>
      </w:pPr>
      <w:r>
        <w:rPr>
          <w:rFonts w:hint="eastAsia" w:ascii="仿宋" w:hAnsi="仿宋" w:eastAsia="仿宋"/>
          <w:sz w:val="32"/>
          <w:szCs w:val="32"/>
        </w:rPr>
        <w:t>（</w:t>
      </w:r>
    </w:p>
    <w:p>
      <w:pPr>
        <w:spacing w:line="600" w:lineRule="exact"/>
        <w:ind w:firstLine="640"/>
        <w:rPr>
          <w:rFonts w:ascii="仿宋" w:hAnsi="仿宋" w:eastAsia="仿宋"/>
          <w:sz w:val="32"/>
          <w:szCs w:val="32"/>
        </w:rPr>
      </w:pPr>
    </w:p>
    <w:p>
      <w:pPr>
        <w:spacing w:line="600" w:lineRule="exact"/>
        <w:ind w:firstLine="640"/>
        <w:rPr>
          <w:rFonts w:ascii="仿宋" w:hAnsi="仿宋" w:eastAsia="仿宋"/>
          <w:sz w:val="32"/>
          <w:szCs w:val="32"/>
        </w:rPr>
      </w:pPr>
    </w:p>
    <w:p>
      <w:pPr>
        <w:spacing w:line="600" w:lineRule="exact"/>
        <w:ind w:firstLine="640"/>
        <w:rPr>
          <w:rFonts w:ascii="仿宋" w:hAnsi="仿宋" w:eastAsia="仿宋"/>
          <w:sz w:val="32"/>
          <w:szCs w:val="32"/>
        </w:rPr>
      </w:pPr>
    </w:p>
    <w:p>
      <w:pPr>
        <w:spacing w:line="600" w:lineRule="exact"/>
        <w:ind w:firstLine="640"/>
        <w:rPr>
          <w:rFonts w:ascii="仿宋" w:hAnsi="仿宋" w:eastAsia="仿宋"/>
          <w:sz w:val="32"/>
          <w:szCs w:val="32"/>
        </w:rPr>
      </w:pPr>
    </w:p>
    <w:p>
      <w:pPr>
        <w:spacing w:line="600" w:lineRule="exact"/>
        <w:ind w:firstLine="640"/>
        <w:rPr>
          <w:rFonts w:ascii="仿宋" w:hAnsi="仿宋" w:eastAsia="仿宋"/>
          <w:sz w:val="32"/>
          <w:szCs w:val="32"/>
        </w:rPr>
      </w:pPr>
    </w:p>
    <w:p>
      <w:pPr>
        <w:spacing w:line="600" w:lineRule="exact"/>
        <w:ind w:firstLine="640"/>
        <w:rPr>
          <w:rFonts w:ascii="仿宋" w:hAnsi="仿宋" w:eastAsia="仿宋"/>
          <w:sz w:val="32"/>
          <w:szCs w:val="32"/>
        </w:rPr>
      </w:pPr>
    </w:p>
    <w:p>
      <w:pPr>
        <w:spacing w:line="600" w:lineRule="exact"/>
        <w:ind w:firstLine="640"/>
        <w:rPr>
          <w:rFonts w:ascii="仿宋" w:hAnsi="仿宋" w:eastAsia="仿宋"/>
          <w:sz w:val="32"/>
          <w:szCs w:val="32"/>
        </w:rPr>
      </w:pPr>
    </w:p>
    <w:p>
      <w:pPr>
        <w:spacing w:line="600" w:lineRule="exact"/>
        <w:ind w:firstLine="640"/>
        <w:jc w:val="center"/>
        <w:rPr>
          <w:rFonts w:ascii="仿宋" w:hAnsi="仿宋" w:eastAsia="仿宋"/>
          <w:sz w:val="32"/>
          <w:szCs w:val="32"/>
        </w:rPr>
      </w:pPr>
      <w:r>
        <w:rPr>
          <w:rFonts w:hint="eastAsia" w:ascii="仿宋" w:hAnsi="仿宋" w:eastAsia="仿宋"/>
          <w:sz w:val="32"/>
          <w:szCs w:val="32"/>
        </w:rPr>
        <w:t>（图7：“三公”经费财政拨款支出结构）</w:t>
      </w:r>
      <w:bookmarkStart w:id="40" w:name="_Toc15396610"/>
      <w:bookmarkStart w:id="41" w:name="_Toc15377218"/>
    </w:p>
    <w:p>
      <w:pPr>
        <w:spacing w:line="600" w:lineRule="exact"/>
        <w:ind w:firstLine="64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rStyle w:val="17"/>
          <w:rFonts w:ascii="仿宋" w:hAnsi="仿宋" w:eastAsia="仿宋"/>
          <w:bCs/>
          <w:sz w:val="32"/>
          <w:szCs w:val="32"/>
        </w:rPr>
        <w:t>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b/>
          <w:sz w:val="32"/>
          <w:szCs w:val="32"/>
        </w:rPr>
        <w:t>0</w:t>
      </w:r>
      <w:r>
        <w:rPr>
          <w:rFonts w:hint="eastAsia" w:ascii="仿宋_GB2312" w:eastAsia="仿宋_GB2312"/>
          <w:sz w:val="32"/>
          <w:szCs w:val="32"/>
        </w:rPr>
        <w:t>次，出国（境）</w:t>
      </w:r>
      <w:r>
        <w:rPr>
          <w:rFonts w:ascii="仿宋_GB2312" w:eastAsia="仿宋_GB2312"/>
          <w:b/>
          <w:sz w:val="32"/>
          <w:szCs w:val="32"/>
        </w:rPr>
        <w:t>0</w:t>
      </w:r>
      <w:r>
        <w:rPr>
          <w:rFonts w:hint="eastAsia" w:ascii="仿宋_GB2312" w:eastAsia="仿宋_GB2312"/>
          <w:sz w:val="32"/>
          <w:szCs w:val="32"/>
        </w:rPr>
        <w:t>人。</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 w:hAnsi="仿宋" w:eastAsia="仿宋"/>
          <w:b/>
          <w:sz w:val="32"/>
          <w:szCs w:val="32"/>
          <w:lang w:val="en-US" w:eastAsia="zh-CN"/>
        </w:rPr>
        <w:t>69.12</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rStyle w:val="17"/>
          <w:rFonts w:ascii="仿宋" w:hAnsi="仿宋" w:eastAsia="仿宋"/>
          <w:bCs/>
          <w:sz w:val="32"/>
          <w:szCs w:val="32"/>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公务用车购置及运行维护费支出决算比202</w:t>
      </w:r>
      <w:r>
        <w:rPr>
          <w:rFonts w:hint="eastAsia" w:ascii="仿宋_GB2312" w:eastAsia="仿宋_GB2312"/>
          <w:sz w:val="32"/>
          <w:szCs w:val="32"/>
          <w:lang w:val="en-US" w:eastAsia="zh-CN"/>
        </w:rPr>
        <w:t>3</w:t>
      </w:r>
      <w:r>
        <w:rPr>
          <w:rFonts w:hint="eastAsia" w:ascii="仿宋_GB2312" w:eastAsia="仿宋_GB2312"/>
          <w:sz w:val="32"/>
          <w:szCs w:val="32"/>
        </w:rPr>
        <w:t>年度</w:t>
      </w:r>
      <w:r>
        <w:rPr>
          <w:rFonts w:hint="eastAsia" w:ascii="仿宋_GB2312" w:eastAsia="仿宋_GB2312"/>
          <w:sz w:val="32"/>
          <w:szCs w:val="32"/>
          <w:lang w:val="en-US" w:eastAsia="zh-CN"/>
        </w:rPr>
        <w:t>减少5.12</w:t>
      </w:r>
      <w:r>
        <w:rPr>
          <w:rFonts w:hint="eastAsia" w:ascii="仿宋_GB2312" w:eastAsia="仿宋_GB2312"/>
          <w:sz w:val="32"/>
          <w:szCs w:val="32"/>
        </w:rPr>
        <w:t>万元，</w:t>
      </w:r>
      <w:r>
        <w:rPr>
          <w:rFonts w:hint="eastAsia" w:ascii="仿宋_GB2312" w:eastAsia="仿宋_GB2312"/>
          <w:sz w:val="32"/>
          <w:szCs w:val="32"/>
          <w:lang w:val="en-US" w:eastAsia="zh-CN"/>
        </w:rPr>
        <w:t>降低6.9</w:t>
      </w:r>
      <w:r>
        <w:rPr>
          <w:rFonts w:ascii="仿宋_GB2312" w:eastAsia="仿宋_GB2312"/>
          <w:sz w:val="32"/>
          <w:szCs w:val="32"/>
        </w:rPr>
        <w:t>%</w:t>
      </w:r>
      <w:r>
        <w:rPr>
          <w:rFonts w:hint="eastAsia" w:ascii="仿宋_GB2312" w:eastAsia="仿宋_GB2312"/>
          <w:sz w:val="32"/>
          <w:szCs w:val="32"/>
        </w:rPr>
        <w:t>。主要原因是</w:t>
      </w:r>
      <w:r>
        <w:rPr>
          <w:rFonts w:hint="eastAsia" w:ascii="仿宋" w:hAnsi="仿宋" w:eastAsia="仿宋"/>
          <w:sz w:val="32"/>
          <w:szCs w:val="32"/>
        </w:rPr>
        <w:t>严格控制“三公”经费支出</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sz w:val="32"/>
          <w:szCs w:val="32"/>
        </w:rPr>
        <w:t>0</w:t>
      </w:r>
      <w:r>
        <w:rPr>
          <w:rFonts w:hint="eastAsia" w:ascii="仿宋_GB2312" w:eastAsia="仿宋_GB2312"/>
          <w:sz w:val="32"/>
          <w:szCs w:val="32"/>
        </w:rPr>
        <w:t>万元。全年按规定更新购置公务用车0辆。截至202</w:t>
      </w:r>
      <w:r>
        <w:rPr>
          <w:rFonts w:hint="eastAsia" w:ascii="仿宋_GB2312" w:eastAsia="仿宋_GB2312"/>
          <w:sz w:val="32"/>
          <w:szCs w:val="32"/>
          <w:lang w:val="en-US" w:eastAsia="zh-CN"/>
        </w:rPr>
        <w:t>4</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118</w:t>
      </w:r>
      <w:r>
        <w:rPr>
          <w:rFonts w:hint="eastAsia" w:ascii="仿宋_GB2312" w:eastAsia="仿宋_GB2312"/>
          <w:sz w:val="32"/>
          <w:szCs w:val="32"/>
        </w:rPr>
        <w:t>辆，其中：轿车</w:t>
      </w:r>
      <w:r>
        <w:rPr>
          <w:rFonts w:hint="eastAsia" w:ascii="仿宋_GB2312" w:eastAsia="仿宋_GB2312"/>
          <w:sz w:val="32"/>
          <w:szCs w:val="32"/>
          <w:lang w:val="en-US" w:eastAsia="zh-CN"/>
        </w:rPr>
        <w:t>116</w:t>
      </w:r>
      <w:r>
        <w:rPr>
          <w:rFonts w:hint="eastAsia" w:ascii="仿宋_GB2312" w:eastAsia="仿宋_GB2312"/>
          <w:sz w:val="32"/>
          <w:szCs w:val="32"/>
        </w:rPr>
        <w:t>辆、越野车1辆、载客汽车1辆。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 w:hAnsi="仿宋" w:eastAsia="仿宋"/>
          <w:b/>
          <w:sz w:val="32"/>
          <w:szCs w:val="32"/>
          <w:lang w:val="en-US" w:eastAsia="zh-CN"/>
        </w:rPr>
        <w:t>69.12</w:t>
      </w:r>
      <w:r>
        <w:rPr>
          <w:rFonts w:hint="eastAsia" w:ascii="仿宋_GB2312" w:eastAsia="仿宋_GB2312"/>
          <w:sz w:val="32"/>
          <w:szCs w:val="32"/>
        </w:rPr>
        <w:t>万元。主要用于</w:t>
      </w:r>
      <w:r>
        <w:rPr>
          <w:rFonts w:ascii="仿宋_GB2312" w:eastAsia="仿宋_GB2312"/>
          <w:sz w:val="32"/>
          <w:szCs w:val="32"/>
        </w:rPr>
        <w:t>安保维稳</w:t>
      </w:r>
      <w:r>
        <w:rPr>
          <w:rFonts w:hint="eastAsia" w:ascii="仿宋_GB2312" w:eastAsia="仿宋_GB2312"/>
          <w:sz w:val="32"/>
          <w:szCs w:val="32"/>
        </w:rPr>
        <w:t>，</w:t>
      </w:r>
      <w:r>
        <w:rPr>
          <w:rFonts w:ascii="仿宋_GB2312" w:eastAsia="仿宋_GB2312"/>
          <w:sz w:val="32"/>
          <w:szCs w:val="32"/>
        </w:rPr>
        <w:t>执法巡逻</w:t>
      </w:r>
      <w:r>
        <w:rPr>
          <w:rFonts w:hint="eastAsia" w:ascii="仿宋_GB2312" w:eastAsia="仿宋_GB2312"/>
          <w:sz w:val="32"/>
          <w:szCs w:val="32"/>
        </w:rPr>
        <w:t>，</w:t>
      </w:r>
      <w:r>
        <w:rPr>
          <w:rFonts w:ascii="仿宋_GB2312" w:eastAsia="仿宋_GB2312"/>
          <w:sz w:val="32"/>
          <w:szCs w:val="32"/>
        </w:rPr>
        <w:t>出差办案</w:t>
      </w:r>
      <w:r>
        <w:rPr>
          <w:rFonts w:hint="eastAsia" w:ascii="仿宋_GB2312" w:eastAsia="仿宋_GB2312"/>
          <w:sz w:val="32"/>
          <w:szCs w:val="32"/>
        </w:rPr>
        <w:t>等所需的公务用车燃料费、维修费、过路过桥费、保险费等支出。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 w:hAnsi="仿宋" w:eastAsia="仿宋"/>
          <w:b/>
          <w:sz w:val="32"/>
          <w:szCs w:val="32"/>
        </w:rPr>
        <w:t>0.</w:t>
      </w:r>
      <w:r>
        <w:rPr>
          <w:rFonts w:hint="eastAsia" w:ascii="仿宋" w:hAnsi="仿宋" w:eastAsia="仿宋"/>
          <w:b/>
          <w:sz w:val="32"/>
          <w:szCs w:val="32"/>
          <w:lang w:val="en-US" w:eastAsia="zh-CN"/>
        </w:rPr>
        <w:t>17</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rStyle w:val="17"/>
          <w:rFonts w:ascii="仿宋" w:hAnsi="仿宋" w:eastAsia="仿宋"/>
          <w:b w:val="0"/>
          <w:bCs/>
          <w:sz w:val="32"/>
          <w:szCs w:val="32"/>
        </w:rPr>
        <w:t>100%</w:t>
      </w:r>
      <w:r>
        <w:rPr>
          <w:rStyle w:val="17"/>
          <w:rFonts w:hint="eastAsia" w:ascii="仿宋" w:hAnsi="仿宋" w:eastAsia="仿宋"/>
          <w:b w:val="0"/>
          <w:bCs/>
          <w:sz w:val="32"/>
          <w:szCs w:val="32"/>
        </w:rPr>
        <w:t>。</w:t>
      </w:r>
      <w:r>
        <w:rPr>
          <w:rFonts w:hint="eastAsia" w:ascii="仿宋_GB2312" w:eastAsia="仿宋_GB2312"/>
          <w:sz w:val="32"/>
          <w:szCs w:val="32"/>
        </w:rPr>
        <w:t>公务接待费支出决算比202</w:t>
      </w:r>
      <w:r>
        <w:rPr>
          <w:rFonts w:hint="eastAsia" w:ascii="仿宋_GB2312" w:eastAsia="仿宋_GB2312"/>
          <w:sz w:val="32"/>
          <w:szCs w:val="32"/>
          <w:lang w:val="en-US" w:eastAsia="zh-CN"/>
        </w:rPr>
        <w:t>3</w:t>
      </w:r>
      <w:r>
        <w:rPr>
          <w:rFonts w:hint="eastAsia" w:ascii="仿宋_GB2312" w:eastAsia="仿宋_GB2312"/>
          <w:sz w:val="32"/>
          <w:szCs w:val="32"/>
        </w:rPr>
        <w:t>年度</w:t>
      </w:r>
      <w:r>
        <w:rPr>
          <w:rFonts w:hint="eastAsia" w:ascii="仿宋_GB2312" w:eastAsia="仿宋_GB2312"/>
          <w:sz w:val="32"/>
          <w:szCs w:val="32"/>
          <w:lang w:val="en-US" w:eastAsia="zh-CN"/>
        </w:rPr>
        <w:t>减少0.72</w:t>
      </w:r>
      <w:r>
        <w:rPr>
          <w:rFonts w:hint="eastAsia" w:ascii="仿宋_GB2312" w:eastAsia="仿宋_GB2312"/>
          <w:sz w:val="32"/>
          <w:szCs w:val="32"/>
        </w:rPr>
        <w:t>万元，</w:t>
      </w:r>
      <w:r>
        <w:rPr>
          <w:rFonts w:hint="eastAsia" w:ascii="仿宋_GB2312" w:eastAsia="仿宋_GB2312"/>
          <w:sz w:val="32"/>
          <w:szCs w:val="32"/>
          <w:lang w:val="en-US" w:eastAsia="zh-CN"/>
        </w:rPr>
        <w:t>降低80.9</w:t>
      </w:r>
      <w:r>
        <w:rPr>
          <w:rFonts w:ascii="仿宋_GB2312" w:eastAsia="仿宋_GB2312"/>
          <w:sz w:val="32"/>
          <w:szCs w:val="32"/>
        </w:rPr>
        <w:t>%</w:t>
      </w:r>
      <w:r>
        <w:rPr>
          <w:rFonts w:hint="eastAsia" w:ascii="仿宋_GB2312" w:eastAsia="仿宋_GB2312"/>
          <w:sz w:val="32"/>
          <w:szCs w:val="32"/>
        </w:rPr>
        <w:t>。主要原因</w:t>
      </w:r>
      <w:r>
        <w:rPr>
          <w:rFonts w:hint="eastAsia" w:ascii="仿宋_GB2312" w:eastAsia="仿宋_GB2312"/>
          <w:sz w:val="32"/>
          <w:szCs w:val="32"/>
          <w:lang w:val="en-US" w:eastAsia="zh-CN"/>
        </w:rPr>
        <w:t>本年公务接待次数减少</w:t>
      </w:r>
      <w:r>
        <w:rPr>
          <w:rFonts w:hint="eastAsia" w:ascii="仿宋_GB2312" w:eastAsia="仿宋_GB2312"/>
          <w:sz w:val="32"/>
          <w:szCs w:val="32"/>
        </w:rPr>
        <w:t>。其中：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ascii="仿宋" w:hAnsi="仿宋" w:eastAsia="仿宋"/>
          <w:b/>
          <w:sz w:val="32"/>
          <w:szCs w:val="32"/>
        </w:rPr>
        <w:t>0.</w:t>
      </w:r>
      <w:r>
        <w:rPr>
          <w:rFonts w:hint="eastAsia" w:ascii="仿宋" w:hAnsi="仿宋" w:eastAsia="仿宋"/>
          <w:b/>
          <w:sz w:val="32"/>
          <w:szCs w:val="32"/>
          <w:lang w:val="en-US" w:eastAsia="zh-CN"/>
        </w:rPr>
        <w:t>17</w:t>
      </w:r>
      <w:r>
        <w:rPr>
          <w:rFonts w:hint="eastAsia" w:ascii="仿宋_GB2312" w:eastAsia="仿宋_GB2312"/>
          <w:sz w:val="32"/>
          <w:szCs w:val="32"/>
        </w:rPr>
        <w:t>万元，主要用于公安工作会议的用餐费。国内公务接待</w:t>
      </w:r>
      <w:r>
        <w:rPr>
          <w:rFonts w:hint="eastAsia" w:ascii="仿宋_GB2312" w:eastAsia="仿宋_GB2312"/>
          <w:sz w:val="32"/>
          <w:szCs w:val="32"/>
          <w:lang w:val="en-US" w:eastAsia="zh-CN"/>
        </w:rPr>
        <w:t>1</w:t>
      </w:r>
      <w:r>
        <w:rPr>
          <w:rFonts w:hint="eastAsia" w:ascii="仿宋_GB2312" w:eastAsia="仿宋_GB2312"/>
          <w:sz w:val="32"/>
          <w:szCs w:val="32"/>
        </w:rPr>
        <w:t>批次，</w:t>
      </w:r>
      <w:r>
        <w:rPr>
          <w:rFonts w:hint="eastAsia" w:ascii="仿宋_GB2312" w:eastAsia="仿宋_GB2312"/>
          <w:sz w:val="32"/>
          <w:szCs w:val="32"/>
          <w:lang w:val="en-US" w:eastAsia="zh-CN"/>
        </w:rPr>
        <w:t>10</w:t>
      </w:r>
      <w:r>
        <w:rPr>
          <w:rFonts w:hint="eastAsia" w:ascii="仿宋_GB2312" w:eastAsia="仿宋_GB2312"/>
          <w:sz w:val="32"/>
          <w:szCs w:val="32"/>
        </w:rPr>
        <w:t>人次（不包括陪同人员），共计支出0.</w:t>
      </w:r>
      <w:r>
        <w:rPr>
          <w:rFonts w:hint="eastAsia" w:ascii="仿宋_GB2312" w:eastAsia="仿宋_GB2312"/>
          <w:sz w:val="32"/>
          <w:szCs w:val="32"/>
          <w:lang w:val="en-US" w:eastAsia="zh-CN"/>
        </w:rPr>
        <w:t>17</w:t>
      </w:r>
      <w:r>
        <w:rPr>
          <w:rFonts w:hint="eastAsia" w:ascii="仿宋_GB2312" w:eastAsia="仿宋_GB2312"/>
          <w:sz w:val="32"/>
          <w:szCs w:val="32"/>
        </w:rPr>
        <w:t>万元，具体内容包括：</w:t>
      </w:r>
      <w:r>
        <w:rPr>
          <w:rFonts w:hint="eastAsia" w:ascii="仿宋_GB2312" w:eastAsia="仿宋_GB2312"/>
          <w:sz w:val="32"/>
          <w:szCs w:val="32"/>
          <w:lang w:val="en-US" w:eastAsia="zh-CN"/>
        </w:rPr>
        <w:t>华坪县公安局警务交流</w:t>
      </w:r>
      <w:r>
        <w:rPr>
          <w:rFonts w:hint="eastAsia" w:ascii="仿宋_GB2312" w:eastAsia="仿宋_GB2312"/>
          <w:sz w:val="32"/>
          <w:szCs w:val="32"/>
        </w:rPr>
        <w:t>。</w:t>
      </w:r>
    </w:p>
    <w:p>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ascii="仿宋" w:hAnsi="仿宋" w:eastAsia="仿宋"/>
          <w:b/>
          <w:sz w:val="32"/>
          <w:szCs w:val="32"/>
        </w:rPr>
        <w:t>0</w:t>
      </w:r>
      <w:r>
        <w:rPr>
          <w:rFonts w:hint="eastAsia" w:ascii="仿宋_GB2312" w:eastAsia="仿宋_GB2312"/>
          <w:sz w:val="32"/>
          <w:szCs w:val="32"/>
        </w:rPr>
        <w:t>万元。</w:t>
      </w:r>
      <w:r>
        <w:rPr>
          <w:rFonts w:ascii="仿宋_GB2312" w:eastAsia="仿宋_GB2312"/>
          <w:sz w:val="32"/>
          <w:szCs w:val="32"/>
        </w:rPr>
        <w:t xml:space="preserve"> </w:t>
      </w:r>
    </w:p>
    <w:p>
      <w:pPr>
        <w:spacing w:line="600" w:lineRule="exact"/>
        <w:ind w:firstLine="640"/>
        <w:outlineLvl w:val="1"/>
        <w:rPr>
          <w:rFonts w:ascii="黑体" w:eastAsia="黑体"/>
          <w:sz w:val="32"/>
          <w:szCs w:val="32"/>
        </w:rPr>
      </w:pPr>
    </w:p>
    <w:p>
      <w:pPr>
        <w:spacing w:line="600" w:lineRule="exact"/>
        <w:ind w:firstLine="640"/>
        <w:outlineLvl w:val="1"/>
        <w:rPr>
          <w:rStyle w:val="28"/>
          <w:rFonts w:ascii="黑体" w:hAnsi="黑体" w:eastAsia="黑体"/>
        </w:rPr>
      </w:pPr>
      <w:r>
        <w:rPr>
          <w:rFonts w:hint="eastAsia" w:ascii="黑体" w:eastAsia="黑体"/>
          <w:sz w:val="32"/>
          <w:szCs w:val="32"/>
        </w:rPr>
        <w:t>八、</w:t>
      </w:r>
      <w:r>
        <w:rPr>
          <w:rStyle w:val="28"/>
          <w:rFonts w:hint="eastAsia" w:ascii="黑体" w:hAnsi="黑体" w:eastAsia="黑体"/>
          <w:b w:val="0"/>
        </w:rPr>
        <w:t>政府性基金预算支出决算情况说明</w:t>
      </w:r>
      <w:bookmarkEnd w:id="40"/>
      <w:bookmarkEnd w:id="41"/>
    </w:p>
    <w:p>
      <w:pPr>
        <w:spacing w:line="600" w:lineRule="exact"/>
        <w:ind w:firstLine="640"/>
        <w:rPr>
          <w:rFonts w:ascii="仿宋_GB2312" w:eastAsia="仿宋_GB2312"/>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24</w:t>
      </w:r>
      <w:r>
        <w:rPr>
          <w:rFonts w:hint="eastAsia" w:ascii="仿宋_GB2312" w:eastAsia="仿宋_GB2312"/>
          <w:sz w:val="32"/>
          <w:szCs w:val="32"/>
        </w:rPr>
        <w:t>年度政府性基金预算财政拨款支出</w:t>
      </w:r>
      <w:r>
        <w:rPr>
          <w:rFonts w:ascii="仿宋" w:hAnsi="仿宋" w:eastAsia="仿宋"/>
          <w:b/>
          <w:sz w:val="32"/>
          <w:szCs w:val="32"/>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p>
    <w:p>
      <w:pPr>
        <w:numPr>
          <w:ilvl w:val="0"/>
          <w:numId w:val="3"/>
        </w:numPr>
        <w:spacing w:line="600" w:lineRule="exact"/>
        <w:ind w:firstLine="640"/>
        <w:outlineLvl w:val="1"/>
        <w:rPr>
          <w:rStyle w:val="28"/>
          <w:rFonts w:ascii="黑体" w:hAnsi="黑体" w:eastAsia="黑体"/>
          <w:b w:val="0"/>
        </w:rPr>
      </w:pPr>
      <w:bookmarkStart w:id="42" w:name="_Toc15377219"/>
      <w:bookmarkStart w:id="43" w:name="_Toc15396611"/>
      <w:r>
        <w:rPr>
          <w:rStyle w:val="28"/>
          <w:rFonts w:hint="eastAsia" w:ascii="黑体" w:hAnsi="黑体" w:eastAsia="黑体"/>
          <w:b w:val="0"/>
        </w:rPr>
        <w:t>国有资本经营预算支出决算情况说明</w:t>
      </w:r>
      <w:bookmarkEnd w:id="42"/>
      <w:bookmarkEnd w:id="43"/>
    </w:p>
    <w:p>
      <w:pPr>
        <w:spacing w:line="600" w:lineRule="exact"/>
        <w:ind w:firstLine="64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年度国有资本经营预算财政拨款支出</w:t>
      </w:r>
      <w:r>
        <w:rPr>
          <w:rFonts w:ascii="仿宋" w:hAnsi="仿宋" w:eastAsia="仿宋"/>
          <w:b/>
          <w:sz w:val="32"/>
          <w:szCs w:val="32"/>
        </w:rPr>
        <w:t>0</w:t>
      </w:r>
      <w:r>
        <w:rPr>
          <w:rFonts w:hint="eastAsia" w:ascii="仿宋_GB2312" w:eastAsia="仿宋_GB2312"/>
          <w:sz w:val="32"/>
          <w:szCs w:val="32"/>
        </w:rPr>
        <w:t>万元。</w:t>
      </w:r>
    </w:p>
    <w:p>
      <w:pPr>
        <w:spacing w:line="580" w:lineRule="exact"/>
        <w:jc w:val="center"/>
        <w:rPr>
          <w:rFonts w:ascii="方正小标宋简体" w:hAnsi="方正小标宋简体" w:eastAsia="方正小标宋简体" w:cs="方正小标宋简体"/>
          <w:sz w:val="44"/>
          <w:szCs w:val="44"/>
        </w:rPr>
      </w:pPr>
    </w:p>
    <w:p>
      <w:pPr>
        <w:numPr>
          <w:ilvl w:val="0"/>
          <w:numId w:val="3"/>
        </w:numPr>
        <w:spacing w:line="600" w:lineRule="exact"/>
        <w:ind w:firstLine="640"/>
        <w:outlineLvl w:val="1"/>
        <w:rPr>
          <w:rStyle w:val="28"/>
          <w:rFonts w:ascii="黑体" w:hAnsi="黑体" w:eastAsia="黑体"/>
          <w:b w:val="0"/>
        </w:rPr>
      </w:pPr>
      <w:bookmarkStart w:id="44" w:name="_Toc15377221"/>
      <w:bookmarkStart w:id="45" w:name="_Toc15396612"/>
      <w:r>
        <w:rPr>
          <w:rStyle w:val="28"/>
          <w:rFonts w:hint="eastAsia" w:ascii="黑体" w:hAnsi="黑体" w:eastAsia="黑体"/>
          <w:b w:val="0"/>
        </w:rPr>
        <w:t>其他重要事项的情况说明</w:t>
      </w:r>
      <w:bookmarkEnd w:id="44"/>
      <w:bookmarkEnd w:id="45"/>
    </w:p>
    <w:p>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600" w:lineRule="exact"/>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w:t>
      </w:r>
      <w:r>
        <w:rPr>
          <w:rFonts w:ascii="仿宋_GB2312" w:eastAsia="仿宋_GB2312"/>
          <w:b/>
          <w:sz w:val="32"/>
          <w:szCs w:val="32"/>
        </w:rPr>
        <w:t>四川省攀枝花市公安局西区分局</w:t>
      </w:r>
      <w:r>
        <w:rPr>
          <w:rFonts w:hint="eastAsia" w:ascii="仿宋_GB2312" w:eastAsia="仿宋_GB2312"/>
          <w:sz w:val="32"/>
          <w:szCs w:val="32"/>
        </w:rPr>
        <w:t>机关运行经费支出</w:t>
      </w:r>
      <w:r>
        <w:rPr>
          <w:rFonts w:ascii="仿宋" w:hAnsi="仿宋" w:eastAsia="仿宋"/>
          <w:b/>
          <w:sz w:val="32"/>
          <w:szCs w:val="32"/>
        </w:rPr>
        <w:t>62</w:t>
      </w:r>
      <w:r>
        <w:rPr>
          <w:rFonts w:hint="eastAsia" w:ascii="仿宋" w:hAnsi="仿宋" w:eastAsia="仿宋"/>
          <w:b/>
          <w:sz w:val="32"/>
          <w:szCs w:val="32"/>
          <w:lang w:val="en-US" w:eastAsia="zh-CN"/>
        </w:rPr>
        <w:t>4.2</w:t>
      </w:r>
      <w:r>
        <w:rPr>
          <w:rFonts w:hint="eastAsia" w:ascii="仿宋_GB2312" w:eastAsia="仿宋_GB2312"/>
          <w:sz w:val="32"/>
          <w:szCs w:val="32"/>
        </w:rPr>
        <w:t>万元，比202</w:t>
      </w:r>
      <w:r>
        <w:rPr>
          <w:rFonts w:hint="eastAsia" w:ascii="仿宋_GB2312" w:eastAsia="仿宋_GB2312"/>
          <w:sz w:val="32"/>
          <w:szCs w:val="32"/>
          <w:lang w:val="en-US" w:eastAsia="zh-CN"/>
        </w:rPr>
        <w:t>3</w:t>
      </w:r>
      <w:r>
        <w:rPr>
          <w:rFonts w:hint="eastAsia" w:ascii="仿宋_GB2312" w:eastAsia="仿宋_GB2312"/>
          <w:sz w:val="32"/>
          <w:szCs w:val="32"/>
        </w:rPr>
        <w:t>年度</w:t>
      </w:r>
      <w:r>
        <w:rPr>
          <w:rFonts w:hint="eastAsia" w:ascii="仿宋_GB2312" w:eastAsia="仿宋_GB2312"/>
          <w:sz w:val="32"/>
          <w:szCs w:val="32"/>
          <w:lang w:val="en-US" w:eastAsia="zh-CN"/>
        </w:rPr>
        <w:t>增加1.83</w:t>
      </w:r>
      <w:r>
        <w:rPr>
          <w:rFonts w:hint="eastAsia" w:ascii="仿宋_GB2312" w:eastAsia="仿宋_GB2312"/>
          <w:sz w:val="32"/>
          <w:szCs w:val="32"/>
        </w:rPr>
        <w:t>万元，</w:t>
      </w:r>
      <w:r>
        <w:rPr>
          <w:rFonts w:hint="eastAsia" w:ascii="仿宋_GB2312" w:eastAsia="仿宋_GB2312"/>
          <w:sz w:val="32"/>
          <w:szCs w:val="32"/>
          <w:lang w:val="en-US" w:eastAsia="zh-CN"/>
        </w:rPr>
        <w:t>增加0.29</w:t>
      </w:r>
      <w:r>
        <w:rPr>
          <w:rFonts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lang w:val="en-US" w:eastAsia="zh-CN"/>
        </w:rPr>
        <w:t>基本无变化</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spacing w:line="600" w:lineRule="exact"/>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w:t>
      </w:r>
      <w:r>
        <w:rPr>
          <w:rFonts w:ascii="仿宋_GB2312" w:eastAsia="仿宋_GB2312"/>
          <w:b/>
          <w:sz w:val="32"/>
          <w:szCs w:val="32"/>
        </w:rPr>
        <w:t>四川省攀枝花市公安局西区分局</w:t>
      </w:r>
      <w:r>
        <w:rPr>
          <w:rFonts w:hint="eastAsia" w:ascii="仿宋_GB2312" w:eastAsia="仿宋_GB2312"/>
          <w:sz w:val="32"/>
          <w:szCs w:val="32"/>
        </w:rPr>
        <w:t>政府采购支出总额</w:t>
      </w:r>
      <w:r>
        <w:rPr>
          <w:rFonts w:ascii="仿宋" w:hAnsi="仿宋" w:eastAsia="仿宋"/>
          <w:b/>
          <w:sz w:val="32"/>
          <w:szCs w:val="32"/>
        </w:rPr>
        <w:t>0</w:t>
      </w:r>
      <w:r>
        <w:rPr>
          <w:rFonts w:hint="eastAsia" w:ascii="仿宋_GB2312" w:eastAsia="仿宋_GB2312"/>
          <w:sz w:val="32"/>
          <w:szCs w:val="32"/>
        </w:rPr>
        <w:t>万元，其中：政府采购货物支出</w:t>
      </w:r>
      <w:r>
        <w:rPr>
          <w:rFonts w:ascii="仿宋" w:hAnsi="仿宋" w:eastAsia="仿宋"/>
          <w:b/>
          <w:sz w:val="32"/>
          <w:szCs w:val="32"/>
        </w:rPr>
        <w:t>0</w:t>
      </w:r>
      <w:r>
        <w:rPr>
          <w:rFonts w:hint="eastAsia" w:ascii="仿宋_GB2312" w:eastAsia="仿宋_GB2312"/>
          <w:sz w:val="32"/>
          <w:szCs w:val="32"/>
        </w:rPr>
        <w:t>万元、政府采购工程支出</w:t>
      </w:r>
      <w:r>
        <w:rPr>
          <w:rFonts w:ascii="仿宋" w:hAnsi="仿宋" w:eastAsia="仿宋"/>
          <w:b/>
          <w:sz w:val="32"/>
          <w:szCs w:val="32"/>
        </w:rPr>
        <w:t>0</w:t>
      </w:r>
      <w:r>
        <w:rPr>
          <w:rFonts w:hint="eastAsia" w:ascii="仿宋_GB2312" w:eastAsia="仿宋_GB2312"/>
          <w:sz w:val="32"/>
          <w:szCs w:val="32"/>
        </w:rPr>
        <w:t>万元、政府采购服务支出</w:t>
      </w:r>
      <w:r>
        <w:rPr>
          <w:rFonts w:ascii="仿宋" w:hAnsi="仿宋" w:eastAsia="仿宋"/>
          <w:b/>
          <w:sz w:val="32"/>
          <w:szCs w:val="32"/>
        </w:rPr>
        <w:t>0</w:t>
      </w:r>
      <w:r>
        <w:rPr>
          <w:rFonts w:hint="eastAsia" w:ascii="仿宋_GB2312" w:eastAsia="仿宋_GB2312"/>
          <w:sz w:val="32"/>
          <w:szCs w:val="32"/>
        </w:rPr>
        <w:t>万元。授予中小企业合同金额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b/>
          <w:sz w:val="32"/>
          <w:szCs w:val="32"/>
        </w:rPr>
        <w:t>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w:t>
      </w:r>
      <w:r>
        <w:rPr>
          <w:rFonts w:hint="eastAsia" w:ascii="仿宋_GB2312" w:eastAsia="仿宋_GB2312"/>
          <w:sz w:val="32"/>
          <w:szCs w:val="32"/>
          <w:lang w:val="en-US" w:eastAsia="zh-CN"/>
        </w:rPr>
        <w:t>4</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ascii="仿宋_GB2312" w:eastAsia="仿宋_GB2312"/>
          <w:b/>
          <w:sz w:val="32"/>
          <w:szCs w:val="32"/>
        </w:rPr>
        <w:t>四川省攀枝花市公安局西区分局</w:t>
      </w:r>
      <w:r>
        <w:rPr>
          <w:rFonts w:hint="eastAsia" w:ascii="仿宋_GB2312" w:eastAsia="仿宋_GB2312"/>
          <w:sz w:val="32"/>
          <w:szCs w:val="32"/>
        </w:rPr>
        <w:t>共有车辆</w:t>
      </w:r>
      <w:r>
        <w:rPr>
          <w:rFonts w:hint="eastAsia" w:ascii="仿宋_GB2312" w:eastAsia="仿宋_GB2312"/>
          <w:b/>
          <w:sz w:val="32"/>
          <w:szCs w:val="32"/>
          <w:lang w:val="en-US" w:eastAsia="zh-CN"/>
        </w:rPr>
        <w:t>118</w:t>
      </w:r>
      <w:r>
        <w:rPr>
          <w:rFonts w:hint="eastAsia" w:ascii="仿宋_GB2312" w:eastAsia="仿宋_GB2312"/>
          <w:sz w:val="32"/>
          <w:szCs w:val="32"/>
        </w:rPr>
        <w:t>辆，其中：主要领导干部用车0辆、机要通信用车0辆、应急保障用车0辆、其他用车</w:t>
      </w:r>
      <w:r>
        <w:rPr>
          <w:rFonts w:hint="eastAsia" w:ascii="仿宋_GB2312" w:eastAsia="仿宋_GB2312"/>
          <w:sz w:val="32"/>
          <w:szCs w:val="32"/>
          <w:lang w:val="en-US" w:eastAsia="zh-CN"/>
        </w:rPr>
        <w:t>118</w:t>
      </w:r>
      <w:r>
        <w:rPr>
          <w:rFonts w:hint="eastAsia" w:ascii="仿宋_GB2312" w:eastAsia="仿宋_GB2312"/>
          <w:sz w:val="32"/>
          <w:szCs w:val="32"/>
        </w:rPr>
        <w:t>辆，其他用车主要是用于执法办案、安保巡逻。单价</w:t>
      </w:r>
      <w:r>
        <w:rPr>
          <w:rFonts w:ascii="仿宋_GB2312" w:eastAsia="仿宋_GB2312"/>
          <w:sz w:val="32"/>
          <w:szCs w:val="32"/>
        </w:rPr>
        <w:t>100</w:t>
      </w:r>
      <w:r>
        <w:rPr>
          <w:rFonts w:hint="eastAsia" w:ascii="仿宋_GB2312" w:eastAsia="仿宋_GB2312"/>
          <w:sz w:val="32"/>
          <w:szCs w:val="32"/>
        </w:rPr>
        <w:t>万元以上设备（不含车辆）</w:t>
      </w:r>
      <w:r>
        <w:rPr>
          <w:rFonts w:ascii="仿宋_GB2312" w:eastAsia="仿宋_GB2312"/>
          <w:b/>
          <w:sz w:val="32"/>
          <w:szCs w:val="32"/>
        </w:rPr>
        <w:t>0</w:t>
      </w:r>
      <w:r>
        <w:rPr>
          <w:rFonts w:hint="eastAsia" w:ascii="仿宋_GB2312" w:eastAsia="仿宋_GB2312"/>
          <w:sz w:val="32"/>
          <w:szCs w:val="32"/>
        </w:rPr>
        <w:t>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根据预算绩效管理要求，本单位在202</w:t>
      </w:r>
      <w:r>
        <w:rPr>
          <w:rFonts w:hint="eastAsia" w:ascii="仿宋_GB2312" w:eastAsia="仿宋_GB2312"/>
          <w:sz w:val="32"/>
          <w:szCs w:val="32"/>
          <w:lang w:val="en-US" w:eastAsia="zh-CN"/>
        </w:rPr>
        <w:t>4</w:t>
      </w:r>
      <w:r>
        <w:rPr>
          <w:rFonts w:hint="eastAsia" w:ascii="仿宋_GB2312" w:eastAsia="仿宋_GB2312"/>
          <w:sz w:val="32"/>
          <w:szCs w:val="32"/>
        </w:rPr>
        <w:t>年度预算编制阶段，组织铁路护路</w:t>
      </w:r>
      <w:r>
        <w:rPr>
          <w:rFonts w:hint="eastAsia" w:ascii="仿宋_GB2312" w:eastAsia="仿宋_GB2312"/>
          <w:sz w:val="32"/>
          <w:szCs w:val="32"/>
          <w:lang w:val="en-US" w:eastAsia="zh-CN"/>
        </w:rPr>
        <w:t>补贴</w:t>
      </w:r>
      <w:r>
        <w:rPr>
          <w:rFonts w:hint="eastAsia" w:ascii="仿宋_GB2312" w:eastAsia="仿宋_GB2312"/>
          <w:sz w:val="32"/>
          <w:szCs w:val="32"/>
        </w:rPr>
        <w:t>专项资金项目等</w:t>
      </w:r>
      <w:r>
        <w:rPr>
          <w:rFonts w:hint="eastAsia" w:ascii="仿宋_GB2312" w:eastAsia="仿宋_GB2312"/>
          <w:sz w:val="32"/>
          <w:szCs w:val="32"/>
          <w:lang w:val="en-US" w:eastAsia="zh-CN"/>
        </w:rPr>
        <w:t>4</w:t>
      </w:r>
      <w:r>
        <w:rPr>
          <w:rFonts w:hint="eastAsia" w:ascii="仿宋_GB2312" w:eastAsia="仿宋_GB2312"/>
          <w:sz w:val="32"/>
          <w:szCs w:val="32"/>
        </w:rPr>
        <w:t>个项目开展了预算事前绩效评估，对</w:t>
      </w:r>
      <w:r>
        <w:rPr>
          <w:rFonts w:hint="eastAsia" w:ascii="仿宋_GB2312" w:eastAsia="仿宋_GB2312"/>
          <w:sz w:val="32"/>
          <w:szCs w:val="32"/>
          <w:lang w:val="en-US" w:eastAsia="zh-CN"/>
        </w:rPr>
        <w:t>4</w:t>
      </w:r>
      <w:r>
        <w:rPr>
          <w:rFonts w:hint="eastAsia" w:ascii="仿宋_GB2312" w:eastAsia="仿宋_GB2312"/>
          <w:sz w:val="32"/>
          <w:szCs w:val="32"/>
        </w:rPr>
        <w:t>个项目编制了绩效目标，预算执行过程中，选取</w:t>
      </w:r>
      <w:r>
        <w:rPr>
          <w:rFonts w:hint="eastAsia" w:ascii="仿宋_GB2312" w:eastAsia="仿宋_GB2312"/>
          <w:sz w:val="32"/>
          <w:szCs w:val="32"/>
          <w:lang w:val="en-US" w:eastAsia="zh-CN"/>
        </w:rPr>
        <w:t>4</w:t>
      </w:r>
      <w:r>
        <w:rPr>
          <w:rFonts w:hint="eastAsia" w:ascii="仿宋_GB2312" w:eastAsia="仿宋_GB2312"/>
          <w:sz w:val="32"/>
          <w:szCs w:val="32"/>
        </w:rPr>
        <w:t>个项目开展绩效监控，组织对</w:t>
      </w:r>
      <w:r>
        <w:rPr>
          <w:rFonts w:hint="eastAsia" w:ascii="仿宋_GB2312" w:eastAsia="仿宋_GB2312"/>
          <w:sz w:val="32"/>
          <w:szCs w:val="32"/>
          <w:lang w:val="en-US" w:eastAsia="zh-CN"/>
        </w:rPr>
        <w:t>4</w:t>
      </w:r>
      <w:r>
        <w:rPr>
          <w:rFonts w:hint="eastAsia" w:ascii="仿宋_GB2312" w:eastAsia="仿宋_GB2312"/>
          <w:sz w:val="32"/>
          <w:szCs w:val="32"/>
        </w:rPr>
        <w:t>个项目开展绩效自评，绩效自评表详见第四部分附件，</w:t>
      </w:r>
      <w:r>
        <w:rPr>
          <w:rFonts w:hint="eastAsia" w:ascii="仿宋_GB2312" w:hAnsi="仿宋_GB2312" w:eastAsia="仿宋_GB2312" w:cs="仿宋_GB2312"/>
          <w:sz w:val="32"/>
          <w:szCs w:val="32"/>
        </w:rPr>
        <w:t>有2个涉密敏感项目的绩效自评表未公开</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pPr>
        <w:numPr>
          <w:ilvl w:val="0"/>
          <w:numId w:val="4"/>
        </w:numPr>
        <w:spacing w:line="600" w:lineRule="exact"/>
        <w:ind w:firstLine="660" w:firstLineChars="150"/>
        <w:jc w:val="center"/>
        <w:outlineLvl w:val="0"/>
        <w:rPr>
          <w:rStyle w:val="27"/>
          <w:rFonts w:ascii="黑体" w:hAnsi="黑体" w:eastAsia="黑体"/>
          <w:b w:val="0"/>
        </w:rPr>
      </w:pPr>
      <w:bookmarkStart w:id="49" w:name="_Toc15377225"/>
      <w:bookmarkStart w:id="50" w:name="_Toc15396613"/>
      <w:r>
        <w:rPr>
          <w:rFonts w:hint="eastAsia" w:ascii="黑体" w:hAnsi="黑体" w:eastAsia="黑体"/>
          <w:sz w:val="44"/>
          <w:szCs w:val="44"/>
        </w:rPr>
        <w:t>名</w:t>
      </w:r>
      <w:r>
        <w:rPr>
          <w:rStyle w:val="27"/>
          <w:rFonts w:hint="eastAsia" w:ascii="黑体" w:hAnsi="黑体" w:eastAsia="黑体"/>
          <w:b w:val="0"/>
        </w:rPr>
        <w:t>词解释</w:t>
      </w:r>
      <w:bookmarkEnd w:id="49"/>
      <w:bookmarkEnd w:id="50"/>
    </w:p>
    <w:p>
      <w:pPr>
        <w:spacing w:line="600" w:lineRule="exact"/>
        <w:jc w:val="left"/>
        <w:rPr>
          <w:rFonts w:ascii="宋体"/>
          <w:b/>
          <w:sz w:val="44"/>
          <w:szCs w:val="44"/>
        </w:rPr>
      </w:pP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9</w:t>
      </w:r>
      <w:r>
        <w:rPr>
          <w:rFonts w:hint="eastAsia" w:ascii="仿宋_GB2312" w:eastAsia="仿宋_GB2312"/>
          <w:color w:val="auto"/>
          <w:sz w:val="32"/>
          <w:szCs w:val="32"/>
        </w:rPr>
        <w:t>.公共安全支出（类）公安（款）行政运行（项）:反映行政单位（包括实行公务员管理的事业单位）的基本支出。</w:t>
      </w:r>
    </w:p>
    <w:p>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.公共安全支出（类）公安（款）一般行政管理事务（项）: 反映行政单位（包括实行公务员管理的事业单位）未单独设置项级科目的其他项目支出。</w:t>
      </w:r>
    </w:p>
    <w:p>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.公共安全支出（类）其他公共安全支出（款）其他公共安全支出（项）: 反映其他用于公安方面的支出。</w:t>
      </w:r>
    </w:p>
    <w:p>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.社会保障和就业支出（类）行政事业单位养老支出（款）行政单位离退休（项）: 反映行政单位（包括实行公务员管理的事业单位）开支的离退休经费。</w:t>
      </w:r>
    </w:p>
    <w:p>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.社会保障和就业支出（类）行政事业单位养老支出（款）机关事业单位基本养老保险缴费支出（项）:反映机关事业单位实施养老保险制度由单位缴纳的基本养老保险费支出。</w:t>
      </w:r>
    </w:p>
    <w:p>
      <w:pPr>
        <w:spacing w:line="60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.社会保障和就业支出（类）抚恤（款）死亡抚恤（项）:反映按规定用于烈士和牺牲、病故人员家属的一次性和定期抚恤金、丧葬补助费以及烈士褒扬金。</w:t>
      </w:r>
    </w:p>
    <w:p>
      <w:pPr>
        <w:spacing w:line="600" w:lineRule="exact"/>
        <w:ind w:firstLine="640" w:firstLineChars="200"/>
        <w:rPr>
          <w:rFonts w:ascii="仿宋" w:hAnsi="仿宋" w:eastAsia="仿宋"/>
          <w:b w:val="0"/>
          <w:bCs w:val="0"/>
          <w:sz w:val="32"/>
          <w:szCs w:val="32"/>
        </w:rPr>
      </w:pPr>
      <w:r>
        <w:rPr>
          <w:rStyle w:val="17"/>
          <w:rFonts w:hint="eastAsia" w:ascii="仿宋" w:hAnsi="仿宋" w:eastAsia="仿宋"/>
          <w:b w:val="0"/>
          <w:bCs w:val="0"/>
          <w:sz w:val="32"/>
          <w:szCs w:val="32"/>
          <w:lang w:val="en-US" w:eastAsia="zh-CN"/>
        </w:rPr>
        <w:t>15</w:t>
      </w:r>
      <w:r>
        <w:rPr>
          <w:rStyle w:val="17"/>
          <w:rFonts w:ascii="仿宋" w:hAnsi="仿宋" w:eastAsia="仿宋"/>
          <w:b w:val="0"/>
          <w:bCs w:val="0"/>
          <w:sz w:val="32"/>
          <w:szCs w:val="32"/>
        </w:rPr>
        <w:t>.</w:t>
      </w:r>
      <w:r>
        <w:rPr>
          <w:rStyle w:val="17"/>
          <w:rFonts w:hint="eastAsia" w:ascii="仿宋" w:hAnsi="仿宋" w:eastAsia="仿宋"/>
          <w:b w:val="0"/>
          <w:bCs w:val="0"/>
          <w:sz w:val="32"/>
          <w:szCs w:val="32"/>
        </w:rPr>
        <w:t>卫生健康支出（类）行政事业单位医疗（款）行政单位医疗（项）</w:t>
      </w:r>
      <w:r>
        <w:rPr>
          <w:rStyle w:val="17"/>
          <w:rFonts w:ascii="仿宋" w:hAnsi="仿宋" w:eastAsia="仿宋"/>
          <w:b w:val="0"/>
          <w:bCs w:val="0"/>
          <w:sz w:val="32"/>
          <w:szCs w:val="32"/>
        </w:rPr>
        <w:t>:</w:t>
      </w:r>
      <w:r>
        <w:rPr>
          <w:rStyle w:val="17"/>
          <w:rFonts w:hint="eastAsia" w:ascii="仿宋" w:hAnsi="仿宋" w:eastAsia="仿宋"/>
          <w:b w:val="0"/>
          <w:bCs w:val="0"/>
          <w:sz w:val="32"/>
          <w:szCs w:val="32"/>
          <w:lang w:val="en-US" w:eastAsia="zh-CN"/>
        </w:rPr>
        <w:t>反映财政部门安排的行政单位（包括实行公务员管理的事业单位，下同）基本医疗保险缴费经费，未参加医疗保险的行政单位的公费医疗经费，按国家规定享受离休人员、红军老战士待遇人员的医疗经费</w:t>
      </w:r>
      <w:r>
        <w:rPr>
          <w:rStyle w:val="17"/>
          <w:rFonts w:hint="eastAsia" w:ascii="仿宋" w:hAnsi="仿宋" w:eastAsia="仿宋"/>
          <w:b w:val="0"/>
          <w:bCs w:val="0"/>
          <w:sz w:val="32"/>
          <w:szCs w:val="32"/>
        </w:rPr>
        <w:t>。</w:t>
      </w:r>
    </w:p>
    <w:p>
      <w:pPr>
        <w:spacing w:line="600" w:lineRule="exact"/>
        <w:ind w:firstLine="640" w:firstLineChars="200"/>
        <w:rPr>
          <w:rStyle w:val="17"/>
          <w:rFonts w:ascii="仿宋" w:hAnsi="仿宋" w:eastAsia="仿宋"/>
          <w:b w:val="0"/>
          <w:bCs w:val="0"/>
          <w:sz w:val="32"/>
          <w:szCs w:val="32"/>
        </w:rPr>
      </w:pPr>
      <w:r>
        <w:rPr>
          <w:rStyle w:val="17"/>
          <w:rFonts w:hint="eastAsia" w:ascii="仿宋" w:hAnsi="仿宋" w:eastAsia="仿宋"/>
          <w:b w:val="0"/>
          <w:bCs w:val="0"/>
          <w:sz w:val="32"/>
          <w:szCs w:val="32"/>
        </w:rPr>
        <w:t>1</w:t>
      </w:r>
      <w:r>
        <w:rPr>
          <w:rStyle w:val="17"/>
          <w:rFonts w:hint="eastAsia" w:ascii="仿宋" w:hAnsi="仿宋" w:eastAsia="仿宋"/>
          <w:b w:val="0"/>
          <w:bCs w:val="0"/>
          <w:sz w:val="32"/>
          <w:szCs w:val="32"/>
          <w:lang w:val="en-US" w:eastAsia="zh-CN"/>
        </w:rPr>
        <w:t>6</w:t>
      </w:r>
      <w:r>
        <w:rPr>
          <w:rStyle w:val="17"/>
          <w:rFonts w:ascii="仿宋" w:hAnsi="仿宋" w:eastAsia="仿宋"/>
          <w:b w:val="0"/>
          <w:bCs w:val="0"/>
          <w:sz w:val="32"/>
          <w:szCs w:val="32"/>
        </w:rPr>
        <w:t>.</w:t>
      </w:r>
      <w:r>
        <w:rPr>
          <w:rStyle w:val="17"/>
          <w:rFonts w:hint="eastAsia" w:ascii="仿宋" w:hAnsi="仿宋" w:eastAsia="仿宋"/>
          <w:b w:val="0"/>
          <w:bCs w:val="0"/>
          <w:sz w:val="32"/>
          <w:szCs w:val="32"/>
        </w:rPr>
        <w:t xml:space="preserve"> 卫生健康支出（类）行政事业单位医疗（款）公务员医疗补助（项）</w:t>
      </w:r>
      <w:r>
        <w:rPr>
          <w:rStyle w:val="17"/>
          <w:rFonts w:ascii="仿宋" w:hAnsi="仿宋" w:eastAsia="仿宋"/>
          <w:b w:val="0"/>
          <w:bCs w:val="0"/>
          <w:sz w:val="32"/>
          <w:szCs w:val="32"/>
        </w:rPr>
        <w:t>:</w:t>
      </w:r>
      <w:r>
        <w:rPr>
          <w:rStyle w:val="17"/>
          <w:rFonts w:hint="eastAsia" w:ascii="仿宋" w:hAnsi="仿宋" w:eastAsia="仿宋"/>
          <w:b w:val="0"/>
          <w:bCs w:val="0"/>
          <w:sz w:val="32"/>
          <w:szCs w:val="32"/>
          <w:lang w:val="en-US" w:eastAsia="zh-CN"/>
        </w:rPr>
        <w:t>反映财政部门安排的公务员医疗补助经费</w:t>
      </w:r>
      <w:r>
        <w:rPr>
          <w:rStyle w:val="17"/>
          <w:rFonts w:hint="eastAsia" w:ascii="仿宋" w:hAnsi="仿宋" w:eastAsia="仿宋"/>
          <w:b w:val="0"/>
          <w:bCs w:val="0"/>
          <w:sz w:val="32"/>
          <w:szCs w:val="32"/>
        </w:rPr>
        <w:t>。</w:t>
      </w:r>
    </w:p>
    <w:p>
      <w:pPr>
        <w:spacing w:line="600" w:lineRule="exact"/>
        <w:ind w:firstLine="640" w:firstLineChars="200"/>
        <w:rPr>
          <w:rFonts w:ascii="仿宋_GB2312" w:eastAsia="仿宋_GB2312"/>
          <w:b w:val="0"/>
          <w:bCs w:val="0"/>
          <w:color w:val="auto"/>
          <w:sz w:val="32"/>
          <w:szCs w:val="32"/>
        </w:rPr>
      </w:pPr>
      <w:r>
        <w:rPr>
          <w:rStyle w:val="17"/>
          <w:rFonts w:hint="eastAsia" w:ascii="仿宋" w:hAnsi="仿宋" w:eastAsia="仿宋"/>
          <w:b w:val="0"/>
          <w:bCs w:val="0"/>
          <w:sz w:val="32"/>
          <w:szCs w:val="32"/>
        </w:rPr>
        <w:t>1</w:t>
      </w:r>
      <w:r>
        <w:rPr>
          <w:rStyle w:val="17"/>
          <w:rFonts w:hint="eastAsia" w:ascii="仿宋" w:hAnsi="仿宋" w:eastAsia="仿宋"/>
          <w:b w:val="0"/>
          <w:bCs w:val="0"/>
          <w:sz w:val="32"/>
          <w:szCs w:val="32"/>
          <w:lang w:val="en-US" w:eastAsia="zh-CN"/>
        </w:rPr>
        <w:t>7</w:t>
      </w:r>
      <w:r>
        <w:rPr>
          <w:rStyle w:val="17"/>
          <w:rFonts w:hint="eastAsia" w:ascii="仿宋" w:hAnsi="仿宋" w:eastAsia="仿宋"/>
          <w:b w:val="0"/>
          <w:bCs w:val="0"/>
          <w:sz w:val="32"/>
          <w:szCs w:val="32"/>
        </w:rPr>
        <w:t>.卫生健康支出（类）行政事业单位医疗（款）其他行政事业单位医疗支出（项）</w:t>
      </w:r>
      <w:r>
        <w:rPr>
          <w:rStyle w:val="17"/>
          <w:rFonts w:ascii="仿宋" w:hAnsi="仿宋" w:eastAsia="仿宋"/>
          <w:b w:val="0"/>
          <w:bCs w:val="0"/>
          <w:sz w:val="32"/>
          <w:szCs w:val="32"/>
        </w:rPr>
        <w:t>:</w:t>
      </w:r>
      <w:r>
        <w:rPr>
          <w:rStyle w:val="17"/>
          <w:rFonts w:hint="eastAsia" w:ascii="仿宋" w:hAnsi="仿宋" w:eastAsia="仿宋"/>
          <w:b w:val="0"/>
          <w:bCs w:val="0"/>
          <w:sz w:val="32"/>
          <w:szCs w:val="32"/>
          <w:lang w:val="en-US" w:eastAsia="zh-CN"/>
        </w:rPr>
        <w:t>反映除上述项目以外的其他用于行政事业单位医疗方面的支出</w:t>
      </w:r>
      <w:r>
        <w:rPr>
          <w:rStyle w:val="17"/>
          <w:rFonts w:hint="eastAsia" w:ascii="仿宋" w:hAnsi="仿宋" w:eastAsia="仿宋"/>
          <w:b w:val="0"/>
          <w:bCs w:val="0"/>
          <w:sz w:val="32"/>
          <w:szCs w:val="32"/>
        </w:rPr>
        <w:t>。</w:t>
      </w:r>
    </w:p>
    <w:p>
      <w:pPr>
        <w:pStyle w:val="25"/>
        <w:spacing w:line="560" w:lineRule="exact"/>
        <w:ind w:firstLine="640" w:firstLineChars="200"/>
        <w:rPr>
          <w:rFonts w:ascii="仿宋_GB2312" w:eastAsia="仿宋_GB2312"/>
          <w:b w:val="0"/>
          <w:bCs w:val="0"/>
          <w:color w:val="auto"/>
          <w:sz w:val="32"/>
          <w:szCs w:val="32"/>
        </w:rPr>
      </w:pPr>
      <w:r>
        <w:rPr>
          <w:rFonts w:hint="eastAsia" w:ascii="仿宋_GB2312" w:eastAsia="仿宋_GB2312"/>
          <w:b w:val="0"/>
          <w:bCs w:val="0"/>
          <w:color w:val="auto"/>
          <w:sz w:val="32"/>
          <w:szCs w:val="32"/>
        </w:rPr>
        <w:t>1</w:t>
      </w:r>
      <w:r>
        <w:rPr>
          <w:rFonts w:hint="eastAsia" w:ascii="仿宋_GB2312" w:eastAsia="仿宋_GB2312"/>
          <w:b w:val="0"/>
          <w:bCs w:val="0"/>
          <w:color w:val="auto"/>
          <w:sz w:val="32"/>
          <w:szCs w:val="32"/>
          <w:lang w:val="en-US" w:eastAsia="zh-CN"/>
        </w:rPr>
        <w:t>8</w:t>
      </w:r>
      <w:r>
        <w:rPr>
          <w:rFonts w:hint="eastAsia" w:ascii="仿宋_GB2312" w:eastAsia="仿宋_GB2312"/>
          <w:b w:val="0"/>
          <w:bCs w:val="0"/>
          <w:color w:val="auto"/>
          <w:sz w:val="32"/>
          <w:szCs w:val="32"/>
        </w:rPr>
        <w:t>.住房保障支出（类）住房改革支出（款）住房公积金（项）:反映行政事业单位按人力资源和社会保障部、财政部规定的基本工资何津贴补贴以及规定比例为职工缴纳的住房公积金。</w:t>
      </w:r>
    </w:p>
    <w:p>
      <w:pPr>
        <w:ind w:firstLine="640" w:firstLineChars="200"/>
        <w:rPr>
          <w:rFonts w:ascii="仿宋_GB2312" w:eastAsia="仿宋_GB2312"/>
          <w:b w:val="0"/>
          <w:bCs w:val="0"/>
          <w:sz w:val="32"/>
          <w:szCs w:val="32"/>
        </w:rPr>
      </w:pPr>
      <w:r>
        <w:rPr>
          <w:rFonts w:hint="eastAsia" w:ascii="仿宋_GB2312" w:eastAsia="仿宋_GB2312"/>
          <w:b w:val="0"/>
          <w:bCs w:val="0"/>
          <w:sz w:val="32"/>
          <w:szCs w:val="32"/>
          <w:lang w:val="en-US" w:eastAsia="zh-CN"/>
        </w:rPr>
        <w:t>19</w:t>
      </w:r>
      <w:r>
        <w:rPr>
          <w:rFonts w:ascii="仿宋_GB2312" w:eastAsia="仿宋_GB2312"/>
          <w:b w:val="0"/>
          <w:bCs w:val="0"/>
          <w:sz w:val="32"/>
          <w:szCs w:val="32"/>
        </w:rPr>
        <w:t>.</w:t>
      </w:r>
      <w:r>
        <w:rPr>
          <w:rFonts w:hint="eastAsia" w:ascii="仿宋_GB2312" w:eastAsia="仿宋_GB2312"/>
          <w:b w:val="0"/>
          <w:bCs w:val="0"/>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20</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21</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val="en-US" w:eastAsia="zh-CN"/>
        </w:rPr>
        <w:t>2</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val="en-US" w:eastAsia="zh-CN"/>
        </w:rPr>
        <w:t>3</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pPr>
        <w:spacing w:line="600" w:lineRule="exact"/>
        <w:jc w:val="center"/>
        <w:outlineLvl w:val="0"/>
        <w:rPr>
          <w:rStyle w:val="27"/>
          <w:rFonts w:ascii="黑体" w:hAnsi="黑体" w:eastAsia="黑体"/>
          <w:b w:val="0"/>
        </w:rPr>
      </w:pPr>
      <w:bookmarkStart w:id="51" w:name="_Toc15377226"/>
      <w:r>
        <w:rPr>
          <w:rFonts w:ascii="宋体"/>
          <w:b/>
          <w:sz w:val="44"/>
          <w:szCs w:val="44"/>
        </w:rPr>
        <w:br w:type="page"/>
      </w:r>
      <w:bookmarkStart w:id="52" w:name="_Toc15396614"/>
      <w:r>
        <w:rPr>
          <w:rFonts w:hint="eastAsia" w:ascii="黑体" w:hAnsi="黑体" w:eastAsia="黑体"/>
          <w:sz w:val="44"/>
          <w:szCs w:val="44"/>
        </w:rPr>
        <w:t>第</w:t>
      </w:r>
      <w:r>
        <w:rPr>
          <w:rStyle w:val="27"/>
          <w:rFonts w:hint="eastAsia" w:ascii="黑体" w:hAnsi="黑体" w:eastAsia="黑体"/>
          <w:b w:val="0"/>
        </w:rPr>
        <w:t>四部分 附件</w:t>
      </w:r>
      <w:bookmarkEnd w:id="52"/>
    </w:p>
    <w:p>
      <w:pPr>
        <w:spacing w:line="572" w:lineRule="exact"/>
        <w:jc w:val="left"/>
        <w:outlineLvl w:val="0"/>
        <w:rPr>
          <w:rFonts w:ascii="仿宋_GB2312" w:hAnsi="仿宋_GB2312" w:eastAsia="仿宋_GB2312" w:cs="仿宋_GB2312"/>
          <w:sz w:val="32"/>
          <w:szCs w:val="32"/>
        </w:rPr>
      </w:pPr>
    </w:p>
    <w:p>
      <w:pPr>
        <w:spacing w:line="600" w:lineRule="exact"/>
        <w:jc w:val="center"/>
        <w:outlineLvl w:val="0"/>
        <w:rPr>
          <w:rFonts w:ascii="黑体" w:hAnsi="黑体" w:eastAsia="黑体"/>
          <w:color w:val="FF0000"/>
          <w:sz w:val="44"/>
          <w:szCs w:val="44"/>
        </w:rPr>
      </w:pPr>
      <w:bookmarkStart w:id="53" w:name="_Toc15396618"/>
      <w:r>
        <w:rPr>
          <w:rFonts w:hint="eastAsia"/>
          <w:sz w:val="32"/>
          <w:szCs w:val="32"/>
        </w:rPr>
        <w:t>部门预算项目支出绩效自评表（202</w:t>
      </w:r>
      <w:r>
        <w:rPr>
          <w:rFonts w:hint="eastAsia"/>
          <w:sz w:val="32"/>
          <w:szCs w:val="32"/>
          <w:lang w:val="en-US" w:eastAsia="zh-CN"/>
        </w:rPr>
        <w:t>4</w:t>
      </w:r>
      <w:r>
        <w:rPr>
          <w:rFonts w:hint="eastAsia"/>
          <w:sz w:val="32"/>
          <w:szCs w:val="32"/>
        </w:rPr>
        <w:t>年度）</w:t>
      </w:r>
    </w:p>
    <w:p>
      <w:pPr>
        <w:pStyle w:val="14"/>
        <w:spacing w:line="560" w:lineRule="exact"/>
        <w:ind w:left="0" w:leftChars="0" w:firstLine="640"/>
        <w:rPr>
          <w:sz w:val="32"/>
        </w:rPr>
      </w:pPr>
    </w:p>
    <w:p>
      <w:pPr>
        <w:pStyle w:val="6"/>
        <w:spacing w:before="93"/>
        <w:rPr>
          <w:rFonts w:hAnsi="Calibri" w:cs="仿宋"/>
          <w:sz w:val="32"/>
          <w:szCs w:val="32"/>
        </w:rPr>
      </w:pPr>
    </w:p>
    <w:p>
      <w:pPr>
        <w:pStyle w:val="6"/>
        <w:spacing w:before="93"/>
        <w:rPr>
          <w:rFonts w:hAnsi="Calibri" w:cs="仿宋"/>
          <w:sz w:val="32"/>
          <w:szCs w:val="32"/>
        </w:rPr>
      </w:pPr>
    </w:p>
    <w:p>
      <w:pPr>
        <w:pStyle w:val="6"/>
        <w:spacing w:before="93"/>
        <w:rPr>
          <w:rFonts w:hAnsi="Calibri" w:cs="仿宋"/>
          <w:sz w:val="32"/>
          <w:szCs w:val="32"/>
        </w:rPr>
      </w:pPr>
    </w:p>
    <w:p>
      <w:pPr>
        <w:pStyle w:val="6"/>
        <w:spacing w:before="93"/>
        <w:rPr>
          <w:rFonts w:hAnsi="Calibri" w:cs="仿宋"/>
          <w:sz w:val="32"/>
          <w:szCs w:val="32"/>
        </w:rPr>
      </w:pPr>
    </w:p>
    <w:p>
      <w:pPr>
        <w:pStyle w:val="6"/>
        <w:spacing w:before="93"/>
        <w:rPr>
          <w:rFonts w:hAnsi="Calibri" w:cs="仿宋"/>
          <w:sz w:val="32"/>
          <w:szCs w:val="32"/>
        </w:rPr>
      </w:pPr>
    </w:p>
    <w:p>
      <w:pPr>
        <w:pStyle w:val="6"/>
        <w:spacing w:before="93"/>
        <w:rPr>
          <w:rFonts w:hAnsi="Calibri" w:cs="仿宋"/>
          <w:sz w:val="32"/>
          <w:szCs w:val="32"/>
        </w:rPr>
      </w:pPr>
    </w:p>
    <w:p>
      <w:pPr>
        <w:pStyle w:val="6"/>
        <w:spacing w:before="93"/>
        <w:rPr>
          <w:rFonts w:hAnsi="Calibri" w:cs="仿宋"/>
          <w:sz w:val="32"/>
          <w:szCs w:val="32"/>
        </w:rPr>
      </w:pPr>
    </w:p>
    <w:p>
      <w:pPr>
        <w:pStyle w:val="6"/>
        <w:spacing w:before="93"/>
        <w:rPr>
          <w:rFonts w:hAnsi="Calibri" w:cs="仿宋"/>
          <w:sz w:val="32"/>
          <w:szCs w:val="32"/>
        </w:rPr>
      </w:pPr>
    </w:p>
    <w:p>
      <w:pPr>
        <w:pStyle w:val="6"/>
        <w:spacing w:before="93"/>
        <w:rPr>
          <w:rFonts w:hAnsi="Calibri" w:cs="仿宋"/>
          <w:sz w:val="32"/>
          <w:szCs w:val="32"/>
        </w:rPr>
      </w:pPr>
    </w:p>
    <w:p>
      <w:pPr>
        <w:pStyle w:val="6"/>
        <w:spacing w:before="93"/>
        <w:rPr>
          <w:rFonts w:hAnsi="Calibri" w:cs="仿宋"/>
          <w:sz w:val="32"/>
          <w:szCs w:val="32"/>
        </w:rPr>
      </w:pPr>
    </w:p>
    <w:p>
      <w:pPr>
        <w:pStyle w:val="6"/>
        <w:spacing w:before="93"/>
        <w:rPr>
          <w:rFonts w:hAnsi="Calibri" w:cs="仿宋"/>
          <w:sz w:val="32"/>
          <w:szCs w:val="32"/>
        </w:rPr>
      </w:pPr>
    </w:p>
    <w:p>
      <w:pPr>
        <w:pStyle w:val="6"/>
        <w:spacing w:before="93"/>
        <w:rPr>
          <w:rFonts w:hAnsi="Calibri" w:cs="仿宋"/>
          <w:sz w:val="32"/>
          <w:szCs w:val="32"/>
        </w:rPr>
      </w:pPr>
    </w:p>
    <w:p>
      <w:pPr>
        <w:pStyle w:val="6"/>
        <w:spacing w:before="93"/>
        <w:rPr>
          <w:rFonts w:hAnsi="Calibri" w:cs="仿宋"/>
          <w:sz w:val="32"/>
          <w:szCs w:val="32"/>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7"/>
          <w:rFonts w:hint="eastAsia" w:ascii="黑体" w:hAnsi="黑体" w:eastAsia="黑体"/>
          <w:b w:val="0"/>
        </w:rPr>
        <w:t>五部分 附表</w:t>
      </w:r>
      <w:bookmarkEnd w:id="51"/>
      <w:bookmarkEnd w:id="53"/>
      <w:bookmarkStart w:id="54" w:name="_Toc15396619"/>
    </w:p>
    <w:p>
      <w:pPr>
        <w:pStyle w:val="4"/>
        <w:rPr>
          <w:rFonts w:ascii="仿宋" w:hAnsi="仿宋" w:eastAsia="仿宋"/>
        </w:rPr>
      </w:pPr>
      <w:r>
        <w:rPr>
          <w:rFonts w:hint="eastAsia" w:ascii="仿宋" w:hAnsi="仿宋" w:eastAsia="仿宋"/>
          <w:b w:val="0"/>
        </w:rPr>
        <w:t>一、收</w:t>
      </w:r>
      <w:r>
        <w:rPr>
          <w:rStyle w:val="28"/>
          <w:rFonts w:hint="eastAsia" w:ascii="仿宋" w:hAnsi="仿宋" w:eastAsia="仿宋"/>
          <w:b w:val="0"/>
          <w:bCs w:val="0"/>
        </w:rPr>
        <w:t>入支出决算总表</w:t>
      </w:r>
      <w:bookmarkEnd w:id="54"/>
    </w:p>
    <w:p>
      <w:pPr>
        <w:pStyle w:val="4"/>
        <w:rPr>
          <w:rFonts w:ascii="仿宋" w:hAnsi="仿宋" w:eastAsia="仿宋"/>
        </w:rPr>
      </w:pPr>
      <w:bookmarkStart w:id="55" w:name="_Toc15396620"/>
      <w:r>
        <w:rPr>
          <w:rFonts w:hint="eastAsia" w:ascii="仿宋" w:hAnsi="仿宋" w:eastAsia="仿宋"/>
          <w:b w:val="0"/>
        </w:rPr>
        <w:t>二、收</w:t>
      </w:r>
      <w:r>
        <w:rPr>
          <w:rStyle w:val="28"/>
          <w:rFonts w:hint="eastAsia" w:ascii="仿宋" w:hAnsi="仿宋" w:eastAsia="仿宋"/>
          <w:b w:val="0"/>
          <w:bCs w:val="0"/>
        </w:rPr>
        <w:t>入决算表</w:t>
      </w:r>
      <w:bookmarkEnd w:id="55"/>
    </w:p>
    <w:p>
      <w:pPr>
        <w:pStyle w:val="4"/>
        <w:rPr>
          <w:rFonts w:ascii="仿宋" w:hAnsi="仿宋" w:eastAsia="仿宋"/>
        </w:rPr>
      </w:pPr>
      <w:bookmarkStart w:id="56" w:name="_Toc15396621"/>
      <w:r>
        <w:rPr>
          <w:rStyle w:val="28"/>
          <w:rFonts w:hint="eastAsia" w:ascii="仿宋" w:hAnsi="仿宋" w:eastAsia="仿宋"/>
          <w:b w:val="0"/>
          <w:bCs w:val="0"/>
        </w:rPr>
        <w:t>三、</w:t>
      </w:r>
      <w:r>
        <w:rPr>
          <w:rFonts w:hint="eastAsia" w:ascii="仿宋" w:hAnsi="仿宋" w:eastAsia="仿宋"/>
          <w:b w:val="0"/>
        </w:rPr>
        <w:t>支</w:t>
      </w:r>
      <w:r>
        <w:rPr>
          <w:rStyle w:val="28"/>
          <w:rFonts w:hint="eastAsia" w:ascii="仿宋" w:hAnsi="仿宋" w:eastAsia="仿宋"/>
          <w:b w:val="0"/>
          <w:bCs w:val="0"/>
        </w:rPr>
        <w:t>出决算表</w:t>
      </w:r>
      <w:bookmarkEnd w:id="56"/>
    </w:p>
    <w:p>
      <w:pPr>
        <w:pStyle w:val="4"/>
        <w:rPr>
          <w:rFonts w:ascii="仿宋" w:hAnsi="仿宋" w:eastAsia="仿宋"/>
          <w:b w:val="0"/>
        </w:rPr>
      </w:pPr>
      <w:bookmarkStart w:id="57" w:name="_Toc15396622"/>
      <w:r>
        <w:rPr>
          <w:rStyle w:val="28"/>
          <w:rFonts w:hint="eastAsia" w:ascii="仿宋" w:hAnsi="仿宋" w:eastAsia="仿宋"/>
          <w:b w:val="0"/>
          <w:bCs w:val="0"/>
        </w:rPr>
        <w:t>四、</w:t>
      </w:r>
      <w:r>
        <w:rPr>
          <w:rFonts w:hint="eastAsia" w:ascii="仿宋" w:hAnsi="仿宋" w:eastAsia="仿宋"/>
          <w:b w:val="0"/>
        </w:rPr>
        <w:t>财</w:t>
      </w:r>
      <w:r>
        <w:rPr>
          <w:rStyle w:val="28"/>
          <w:rFonts w:hint="eastAsia" w:ascii="仿宋" w:hAnsi="仿宋" w:eastAsia="仿宋"/>
          <w:b w:val="0"/>
          <w:bCs w:val="0"/>
        </w:rPr>
        <w:t>政拨款收入支出决算总表</w:t>
      </w:r>
      <w:bookmarkEnd w:id="57"/>
    </w:p>
    <w:p>
      <w:pPr>
        <w:pStyle w:val="4"/>
        <w:rPr>
          <w:rStyle w:val="28"/>
          <w:rFonts w:ascii="仿宋" w:hAnsi="仿宋" w:eastAsia="仿宋"/>
          <w:b w:val="0"/>
          <w:bCs w:val="0"/>
        </w:rPr>
      </w:pPr>
      <w:bookmarkStart w:id="58" w:name="_Toc15396623"/>
      <w:r>
        <w:rPr>
          <w:rStyle w:val="28"/>
          <w:rFonts w:hint="eastAsia" w:ascii="仿宋" w:hAnsi="仿宋" w:eastAsia="仿宋"/>
          <w:b w:val="0"/>
          <w:bCs w:val="0"/>
        </w:rPr>
        <w:t>五、</w:t>
      </w:r>
      <w:r>
        <w:rPr>
          <w:rFonts w:hint="eastAsia" w:ascii="仿宋" w:hAnsi="仿宋" w:eastAsia="仿宋"/>
          <w:b w:val="0"/>
        </w:rPr>
        <w:t>财</w:t>
      </w:r>
      <w:r>
        <w:rPr>
          <w:rStyle w:val="28"/>
          <w:rFonts w:hint="eastAsia" w:ascii="仿宋" w:hAnsi="仿宋" w:eastAsia="仿宋"/>
          <w:b w:val="0"/>
          <w:bCs w:val="0"/>
        </w:rPr>
        <w:t>政拨款支出决算明细表</w:t>
      </w:r>
      <w:bookmarkEnd w:id="58"/>
      <w:bookmarkStart w:id="59" w:name="_Toc15396624"/>
    </w:p>
    <w:p>
      <w:pPr>
        <w:pStyle w:val="4"/>
        <w:rPr>
          <w:rFonts w:ascii="仿宋" w:hAnsi="仿宋" w:eastAsia="仿宋"/>
        </w:rPr>
      </w:pPr>
      <w:r>
        <w:rPr>
          <w:rStyle w:val="28"/>
          <w:rFonts w:hint="eastAsia" w:ascii="仿宋" w:hAnsi="仿宋" w:eastAsia="仿宋"/>
          <w:b w:val="0"/>
          <w:bCs w:val="0"/>
        </w:rPr>
        <w:t>六、</w:t>
      </w:r>
      <w:r>
        <w:rPr>
          <w:rFonts w:hint="eastAsia" w:ascii="仿宋" w:hAnsi="仿宋" w:eastAsia="仿宋"/>
          <w:b w:val="0"/>
        </w:rPr>
        <w:t>一</w:t>
      </w:r>
      <w:r>
        <w:rPr>
          <w:rStyle w:val="28"/>
          <w:rFonts w:hint="eastAsia" w:ascii="仿宋" w:hAnsi="仿宋" w:eastAsia="仿宋"/>
          <w:b w:val="0"/>
          <w:bCs w:val="0"/>
        </w:rPr>
        <w:t>般公共预算财政拨款支出决算表</w:t>
      </w:r>
      <w:bookmarkEnd w:id="59"/>
    </w:p>
    <w:p>
      <w:pPr>
        <w:pStyle w:val="4"/>
        <w:rPr>
          <w:rFonts w:ascii="仿宋" w:hAnsi="仿宋" w:eastAsia="仿宋"/>
        </w:rPr>
      </w:pPr>
      <w:bookmarkStart w:id="60" w:name="_Toc15396625"/>
      <w:r>
        <w:rPr>
          <w:rStyle w:val="28"/>
          <w:rFonts w:hint="eastAsia" w:ascii="仿宋" w:hAnsi="仿宋" w:eastAsia="仿宋"/>
          <w:b w:val="0"/>
          <w:bCs w:val="0"/>
        </w:rPr>
        <w:t>七、</w:t>
      </w:r>
      <w:r>
        <w:rPr>
          <w:rFonts w:hint="eastAsia" w:ascii="仿宋" w:hAnsi="仿宋" w:eastAsia="仿宋"/>
          <w:b w:val="0"/>
        </w:rPr>
        <w:t>一</w:t>
      </w:r>
      <w:r>
        <w:rPr>
          <w:rStyle w:val="28"/>
          <w:rFonts w:hint="eastAsia" w:ascii="仿宋" w:hAnsi="仿宋" w:eastAsia="仿宋"/>
          <w:b w:val="0"/>
          <w:bCs w:val="0"/>
        </w:rPr>
        <w:t>般公共预算财政拨款支出决算明细表</w:t>
      </w:r>
      <w:bookmarkEnd w:id="60"/>
    </w:p>
    <w:p>
      <w:pPr>
        <w:pStyle w:val="4"/>
        <w:rPr>
          <w:rFonts w:ascii="仿宋" w:hAnsi="仿宋" w:eastAsia="仿宋"/>
        </w:rPr>
      </w:pPr>
      <w:bookmarkStart w:id="61" w:name="_Toc15396626"/>
      <w:r>
        <w:rPr>
          <w:rStyle w:val="28"/>
          <w:rFonts w:hint="eastAsia" w:ascii="仿宋" w:hAnsi="仿宋" w:eastAsia="仿宋"/>
          <w:b w:val="0"/>
          <w:bCs w:val="0"/>
        </w:rPr>
        <w:t>八、</w:t>
      </w:r>
      <w:r>
        <w:rPr>
          <w:rFonts w:hint="eastAsia" w:ascii="仿宋" w:hAnsi="仿宋" w:eastAsia="仿宋"/>
          <w:b w:val="0"/>
        </w:rPr>
        <w:t>一</w:t>
      </w:r>
      <w:r>
        <w:rPr>
          <w:rStyle w:val="28"/>
          <w:rFonts w:hint="eastAsia" w:ascii="仿宋" w:hAnsi="仿宋" w:eastAsia="仿宋"/>
          <w:b w:val="0"/>
          <w:bCs w:val="0"/>
        </w:rPr>
        <w:t>般公共预算财政拨款基本支出决算表</w:t>
      </w:r>
      <w:bookmarkEnd w:id="61"/>
    </w:p>
    <w:p>
      <w:pPr>
        <w:pStyle w:val="4"/>
        <w:rPr>
          <w:rFonts w:ascii="仿宋" w:hAnsi="仿宋" w:eastAsia="仿宋"/>
        </w:rPr>
      </w:pPr>
      <w:bookmarkStart w:id="62" w:name="_Toc15396627"/>
      <w:r>
        <w:rPr>
          <w:rStyle w:val="28"/>
          <w:rFonts w:hint="eastAsia" w:ascii="仿宋" w:hAnsi="仿宋" w:eastAsia="仿宋"/>
          <w:b w:val="0"/>
          <w:bCs w:val="0"/>
        </w:rPr>
        <w:t>九、</w:t>
      </w:r>
      <w:r>
        <w:rPr>
          <w:rFonts w:hint="eastAsia" w:ascii="仿宋" w:hAnsi="仿宋" w:eastAsia="仿宋"/>
          <w:b w:val="0"/>
        </w:rPr>
        <w:t>一</w:t>
      </w:r>
      <w:r>
        <w:rPr>
          <w:rStyle w:val="28"/>
          <w:rFonts w:hint="eastAsia" w:ascii="仿宋" w:hAnsi="仿宋" w:eastAsia="仿宋"/>
          <w:b w:val="0"/>
          <w:bCs w:val="0"/>
        </w:rPr>
        <w:t>般公共预算财政拨款项目支出决算表</w:t>
      </w:r>
      <w:bookmarkEnd w:id="62"/>
    </w:p>
    <w:p>
      <w:pPr>
        <w:pStyle w:val="4"/>
        <w:rPr>
          <w:rFonts w:hint="eastAsia" w:ascii="仿宋" w:hAnsi="仿宋" w:eastAsia="仿宋"/>
          <w:lang w:eastAsia="zh-CN"/>
        </w:rPr>
      </w:pPr>
      <w:bookmarkStart w:id="63" w:name="_Toc15396628"/>
      <w:r>
        <w:rPr>
          <w:rStyle w:val="28"/>
          <w:rFonts w:hint="eastAsia" w:ascii="仿宋" w:hAnsi="仿宋" w:eastAsia="仿宋"/>
          <w:b w:val="0"/>
          <w:bCs w:val="0"/>
        </w:rPr>
        <w:t>十、</w:t>
      </w:r>
      <w:bookmarkEnd w:id="63"/>
      <w:r>
        <w:rPr>
          <w:rFonts w:hint="eastAsia" w:ascii="仿宋" w:hAnsi="仿宋" w:eastAsia="仿宋"/>
          <w:b w:val="0"/>
        </w:rPr>
        <w:t>政</w:t>
      </w:r>
      <w:r>
        <w:rPr>
          <w:rStyle w:val="28"/>
          <w:rFonts w:hint="eastAsia" w:ascii="仿宋" w:hAnsi="仿宋" w:eastAsia="仿宋"/>
          <w:b w:val="0"/>
          <w:bCs w:val="0"/>
        </w:rPr>
        <w:t>府性基金预算财政拨款收入支出决算表</w:t>
      </w:r>
      <w:r>
        <w:rPr>
          <w:rStyle w:val="28"/>
          <w:rFonts w:hint="eastAsia" w:ascii="仿宋" w:hAnsi="仿宋" w:eastAsia="仿宋"/>
          <w:b w:val="0"/>
          <w:bCs w:val="0"/>
          <w:lang w:eastAsia="zh-CN"/>
        </w:rPr>
        <w:t>（</w:t>
      </w:r>
      <w:r>
        <w:rPr>
          <w:rStyle w:val="28"/>
          <w:rFonts w:hint="eastAsia" w:ascii="仿宋" w:hAnsi="仿宋" w:eastAsia="仿宋"/>
          <w:b w:val="0"/>
          <w:bCs w:val="0"/>
          <w:lang w:val="en-US" w:eastAsia="zh-CN"/>
        </w:rPr>
        <w:t>本表无数据</w:t>
      </w:r>
      <w:r>
        <w:rPr>
          <w:rStyle w:val="28"/>
          <w:rFonts w:hint="eastAsia" w:ascii="仿宋" w:hAnsi="仿宋" w:eastAsia="仿宋"/>
          <w:b w:val="0"/>
          <w:bCs w:val="0"/>
          <w:lang w:eastAsia="zh-CN"/>
        </w:rPr>
        <w:t>）</w:t>
      </w:r>
    </w:p>
    <w:p>
      <w:pPr>
        <w:pStyle w:val="4"/>
        <w:rPr>
          <w:rFonts w:hint="eastAsia" w:ascii="仿宋" w:hAnsi="仿宋" w:eastAsia="仿宋"/>
          <w:lang w:eastAsia="zh-CN"/>
        </w:rPr>
      </w:pPr>
      <w:bookmarkStart w:id="64" w:name="_Toc15396629"/>
      <w:r>
        <w:rPr>
          <w:rStyle w:val="28"/>
          <w:rFonts w:hint="eastAsia" w:ascii="仿宋" w:hAnsi="仿宋" w:eastAsia="仿宋"/>
          <w:b w:val="0"/>
          <w:bCs w:val="0"/>
        </w:rPr>
        <w:t>十一、</w:t>
      </w:r>
      <w:bookmarkEnd w:id="64"/>
      <w:r>
        <w:rPr>
          <w:rFonts w:hint="eastAsia" w:ascii="仿宋" w:hAnsi="仿宋" w:eastAsia="仿宋"/>
          <w:b w:val="0"/>
        </w:rPr>
        <w:t>国</w:t>
      </w:r>
      <w:r>
        <w:rPr>
          <w:rStyle w:val="28"/>
          <w:rFonts w:hint="eastAsia" w:ascii="仿宋" w:hAnsi="仿宋" w:eastAsia="仿宋"/>
          <w:b w:val="0"/>
          <w:bCs w:val="0"/>
        </w:rPr>
        <w:t>有资本经营预算财政拨款收入支出决算表</w:t>
      </w:r>
      <w:r>
        <w:rPr>
          <w:rStyle w:val="28"/>
          <w:rFonts w:hint="eastAsia" w:ascii="仿宋" w:hAnsi="仿宋" w:eastAsia="仿宋"/>
          <w:b w:val="0"/>
          <w:bCs w:val="0"/>
          <w:lang w:eastAsia="zh-CN"/>
        </w:rPr>
        <w:t>（</w:t>
      </w:r>
      <w:r>
        <w:rPr>
          <w:rStyle w:val="28"/>
          <w:rFonts w:hint="eastAsia" w:ascii="仿宋" w:hAnsi="仿宋" w:eastAsia="仿宋"/>
          <w:b w:val="0"/>
          <w:bCs w:val="0"/>
          <w:lang w:val="en-US" w:eastAsia="zh-CN"/>
        </w:rPr>
        <w:t>本表无数据</w:t>
      </w:r>
      <w:r>
        <w:rPr>
          <w:rStyle w:val="28"/>
          <w:rFonts w:hint="eastAsia" w:ascii="仿宋" w:hAnsi="仿宋" w:eastAsia="仿宋"/>
          <w:b w:val="0"/>
          <w:bCs w:val="0"/>
          <w:lang w:eastAsia="zh-CN"/>
        </w:rPr>
        <w:t>）</w:t>
      </w:r>
    </w:p>
    <w:p>
      <w:pPr>
        <w:pStyle w:val="4"/>
        <w:rPr>
          <w:rFonts w:hint="eastAsia" w:ascii="仿宋" w:hAnsi="仿宋" w:eastAsia="仿宋"/>
          <w:lang w:eastAsia="zh-CN"/>
        </w:rPr>
      </w:pPr>
      <w:bookmarkStart w:id="65" w:name="_Toc15396630"/>
      <w:r>
        <w:rPr>
          <w:rStyle w:val="28"/>
          <w:rFonts w:hint="eastAsia" w:ascii="仿宋" w:hAnsi="仿宋" w:eastAsia="仿宋"/>
          <w:b w:val="0"/>
          <w:bCs w:val="0"/>
        </w:rPr>
        <w:t>十二、</w:t>
      </w:r>
      <w:bookmarkEnd w:id="65"/>
      <w:r>
        <w:rPr>
          <w:rStyle w:val="28"/>
          <w:rFonts w:hint="eastAsia" w:ascii="仿宋" w:hAnsi="仿宋" w:eastAsia="仿宋"/>
          <w:b w:val="0"/>
          <w:bCs w:val="0"/>
        </w:rPr>
        <w:t>国有资本经营预算财政拨款支出决算表</w:t>
      </w:r>
      <w:r>
        <w:rPr>
          <w:rStyle w:val="28"/>
          <w:rFonts w:hint="eastAsia" w:ascii="仿宋" w:hAnsi="仿宋" w:eastAsia="仿宋"/>
          <w:b w:val="0"/>
          <w:bCs w:val="0"/>
          <w:lang w:eastAsia="zh-CN"/>
        </w:rPr>
        <w:t>（</w:t>
      </w:r>
      <w:r>
        <w:rPr>
          <w:rStyle w:val="28"/>
          <w:rFonts w:hint="eastAsia" w:ascii="仿宋" w:hAnsi="仿宋" w:eastAsia="仿宋"/>
          <w:b w:val="0"/>
          <w:bCs w:val="0"/>
          <w:lang w:val="en-US" w:eastAsia="zh-CN"/>
        </w:rPr>
        <w:t>本表无数据</w:t>
      </w:r>
      <w:r>
        <w:rPr>
          <w:rStyle w:val="28"/>
          <w:rFonts w:hint="eastAsia" w:ascii="仿宋" w:hAnsi="仿宋" w:eastAsia="仿宋"/>
          <w:b w:val="0"/>
          <w:bCs w:val="0"/>
          <w:lang w:eastAsia="zh-CN"/>
        </w:rPr>
        <w:t>）</w:t>
      </w:r>
    </w:p>
    <w:p>
      <w:pPr>
        <w:pStyle w:val="4"/>
        <w:rPr>
          <w:rFonts w:eastAsia="仿宋"/>
        </w:rPr>
      </w:pPr>
      <w:bookmarkStart w:id="66" w:name="_Toc15396631"/>
      <w:r>
        <w:rPr>
          <w:rStyle w:val="28"/>
          <w:rFonts w:hint="eastAsia" w:ascii="仿宋" w:hAnsi="仿宋" w:eastAsia="仿宋"/>
          <w:b w:val="0"/>
          <w:bCs w:val="0"/>
        </w:rPr>
        <w:t>十三、</w:t>
      </w:r>
      <w:bookmarkEnd w:id="66"/>
      <w:r>
        <w:rPr>
          <w:rStyle w:val="28"/>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18</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0B2A"/>
    <w:rsid w:val="000C3467"/>
    <w:rsid w:val="000C3CA6"/>
    <w:rsid w:val="000D1267"/>
    <w:rsid w:val="000D1D50"/>
    <w:rsid w:val="000D5782"/>
    <w:rsid w:val="000E6613"/>
    <w:rsid w:val="000E7119"/>
    <w:rsid w:val="000F1D4B"/>
    <w:rsid w:val="00114E9B"/>
    <w:rsid w:val="00142216"/>
    <w:rsid w:val="00144D6A"/>
    <w:rsid w:val="0014729F"/>
    <w:rsid w:val="00157BAB"/>
    <w:rsid w:val="001654D1"/>
    <w:rsid w:val="00166E85"/>
    <w:rsid w:val="00174518"/>
    <w:rsid w:val="0018106D"/>
    <w:rsid w:val="001877A7"/>
    <w:rsid w:val="00191536"/>
    <w:rsid w:val="00196687"/>
    <w:rsid w:val="001A1DAD"/>
    <w:rsid w:val="001B359A"/>
    <w:rsid w:val="001C0962"/>
    <w:rsid w:val="001D7531"/>
    <w:rsid w:val="001E737D"/>
    <w:rsid w:val="001F0592"/>
    <w:rsid w:val="001F7506"/>
    <w:rsid w:val="002006CD"/>
    <w:rsid w:val="00202B36"/>
    <w:rsid w:val="00203F7E"/>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013E1"/>
    <w:rsid w:val="003216A9"/>
    <w:rsid w:val="00335A74"/>
    <w:rsid w:val="0036561B"/>
    <w:rsid w:val="0037013F"/>
    <w:rsid w:val="00380C92"/>
    <w:rsid w:val="003A484F"/>
    <w:rsid w:val="003A4883"/>
    <w:rsid w:val="003B0BE0"/>
    <w:rsid w:val="003B0C1B"/>
    <w:rsid w:val="003B688C"/>
    <w:rsid w:val="003C0291"/>
    <w:rsid w:val="003C1D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1476"/>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478F9"/>
    <w:rsid w:val="00B53C56"/>
    <w:rsid w:val="00B57DAF"/>
    <w:rsid w:val="00B77EA6"/>
    <w:rsid w:val="00B81598"/>
    <w:rsid w:val="00B841F1"/>
    <w:rsid w:val="00B863ED"/>
    <w:rsid w:val="00B944D6"/>
    <w:rsid w:val="00B96F71"/>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A6290"/>
    <w:rsid w:val="00CB4E70"/>
    <w:rsid w:val="00CC09B6"/>
    <w:rsid w:val="00CC666F"/>
    <w:rsid w:val="00CD1E3F"/>
    <w:rsid w:val="00CE44F6"/>
    <w:rsid w:val="00CE49DA"/>
    <w:rsid w:val="00CE7B61"/>
    <w:rsid w:val="00D00095"/>
    <w:rsid w:val="00D06D9E"/>
    <w:rsid w:val="00D114F0"/>
    <w:rsid w:val="00D17137"/>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C3A3D"/>
    <w:rsid w:val="00ED1B63"/>
    <w:rsid w:val="00ED3C1F"/>
    <w:rsid w:val="00ED4085"/>
    <w:rsid w:val="00ED420E"/>
    <w:rsid w:val="00ED5B9D"/>
    <w:rsid w:val="00ED6FBE"/>
    <w:rsid w:val="00EE2F57"/>
    <w:rsid w:val="00EF4C34"/>
    <w:rsid w:val="00EF77C6"/>
    <w:rsid w:val="00F033F6"/>
    <w:rsid w:val="00F05438"/>
    <w:rsid w:val="00F1361C"/>
    <w:rsid w:val="00F156F0"/>
    <w:rsid w:val="00F160C7"/>
    <w:rsid w:val="00F2408F"/>
    <w:rsid w:val="00F240E9"/>
    <w:rsid w:val="00F25DCC"/>
    <w:rsid w:val="00F36D8F"/>
    <w:rsid w:val="00F417B1"/>
    <w:rsid w:val="00F45853"/>
    <w:rsid w:val="00F602DF"/>
    <w:rsid w:val="00F754A1"/>
    <w:rsid w:val="00F81FD9"/>
    <w:rsid w:val="00F841AA"/>
    <w:rsid w:val="00F84A94"/>
    <w:rsid w:val="00F87E96"/>
    <w:rsid w:val="00FA23E8"/>
    <w:rsid w:val="00FD3CC1"/>
    <w:rsid w:val="00FF1E02"/>
    <w:rsid w:val="00FF30B4"/>
    <w:rsid w:val="01B81C46"/>
    <w:rsid w:val="03DC2831"/>
    <w:rsid w:val="081B5E94"/>
    <w:rsid w:val="0A2032A3"/>
    <w:rsid w:val="0B8A37D8"/>
    <w:rsid w:val="0EF0370A"/>
    <w:rsid w:val="0F5FFB2F"/>
    <w:rsid w:val="0FFFCF60"/>
    <w:rsid w:val="10C055FF"/>
    <w:rsid w:val="113E2233"/>
    <w:rsid w:val="118107EC"/>
    <w:rsid w:val="11DD6519"/>
    <w:rsid w:val="138A4919"/>
    <w:rsid w:val="138D4CEC"/>
    <w:rsid w:val="16BB723D"/>
    <w:rsid w:val="18015F3F"/>
    <w:rsid w:val="1A8B3290"/>
    <w:rsid w:val="1BE8440E"/>
    <w:rsid w:val="1CA6768D"/>
    <w:rsid w:val="1D155CEE"/>
    <w:rsid w:val="1FDBBF84"/>
    <w:rsid w:val="20F57F95"/>
    <w:rsid w:val="240371BF"/>
    <w:rsid w:val="25711CC6"/>
    <w:rsid w:val="25C741E6"/>
    <w:rsid w:val="272245A6"/>
    <w:rsid w:val="276F80C0"/>
    <w:rsid w:val="27842671"/>
    <w:rsid w:val="287D244D"/>
    <w:rsid w:val="29FD04D3"/>
    <w:rsid w:val="2ABE7A3E"/>
    <w:rsid w:val="2AFF09B6"/>
    <w:rsid w:val="2CA234A8"/>
    <w:rsid w:val="2DA04C33"/>
    <w:rsid w:val="2EFA178C"/>
    <w:rsid w:val="2EFDF86C"/>
    <w:rsid w:val="2F9D17E1"/>
    <w:rsid w:val="30B46D73"/>
    <w:rsid w:val="319F7F4E"/>
    <w:rsid w:val="356A28F1"/>
    <w:rsid w:val="357C035A"/>
    <w:rsid w:val="368732E0"/>
    <w:rsid w:val="368E000D"/>
    <w:rsid w:val="383D272C"/>
    <w:rsid w:val="39AE70AB"/>
    <w:rsid w:val="3A4DCE41"/>
    <w:rsid w:val="3BCB56FA"/>
    <w:rsid w:val="3C0C0783"/>
    <w:rsid w:val="3EE7C2F4"/>
    <w:rsid w:val="3F371B56"/>
    <w:rsid w:val="3F792ED8"/>
    <w:rsid w:val="3F9F3A96"/>
    <w:rsid w:val="3FECA4B2"/>
    <w:rsid w:val="3FF58C48"/>
    <w:rsid w:val="42FF6694"/>
    <w:rsid w:val="460E4151"/>
    <w:rsid w:val="46A0458F"/>
    <w:rsid w:val="47D37C3A"/>
    <w:rsid w:val="48BF60AB"/>
    <w:rsid w:val="493C27E9"/>
    <w:rsid w:val="496F39ED"/>
    <w:rsid w:val="49CC7822"/>
    <w:rsid w:val="49FF41D3"/>
    <w:rsid w:val="4A105351"/>
    <w:rsid w:val="4BE068DB"/>
    <w:rsid w:val="4BF6002B"/>
    <w:rsid w:val="4BFFC6BE"/>
    <w:rsid w:val="4CCB6E9C"/>
    <w:rsid w:val="4ECE2238"/>
    <w:rsid w:val="51DB4B86"/>
    <w:rsid w:val="51F64DB0"/>
    <w:rsid w:val="55333C3E"/>
    <w:rsid w:val="573546A6"/>
    <w:rsid w:val="58AD4E41"/>
    <w:rsid w:val="5ED4287D"/>
    <w:rsid w:val="5F67802D"/>
    <w:rsid w:val="5F7DC4F2"/>
    <w:rsid w:val="5FB36814"/>
    <w:rsid w:val="5FBB8E56"/>
    <w:rsid w:val="5FFB5535"/>
    <w:rsid w:val="608A761B"/>
    <w:rsid w:val="61A712AA"/>
    <w:rsid w:val="64CA39A1"/>
    <w:rsid w:val="67FB760B"/>
    <w:rsid w:val="69630ADE"/>
    <w:rsid w:val="69BD5F13"/>
    <w:rsid w:val="69FB0B4B"/>
    <w:rsid w:val="6BFFE1FB"/>
    <w:rsid w:val="6C4A05C8"/>
    <w:rsid w:val="6C8B03EE"/>
    <w:rsid w:val="6D3B1A89"/>
    <w:rsid w:val="6DB7D8A3"/>
    <w:rsid w:val="6EC78701"/>
    <w:rsid w:val="6F7A5481"/>
    <w:rsid w:val="6FFE07A9"/>
    <w:rsid w:val="70195356"/>
    <w:rsid w:val="71BF4EC2"/>
    <w:rsid w:val="72734D90"/>
    <w:rsid w:val="73142D5D"/>
    <w:rsid w:val="73E75B71"/>
    <w:rsid w:val="7412278C"/>
    <w:rsid w:val="75DDCDA9"/>
    <w:rsid w:val="75FF44B1"/>
    <w:rsid w:val="76A32761"/>
    <w:rsid w:val="77371744"/>
    <w:rsid w:val="77670518"/>
    <w:rsid w:val="777FA627"/>
    <w:rsid w:val="77DF1B5F"/>
    <w:rsid w:val="77EF2D9D"/>
    <w:rsid w:val="79E7B28D"/>
    <w:rsid w:val="7ACFF0C2"/>
    <w:rsid w:val="7AFB9108"/>
    <w:rsid w:val="7BD5340C"/>
    <w:rsid w:val="7BFB19D2"/>
    <w:rsid w:val="7BFD1750"/>
    <w:rsid w:val="7BFDAA1B"/>
    <w:rsid w:val="7CDF9A82"/>
    <w:rsid w:val="7CED518A"/>
    <w:rsid w:val="7CFFA1BD"/>
    <w:rsid w:val="7D2E3F7A"/>
    <w:rsid w:val="7D7F0AB7"/>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6">
    <w:name w:val="Body Text"/>
    <w:basedOn w:val="1"/>
    <w:link w:val="24"/>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0"/>
    <w:semiHidden/>
    <w:unhideWhenUsed/>
    <w:qFormat/>
    <w:uiPriority w:val="99"/>
    <w:rPr>
      <w:sz w:val="18"/>
      <w:szCs w:val="18"/>
    </w:rPr>
  </w:style>
  <w:style w:type="paragraph" w:styleId="10">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Body Text First Indent 2"/>
    <w:basedOn w:val="7"/>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Char"/>
    <w:link w:val="11"/>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Char"/>
    <w:link w:val="10"/>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Char"/>
    <w:link w:val="6"/>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Char"/>
    <w:basedOn w:val="16"/>
    <w:link w:val="3"/>
    <w:qFormat/>
    <w:uiPriority w:val="9"/>
    <w:rPr>
      <w:rFonts w:ascii="Times New Roman" w:hAnsi="Times New Roman"/>
      <w:b/>
      <w:bCs/>
      <w:kern w:val="44"/>
      <w:sz w:val="44"/>
      <w:szCs w:val="44"/>
    </w:rPr>
  </w:style>
  <w:style w:type="character" w:customStyle="1" w:styleId="28">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0">
    <w:name w:val="批注框文本 Char"/>
    <w:basedOn w:val="16"/>
    <w:link w:val="9"/>
    <w:semiHidden/>
    <w:qFormat/>
    <w:uiPriority w:val="99"/>
    <w:rPr>
      <w:rFonts w:ascii="Times New Roman" w:hAnsi="Times New Roman"/>
      <w:kern w:val="2"/>
      <w:sz w:val="18"/>
      <w:szCs w:val="18"/>
    </w:rPr>
  </w:style>
  <w:style w:type="character" w:customStyle="1" w:styleId="31">
    <w:name w:val="标题 3 Char"/>
    <w:basedOn w:val="16"/>
    <w:link w:val="5"/>
    <w:qFormat/>
    <w:uiPriority w:val="9"/>
    <w:rPr>
      <w:rFonts w:ascii="Times New Roman" w:hAnsi="Times New Roman"/>
      <w:b/>
      <w:bCs/>
      <w:kern w:val="2"/>
      <w:sz w:val="32"/>
      <w:szCs w:val="32"/>
    </w:rPr>
  </w:style>
  <w:style w:type="paragraph" w:customStyle="1" w:styleId="32">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
        <c:rich>
          <a:bodyPr/>
          <a:lstStyle/>
          <a:p>
            <a:pPr>
              <a:defRPr/>
            </a:pPr>
          </a:p>
        </c:rich>
      </c:tx>
    </c:title>
    <c:autoTitleDeleted val="0"/>
    <c:plotArea>
      <c:layout>
        <c:manualLayout>
          <c:layoutTarget val="inner"/>
          <c:xMode val="edge"/>
          <c:yMode val="edge"/>
          <c:x val="0.0712"/>
          <c:y val="0.136166666666667"/>
          <c:w val="0.8938"/>
          <c:h val="0.710233333333333"/>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8422.14</c:v>
                </c:pt>
                <c:pt idx="1">
                  <c:v>8079.18</c:v>
                </c:pt>
              </c:numCache>
            </c:numRef>
          </c:val>
        </c:ser>
        <c:dLbls>
          <c:showLegendKey val="0"/>
          <c:showVal val="0"/>
          <c:showCatName val="0"/>
          <c:showSerName val="0"/>
          <c:showPercent val="0"/>
          <c:showBubbleSize val="0"/>
        </c:dLbls>
        <c:gapWidth val="219"/>
        <c:overlap val="-27"/>
        <c:axId val="133348352"/>
        <c:axId val="133354240"/>
      </c:barChart>
      <c:catAx>
        <c:axId val="13334835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3354240"/>
        <c:crosses val="autoZero"/>
        <c:auto val="1"/>
        <c:lblAlgn val="ctr"/>
        <c:lblOffset val="100"/>
        <c:noMultiLvlLbl val="0"/>
      </c:catAx>
      <c:valAx>
        <c:axId val="13335424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33483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本年收入合计</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一般公共预算财政拨款收入（单位：万元）</c:v>
                </c:pt>
              </c:strCache>
            </c:strRef>
          </c:cat>
          <c:val>
            <c:numRef>
              <c:f>Sheet1!$B$2:$B$5</c:f>
              <c:numCache>
                <c:formatCode>General</c:formatCode>
                <c:ptCount val="4"/>
                <c:pt idx="0">
                  <c:v>8079.18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1"/>
        <c:delete val="1"/>
      </c:legendEntry>
      <c:legendEntry>
        <c:idx val="2"/>
        <c:delete val="1"/>
      </c:legendEntry>
      <c:legendEntry>
        <c:idx val="3"/>
        <c:delete val="1"/>
      </c:legendEntry>
      <c:layout>
        <c:manualLayout>
          <c:xMode val="edge"/>
          <c:yMode val="edge"/>
          <c:x val="0.3025625"/>
          <c:y val="0.92133333333333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支出合计</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7184.41</c:v>
                </c:pt>
                <c:pt idx="1">
                  <c:v>894.76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
        <c:rich>
          <a:bodyPr/>
          <a:lstStyle/>
          <a:p>
            <a:pPr>
              <a:defRPr/>
            </a:pPr>
          </a:p>
        </c:rich>
      </c:tx>
    </c:title>
    <c:autoTitleDeleted val="0"/>
    <c:plotArea>
      <c:layout>
        <c:manualLayout>
          <c:layoutTarget val="inner"/>
          <c:xMode val="edge"/>
          <c:yMode val="edge"/>
          <c:x val="0.0749312671832042"/>
          <c:y val="0.133845126835781"/>
          <c:w val="0.893826543364159"/>
          <c:h val="0.709846461949266"/>
        </c:manualLayout>
      </c:layout>
      <c:barChart>
        <c:barDir val="col"/>
        <c:grouping val="clustered"/>
        <c:varyColors val="0"/>
        <c:ser>
          <c:idx val="0"/>
          <c:order val="0"/>
          <c:tx>
            <c:strRef>
              <c:f>Sheet1!$B$1</c:f>
              <c:strCache>
                <c:ptCount val="1"/>
                <c:pt idx="0">
                  <c:v>财政拨款收、支总计（单位：万元）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8422.14</c:v>
                </c:pt>
                <c:pt idx="1">
                  <c:v>8079.18</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Sheet1!$A$2:$A$3</c:f>
              <c:strCache>
                <c:ptCount val="2"/>
                <c:pt idx="0">
                  <c:v>2023年</c:v>
                </c:pt>
                <c:pt idx="1">
                  <c:v>2024年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2023年</c:v>
                </c:pt>
                <c:pt idx="1">
                  <c:v>2024年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259402368"/>
        <c:axId val="259410560"/>
      </c:barChart>
      <c:catAx>
        <c:axId val="25940236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9410560"/>
        <c:crosses val="autoZero"/>
        <c:auto val="1"/>
        <c:lblAlgn val="ctr"/>
        <c:lblOffset val="100"/>
        <c:noMultiLvlLbl val="0"/>
      </c:catAx>
      <c:valAx>
        <c:axId val="25941056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9402368"/>
        <c:crosses val="autoZero"/>
        <c:crossBetween val="between"/>
      </c:valAx>
      <c:spPr>
        <a:noFill/>
        <a:ln>
          <a:noFill/>
        </a:ln>
        <a:effectLst/>
      </c:spPr>
    </c:plotArea>
    <c:legend>
      <c:legendPos val="b"/>
      <c:legendEntry>
        <c:idx val="1"/>
        <c:delete val="1"/>
      </c:legendEntry>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
        <c:rich>
          <a:bodyPr/>
          <a:lstStyle/>
          <a:p>
            <a:pPr>
              <a:defRPr/>
            </a:pPr>
          </a:p>
        </c:rich>
      </c:tx>
    </c:title>
    <c:autoTitleDeleted val="0"/>
    <c:plotArea>
      <c:layout>
        <c:manualLayout>
          <c:layoutTarget val="inner"/>
          <c:xMode val="edge"/>
          <c:yMode val="edge"/>
          <c:x val="0.080575"/>
          <c:y val="0.136507936507936"/>
          <c:w val="0.8938"/>
          <c:h val="0.709507101086048"/>
        </c:manualLayout>
      </c:layout>
      <c:barChart>
        <c:barDir val="col"/>
        <c:grouping val="clustered"/>
        <c:varyColors val="0"/>
        <c:ser>
          <c:idx val="0"/>
          <c:order val="0"/>
          <c:tx>
            <c:strRef>
              <c:f>Sheet1!$B$1</c:f>
              <c:strCache>
                <c:ptCount val="1"/>
                <c:pt idx="0">
                  <c:v>一般公共预算财政拨款支出（单位：万元）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8422.14</c:v>
                </c:pt>
                <c:pt idx="1">
                  <c:v>8079.18</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Sheet1!$A$2:$A$3</c:f>
              <c:strCache>
                <c:ptCount val="2"/>
                <c:pt idx="0">
                  <c:v>2023年</c:v>
                </c:pt>
                <c:pt idx="1">
                  <c:v>2024年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2023年</c:v>
                </c:pt>
                <c:pt idx="1">
                  <c:v>2024年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260114688"/>
        <c:axId val="260152320"/>
      </c:barChart>
      <c:catAx>
        <c:axId val="26011468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0152320"/>
        <c:crosses val="autoZero"/>
        <c:auto val="1"/>
        <c:lblAlgn val="ctr"/>
        <c:lblOffset val="100"/>
        <c:noMultiLvlLbl val="0"/>
      </c:catAx>
      <c:valAx>
        <c:axId val="26015232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0114688"/>
        <c:crosses val="autoZero"/>
        <c:crossBetween val="between"/>
      </c:valAx>
      <c:spPr>
        <a:noFill/>
        <a:ln>
          <a:noFill/>
        </a:ln>
        <a:effectLst/>
      </c:spPr>
    </c:plotArea>
    <c:legend>
      <c:legendPos val="b"/>
      <c:legendEntry>
        <c:idx val="1"/>
        <c:delete val="1"/>
      </c:legendEntry>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公共安全支出</c:v>
                </c:pt>
                <c:pt idx="1">
                  <c:v>社会保障和就业支出</c:v>
                </c:pt>
                <c:pt idx="2">
                  <c:v>住房保障支出</c:v>
                </c:pt>
                <c:pt idx="3">
                  <c:v>卫生健康支出</c:v>
                </c:pt>
              </c:strCache>
            </c:strRef>
          </c:cat>
          <c:val>
            <c:numRef>
              <c:f>Sheet1!$B$2:$B$5</c:f>
              <c:numCache>
                <c:formatCode>@</c:formatCode>
                <c:ptCount val="4"/>
                <c:pt idx="0">
                  <c:v>6041.31</c:v>
                </c:pt>
                <c:pt idx="1">
                  <c:v>1200.91</c:v>
                </c:pt>
                <c:pt idx="2" c:formatCode="General">
                  <c:v>503.31</c:v>
                </c:pt>
                <c:pt idx="3" c:formatCode="General">
                  <c:v>333.65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delete val="1"/>
            </c:dLbl>
            <c:dLbl>
              <c:idx val="1"/>
              <c:layout/>
              <c:dLblPos val="bestFit"/>
              <c:showLegendKey val="0"/>
              <c:showVal val="1"/>
              <c:showCatName val="0"/>
              <c:showSerName val="0"/>
              <c:showPercent val="0"/>
              <c:showBubbleSize val="0"/>
              <c:extLst>
                <c:ext xmlns:c15="http://schemas.microsoft.com/office/drawing/2012/chart" uri="{CE6537A1-D6FC-4f65-9D91-7224C49458BB}"/>
              </c:extLst>
            </c:dLbl>
            <c:dLbl>
              <c:idx val="2"/>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69.12</c:v>
                </c:pt>
                <c:pt idx="2">
                  <c:v>0.17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CACBA4-4FD1-43DA-BD0A-94E3B50E9606}">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20</Pages>
  <Words>6190</Words>
  <Characters>6710</Characters>
  <Lines>13</Lines>
  <Paragraphs>12</Paragraphs>
  <TotalTime>52</TotalTime>
  <ScaleCrop>false</ScaleCrop>
  <LinksUpToDate>false</LinksUpToDate>
  <CharactersWithSpaces>6732</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2024-09-10T15:44:00Z</dcterms:created>
  <dc:creator>曹颖</dc:creator>
  <cp:lastModifiedBy>Lenovo</cp:lastModifiedBy>
  <cp:lastPrinted>2023-08-03T02:35:00Z</cp:lastPrinted>
  <dcterms:modified xsi:type="dcterms:W3CDTF">2025-09-16T01:40:21Z</dcterms:modified>
  <dc:title>四川省***</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KSOTemplateDocerSaveRecord">
    <vt:lpwstr>eyJoZGlkIjoiZTdhNjU2NDJmZjVhZjVmNzI2NGNhZTc5M2YwYjIzM2UiLCJ1c2VySWQiOiIyNzY1NTM3MzkifQ==</vt:lpwstr>
  </property>
  <property fmtid="{D5CDD505-2E9C-101B-9397-08002B2CF9AE}" pid="4" name="ICV">
    <vt:lpwstr>CD4E5E31490244E1A4AA43A12EEB8F0A_12</vt:lpwstr>
  </property>
</Properties>
</file>