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06268"/>
      <w:bookmarkStart w:id="9" w:name="_Toc15377194"/>
      <w:bookmarkStart w:id="10" w:name="_Toc15396476"/>
      <w:bookmarkStart w:id="11" w:name="_Toc15378442"/>
      <w:r>
        <w:rPr>
          <w:rFonts w:hint="eastAsia" w:ascii="方正小标宋简体" w:hAnsi="宋体" w:eastAsia="方正小标宋简体"/>
          <w:color w:val="000000"/>
          <w:sz w:val="72"/>
          <w:szCs w:val="72"/>
        </w:rPr>
        <w:t>攀枝花市公安局部门决算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仿宋" w:hAnsi="仿宋" w:eastAsia="仿宋" w:cstheme="minorBidi"/>
          <w:sz w:val="28"/>
          <w:szCs w:val="28"/>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TOC \o "1-2" \h \z \u </w:instrText>
      </w:r>
      <w:r>
        <w:rPr>
          <w:rFonts w:hint="eastAsia" w:ascii="仿宋" w:hAnsi="仿宋" w:eastAsia="仿宋"/>
          <w:color w:val="000000"/>
          <w:sz w:val="28"/>
          <w:szCs w:val="28"/>
        </w:rPr>
        <w:fldChar w:fldCharType="separate"/>
      </w:r>
    </w:p>
    <w:p>
      <w:pPr>
        <w:pStyle w:val="10"/>
      </w:pPr>
      <w:r>
        <w:rPr>
          <w:rFonts w:hint="eastAsia"/>
        </w:rPr>
        <w:t>公开时间：2019年9月16日</w:t>
      </w:r>
    </w:p>
    <w:p>
      <w:pPr>
        <w:rPr>
          <w:rFonts w:ascii="仿宋" w:hAnsi="仿宋" w:eastAsia="仿宋"/>
          <w:sz w:val="28"/>
          <w:szCs w:val="28"/>
        </w:rPr>
      </w:pPr>
    </w:p>
    <w:p>
      <w:pPr>
        <w:pStyle w:val="10"/>
        <w:rPr>
          <w:rFonts w:cstheme="minorBidi"/>
        </w:rPr>
      </w:pPr>
      <w:r>
        <w:fldChar w:fldCharType="begin"/>
      </w:r>
      <w:r>
        <w:instrText xml:space="preserve"> HYPERLINK \l "_Toc15396599" </w:instrText>
      </w:r>
      <w:r>
        <w:fldChar w:fldCharType="separate"/>
      </w:r>
      <w:r>
        <w:fldChar w:fldCharType="end"/>
      </w:r>
    </w:p>
    <w:p>
      <w:pPr>
        <w:pStyle w:val="10"/>
      </w:pPr>
      <w:r>
        <w:fldChar w:fldCharType="begin"/>
      </w:r>
      <w:r>
        <w:instrText xml:space="preserve"> HYPERLINK \l "_Toc15396602" </w:instrText>
      </w:r>
      <w:r>
        <w:fldChar w:fldCharType="separate"/>
      </w:r>
      <w:r>
        <w:rPr>
          <w:rStyle w:val="15"/>
          <w:rFonts w:hint="eastAsia"/>
        </w:rPr>
        <w:t>第一部分 部门概况</w:t>
      </w:r>
      <w:r>
        <w:rPr>
          <w:rFonts w:hint="eastAsia"/>
        </w:rPr>
        <w:tab/>
      </w:r>
      <w:r>
        <w:rPr>
          <w:rFonts w:hint="eastAsia"/>
        </w:rPr>
        <w:t>4</w:t>
      </w:r>
      <w:r>
        <w:rPr>
          <w:rFonts w:hint="eastAsia"/>
        </w:rP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hint="eastAsia"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hint="eastAsia"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 2018年度部门决算情况说明</w:t>
      </w:r>
      <w:r>
        <w:rPr>
          <w:rFonts w:hint="eastAsia"/>
        </w:rPr>
        <w:tab/>
      </w:r>
      <w:r>
        <w:rPr>
          <w:rFonts w:hint="eastAsia"/>
        </w:rPr>
        <w:t>7</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hint="eastAsia"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hint="eastAsia"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hint="eastAsia"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hint="eastAsia"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hint="eastAsia"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hint="eastAsia" w:ascii="仿宋" w:hAnsi="仿宋" w:eastAsia="仿宋"/>
          <w:sz w:val="28"/>
          <w:szCs w:val="28"/>
        </w:rPr>
        <w:tab/>
      </w:r>
      <w:r>
        <w:rPr>
          <w:rFonts w:hint="eastAsia" w:ascii="仿宋" w:hAnsi="仿宋" w:eastAsia="仿宋"/>
          <w:sz w:val="28"/>
          <w:szCs w:val="28"/>
        </w:rPr>
        <w:t>14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cstheme="majorBidi"/>
          <w:bCs/>
          <w:sz w:val="28"/>
          <w:szCs w:val="28"/>
        </w:rPr>
        <w:t>三公”经费财政拨款支出决算情况说明</w:t>
      </w:r>
      <w:r>
        <w:rPr>
          <w:rFonts w:hint="eastAsia"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hint="eastAsia"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hint="eastAsia"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、预算绩效情况说明</w:t>
      </w:r>
      <w:r>
        <w:rPr>
          <w:rFonts w:hint="eastAsia" w:ascii="仿宋" w:hAnsi="仿宋" w:eastAsia="仿宋"/>
          <w:sz w:val="28"/>
          <w:szCs w:val="28"/>
        </w:rPr>
        <w:tab/>
      </w:r>
      <w:r>
        <w:rPr>
          <w:rFonts w:hint="eastAsia" w:ascii="仿宋" w:hAnsi="仿宋" w:eastAsia="仿宋"/>
          <w:sz w:val="28"/>
          <w:szCs w:val="28"/>
        </w:rPr>
        <w:t>18</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十一</w:t>
      </w:r>
      <w:r>
        <w:rPr>
          <w:rStyle w:val="15"/>
          <w:rFonts w:hint="eastAsia" w:ascii="仿宋" w:hAnsi="仿宋" w:eastAsia="仿宋" w:cstheme="majorBidi"/>
          <w:bCs/>
          <w:sz w:val="28"/>
          <w:szCs w:val="28"/>
        </w:rPr>
        <w:t>、其他重要事项的情况说明</w:t>
      </w:r>
      <w:r>
        <w:rPr>
          <w:rFonts w:hint="eastAsia" w:ascii="仿宋" w:hAnsi="仿宋" w:eastAsia="仿宋"/>
          <w:sz w:val="28"/>
          <w:szCs w:val="28"/>
        </w:rPr>
        <w:tab/>
      </w:r>
      <w:r>
        <w:rPr>
          <w:rFonts w:hint="eastAsia" w:ascii="仿宋" w:hAnsi="仿宋" w:eastAsia="仿宋"/>
          <w:sz w:val="28"/>
          <w:szCs w:val="28"/>
        </w:rPr>
        <w:t>26</w:t>
      </w:r>
      <w:r>
        <w:rPr>
          <w:rFonts w:hint="eastAsia"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rPr>
          <w:rFonts w:hint="eastAsia"/>
        </w:rPr>
        <w:tab/>
      </w:r>
      <w:r>
        <w:rPr>
          <w:rFonts w:hint="eastAsia"/>
        </w:rPr>
        <w:t>28</w:t>
      </w:r>
      <w:r>
        <w:rPr>
          <w:rFonts w:hint="eastAsia"/>
        </w:rP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rPr>
          <w:rFonts w:hint="eastAsia"/>
        </w:rPr>
        <w:tab/>
      </w:r>
      <w:r>
        <w:rPr>
          <w:rFonts w:hint="eastAsia"/>
        </w:rPr>
        <w:t>33</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附件1</w:t>
      </w:r>
      <w:r>
        <w:rPr>
          <w:rFonts w:hint="eastAsia"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附件2</w:t>
      </w:r>
      <w:r>
        <w:rPr>
          <w:rFonts w:hint="eastAsia" w:ascii="仿宋" w:hAnsi="仿宋" w:eastAsia="仿宋"/>
          <w:sz w:val="28"/>
          <w:szCs w:val="28"/>
        </w:rPr>
        <w:tab/>
      </w:r>
      <w:r>
        <w:rPr>
          <w:rFonts w:hint="eastAsia" w:ascii="仿宋" w:hAnsi="仿宋" w:eastAsia="仿宋"/>
          <w:sz w:val="28"/>
          <w:szCs w:val="28"/>
        </w:rPr>
        <w:t>37</w:t>
      </w:r>
      <w:r>
        <w:rPr>
          <w:rFonts w:hint="eastAsia"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rPr>
          <w:rFonts w:hint="eastAsia"/>
        </w:rPr>
        <w:tab/>
      </w:r>
      <w:r>
        <w:rPr>
          <w:rFonts w:hint="eastAsia"/>
        </w:rPr>
        <w:t>41</w:t>
      </w:r>
      <w:r>
        <w:rPr>
          <w:rFonts w:hint="eastAsia"/>
        </w:rP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hint="eastAsia" w:ascii="仿宋" w:hAnsi="仿宋" w:eastAsia="仿宋"/>
          <w:sz w:val="28"/>
          <w:szCs w:val="28"/>
        </w:rPr>
        <w:tab/>
      </w:r>
      <w:r>
        <w:rPr>
          <w:rFonts w:hint="eastAsia" w:ascii="仿宋" w:hAnsi="仿宋" w:eastAsia="仿宋"/>
          <w:sz w:val="28"/>
          <w:szCs w:val="28"/>
        </w:rPr>
        <w:t>41</w:t>
      </w:r>
      <w:r>
        <w:rPr>
          <w:rFonts w:hint="eastAsia" w:ascii="仿宋" w:hAnsi="仿宋" w:eastAsia="仿宋"/>
          <w:sz w:val="28"/>
          <w:szCs w:val="28"/>
        </w:rPr>
        <w:fldChar w:fldCharType="end"/>
      </w:r>
    </w:p>
    <w:p>
      <w:pPr>
        <w:widowControl/>
        <w:jc w:val="left"/>
        <w:rPr>
          <w:rFonts w:ascii="仿宋" w:hAnsi="仿宋" w:eastAsia="仿宋"/>
          <w:color w:val="000000"/>
          <w:sz w:val="28"/>
          <w:szCs w:val="28"/>
        </w:rPr>
      </w:pPr>
      <w:r>
        <w:rPr>
          <w:rFonts w:hint="eastAsia" w:ascii="仿宋" w:hAnsi="仿宋" w:eastAsia="仿宋"/>
          <w:color w:val="000000"/>
          <w:sz w:val="28"/>
          <w:szCs w:val="28"/>
        </w:rPr>
        <w:fldChar w:fldCharType="end"/>
      </w:r>
    </w:p>
    <w:p>
      <w:pPr>
        <w:widowControl/>
        <w:jc w:val="left"/>
        <w:rPr>
          <w:rFonts w:ascii="仿宋_GB2312" w:hAnsi="黑体" w:eastAsia="仿宋_GB2312"/>
          <w:bCs/>
          <w:kern w:val="44"/>
          <w:sz w:val="32"/>
          <w:szCs w:val="32"/>
        </w:rPr>
      </w:pPr>
      <w:bookmarkStart w:id="12" w:name="_Toc15377196"/>
      <w:bookmarkStart w:id="13" w:name="_Toc15396599"/>
      <w:r>
        <w:rPr>
          <w:rFonts w:hint="eastAsia" w:ascii="仿宋_GB2312" w:hAnsi="黑体" w:eastAsia="仿宋_GB2312"/>
          <w:b/>
          <w:sz w:val="32"/>
          <w:szCs w:val="32"/>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w:t>
      </w:r>
      <w:r>
        <w:rPr>
          <w:rFonts w:hint="eastAsia" w:ascii="仿宋" w:hAnsi="仿宋" w:eastAsia="仿宋"/>
          <w:sz w:val="32"/>
          <w:szCs w:val="32"/>
        </w:rPr>
        <w:t>贯彻执行党和国家关于公安工作的路线、方针、政策和法律法规；预防、制止和侦查违法犯罪活动；维护社会治安秩序，制止危害社会治安秩序的行为；指导、检查、监督本辖区公安机关的执法活动；依法管理户口、</w:t>
      </w:r>
      <w:r>
        <w:rPr>
          <w:rFonts w:hint="eastAsia" w:ascii="仿宋" w:hAnsi="仿宋" w:eastAsia="仿宋"/>
          <w:sz w:val="32"/>
          <w:szCs w:val="32"/>
          <w:lang w:eastAsia="zh-CN"/>
        </w:rPr>
        <w:t>居民身份证</w:t>
      </w:r>
      <w:r>
        <w:rPr>
          <w:rFonts w:hint="eastAsia" w:ascii="仿宋" w:hAnsi="仿宋" w:eastAsia="仿宋"/>
          <w:sz w:val="32"/>
          <w:szCs w:val="32"/>
        </w:rPr>
        <w:t>、枪支弹药、管制刀具和易燃易爆、剧毒、放射性等危险物品和特种待业的管理工作；依法管理集会、游行、示威活动；承办政府和上级公安机关交办的其他事项。</w:t>
      </w:r>
    </w:p>
    <w:p>
      <w:pPr>
        <w:snapToGrid w:val="0"/>
        <w:spacing w:line="600" w:lineRule="exact"/>
        <w:ind w:firstLine="640" w:firstLineChars="200"/>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（二）2018年重点工作完成情况</w:t>
      </w:r>
      <w:bookmarkEnd w:id="18"/>
      <w:bookmarkEnd w:id="19"/>
      <w:r>
        <w:rPr>
          <w:rFonts w:hint="eastAsia" w:ascii="仿宋" w:hAnsi="仿宋" w:eastAsia="仿宋"/>
          <w:bCs/>
          <w:color w:val="000000"/>
          <w:sz w:val="32"/>
          <w:szCs w:val="32"/>
        </w:rPr>
        <w:t>。</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2018年以来，在市委、市政府和省公安厅的坚强领导下，全市公安机关坚定以习近平新时代中国特色社会主义思想</w:t>
      </w:r>
      <w:r>
        <w:rPr>
          <w:rFonts w:hint="eastAsia" w:ascii="仿宋" w:hAnsi="仿宋" w:eastAsia="仿宋"/>
          <w:sz w:val="32"/>
          <w:szCs w:val="32"/>
          <w:lang w:eastAsia="zh-CN"/>
        </w:rPr>
        <w:t>和</w:t>
      </w:r>
      <w:r>
        <w:rPr>
          <w:rFonts w:hint="eastAsia" w:ascii="仿宋" w:hAnsi="仿宋" w:eastAsia="仿宋"/>
          <w:sz w:val="32"/>
          <w:szCs w:val="32"/>
        </w:rPr>
        <w:t>党的十九大精神为指导，紧扣省委十一届三次全会和市委十届五次全会决策部署，围绕省厅“一三五”发展战略，着力防风险、保平安、护发展，纵深推进“深化公安改革 争创‘三个一流’”，加快建设智慧公安、打造数据警务、探索康养警务，努力锻造“四讲铁军”和新观念、新作风、新作为、新形象的“四新队伍”，公安工作和队伍建设提档升位，</w:t>
      </w:r>
      <w:bookmarkStart w:id="72" w:name="_GoBack"/>
      <w:bookmarkEnd w:id="72"/>
      <w:r>
        <w:rPr>
          <w:rFonts w:hint="eastAsia" w:ascii="仿宋" w:hAnsi="仿宋" w:eastAsia="仿宋"/>
          <w:sz w:val="32"/>
          <w:szCs w:val="32"/>
        </w:rPr>
        <w:t>为攀枝花改革、发展、稳定大局营造了有利环境。</w:t>
      </w:r>
    </w:p>
    <w:p>
      <w:pPr>
        <w:spacing w:line="600" w:lineRule="exact"/>
        <w:ind w:firstLine="642" w:firstLineChars="200"/>
        <w:rPr>
          <w:rFonts w:ascii="仿宋" w:hAnsi="仿宋" w:eastAsia="仿宋"/>
          <w:color w:val="000000"/>
          <w:sz w:val="32"/>
          <w:szCs w:val="32"/>
        </w:rPr>
      </w:pPr>
      <w:r>
        <w:rPr>
          <w:rFonts w:ascii="仿宋" w:hAnsi="仿宋" w:eastAsia="仿宋"/>
          <w:b/>
          <w:color w:val="000000"/>
          <w:sz w:val="32"/>
          <w:szCs w:val="32"/>
        </w:rPr>
        <w:t>一是科学发展路径更加清晰。</w:t>
      </w:r>
      <w:r>
        <w:rPr>
          <w:rFonts w:ascii="仿宋" w:hAnsi="仿宋" w:eastAsia="仿宋"/>
          <w:color w:val="000000"/>
          <w:sz w:val="32"/>
          <w:szCs w:val="32"/>
        </w:rPr>
        <w:t>紧紧围绕省厅“一三五”发展战略抓谋划抓推进，我市“深化公安改革、争创‘三个一流’”的总体思路和方法路径不断丰富、更加明晰，凝聚了推动我市公安工作进入全省一流方阵的目标动力。</w:t>
      </w:r>
    </w:p>
    <w:p>
      <w:pPr>
        <w:spacing w:line="600" w:lineRule="exact"/>
        <w:ind w:firstLine="642" w:firstLineChars="200"/>
        <w:rPr>
          <w:rFonts w:ascii="仿宋" w:hAnsi="仿宋" w:eastAsia="仿宋"/>
          <w:color w:val="000000"/>
          <w:sz w:val="32"/>
          <w:szCs w:val="32"/>
        </w:rPr>
      </w:pPr>
      <w:r>
        <w:rPr>
          <w:rFonts w:ascii="仿宋" w:hAnsi="仿宋" w:eastAsia="仿宋"/>
          <w:b/>
          <w:color w:val="000000"/>
          <w:sz w:val="32"/>
          <w:szCs w:val="32"/>
        </w:rPr>
        <w:t>二是平安满意指数再攀新高。</w:t>
      </w:r>
      <w:r>
        <w:rPr>
          <w:rFonts w:ascii="仿宋" w:hAnsi="仿宋" w:eastAsia="仿宋"/>
          <w:color w:val="000000"/>
          <w:sz w:val="32"/>
          <w:szCs w:val="32"/>
        </w:rPr>
        <w:t>坚决守住了暴恐活动不在我市打响炸响的底线，有力应对了中美贸易争端、P2P“爆雷”等涉稳风险挑战，圆满完成了重大安保维稳任务，尤其是在今年涉军维稳形势严峻的背景下，</w:t>
      </w:r>
      <w:r>
        <w:rPr>
          <w:rFonts w:ascii="仿宋" w:hAnsi="仿宋" w:eastAsia="仿宋"/>
          <w:sz w:val="32"/>
          <w:szCs w:val="32"/>
        </w:rPr>
        <w:t>实现了“北京不去、本地不聚、网上不炒、跨地不援”的目标，</w:t>
      </w:r>
      <w:r>
        <w:rPr>
          <w:rFonts w:ascii="仿宋" w:hAnsi="仿宋" w:eastAsia="仿宋"/>
          <w:color w:val="000000"/>
          <w:sz w:val="32"/>
          <w:szCs w:val="32"/>
        </w:rPr>
        <w:t>以攀枝花的稳定策应了全省的稳定。刑事、治安案件同比下降16.06%、9.20%，交通、消防、民爆安全监管形势总体平稳，全市社会治安大局持续向好。</w:t>
      </w:r>
    </w:p>
    <w:p>
      <w:pPr>
        <w:spacing w:line="600" w:lineRule="exact"/>
        <w:ind w:firstLine="642" w:firstLineChars="200"/>
        <w:rPr>
          <w:rFonts w:ascii="仿宋" w:hAnsi="仿宋" w:eastAsia="仿宋"/>
          <w:b/>
          <w:color w:val="000000"/>
          <w:sz w:val="32"/>
          <w:szCs w:val="32"/>
        </w:rPr>
      </w:pPr>
      <w:r>
        <w:rPr>
          <w:rFonts w:ascii="仿宋" w:hAnsi="仿宋" w:eastAsia="仿宋"/>
          <w:b/>
          <w:color w:val="000000"/>
          <w:sz w:val="32"/>
          <w:szCs w:val="32"/>
        </w:rPr>
        <w:t>三是深化公安改革亮点纷呈。</w:t>
      </w:r>
      <w:r>
        <w:rPr>
          <w:rFonts w:ascii="仿宋" w:hAnsi="仿宋" w:eastAsia="仿宋"/>
          <w:sz w:val="32"/>
          <w:szCs w:val="32"/>
        </w:rPr>
        <w:t>创新构建“树型发展”理念，优化完善了“8+5”改革体系，</w:t>
      </w:r>
      <w:r>
        <w:rPr>
          <w:rFonts w:ascii="仿宋" w:hAnsi="仿宋" w:eastAsia="仿宋"/>
          <w:color w:val="000000"/>
          <w:sz w:val="32"/>
          <w:szCs w:val="32"/>
        </w:rPr>
        <w:t>被《人民公安报》关注报道；</w:t>
      </w:r>
      <w:r>
        <w:rPr>
          <w:rFonts w:ascii="仿宋" w:hAnsi="仿宋" w:eastAsia="仿宋"/>
          <w:sz w:val="32"/>
          <w:szCs w:val="32"/>
        </w:rPr>
        <w:t>因地制宜、点面结合推动实战指挥体系建设、执法规范化建设和县级公安机关“大部制、大警种”改革，</w:t>
      </w:r>
      <w:r>
        <w:rPr>
          <w:rFonts w:ascii="仿宋" w:hAnsi="仿宋" w:eastAsia="仿宋"/>
          <w:color w:val="000000"/>
          <w:sz w:val="32"/>
          <w:szCs w:val="32"/>
        </w:rPr>
        <w:t>经验在全省得到肯定推广；积极探索交通治堵“杭州模式”本地化样本，已纳入全市交通建设规划。</w:t>
      </w:r>
    </w:p>
    <w:p>
      <w:pPr>
        <w:spacing w:line="600" w:lineRule="exact"/>
        <w:ind w:firstLine="642" w:firstLineChars="200"/>
        <w:rPr>
          <w:rFonts w:ascii="仿宋" w:hAnsi="仿宋" w:eastAsia="仿宋"/>
          <w:color w:val="000000"/>
          <w:sz w:val="32"/>
          <w:szCs w:val="32"/>
        </w:rPr>
      </w:pPr>
      <w:r>
        <w:rPr>
          <w:rFonts w:ascii="仿宋" w:hAnsi="仿宋" w:eastAsia="仿宋"/>
          <w:b/>
          <w:color w:val="000000"/>
          <w:sz w:val="32"/>
          <w:szCs w:val="32"/>
        </w:rPr>
        <w:t>四是基层基础实力不断增强。</w:t>
      </w:r>
      <w:r>
        <w:rPr>
          <w:rFonts w:ascii="仿宋" w:hAnsi="仿宋" w:eastAsia="仿宋"/>
          <w:color w:val="000000"/>
          <w:sz w:val="32"/>
          <w:szCs w:val="32"/>
        </w:rPr>
        <w:t>基建立项达3.7亿元，已完成投资1.1亿元，田房环川一级公安检查站、看守所迁建及“两基地”等</w:t>
      </w:r>
      <w:r>
        <w:rPr>
          <w:rFonts w:ascii="仿宋" w:hAnsi="仿宋" w:eastAsia="仿宋"/>
          <w:bCs/>
          <w:color w:val="000000"/>
          <w:sz w:val="32"/>
          <w:szCs w:val="32"/>
        </w:rPr>
        <w:t>“十二五”期间建设项目100%竣工率；</w:t>
      </w:r>
      <w:r>
        <w:rPr>
          <w:rFonts w:ascii="仿宋" w:hAnsi="仿宋" w:eastAsia="仿宋"/>
          <w:color w:val="000000"/>
          <w:sz w:val="32"/>
          <w:szCs w:val="32"/>
        </w:rPr>
        <w:t>投入9100万元大力推动天网监控、</w:t>
      </w:r>
      <w:r>
        <w:rPr>
          <w:rFonts w:ascii="仿宋" w:hAnsi="仿宋" w:eastAsia="仿宋"/>
          <w:sz w:val="32"/>
          <w:szCs w:val="32"/>
        </w:rPr>
        <w:t>计算机保密技术防范系统、情报合成作战指挥平台</w:t>
      </w:r>
      <w:r>
        <w:rPr>
          <w:rFonts w:ascii="仿宋" w:hAnsi="仿宋" w:eastAsia="仿宋"/>
          <w:color w:val="000000"/>
          <w:sz w:val="32"/>
          <w:szCs w:val="32"/>
        </w:rPr>
        <w:t>等信息化系统建设。</w:t>
      </w:r>
    </w:p>
    <w:p>
      <w:pPr>
        <w:snapToGrid w:val="0"/>
        <w:spacing w:line="600" w:lineRule="exact"/>
        <w:ind w:firstLine="642" w:firstLineChars="200"/>
        <w:rPr>
          <w:rFonts w:ascii="仿宋" w:hAnsi="仿宋" w:eastAsia="仿宋"/>
          <w:sz w:val="32"/>
          <w:szCs w:val="32"/>
        </w:rPr>
      </w:pPr>
      <w:r>
        <w:rPr>
          <w:rFonts w:hint="eastAsia" w:ascii="仿宋" w:hAnsi="仿宋" w:eastAsia="仿宋"/>
          <w:b/>
          <w:sz w:val="32"/>
          <w:szCs w:val="32"/>
        </w:rPr>
        <w:t>五</w:t>
      </w:r>
      <w:r>
        <w:rPr>
          <w:rFonts w:ascii="仿宋" w:hAnsi="仿宋" w:eastAsia="仿宋"/>
          <w:b/>
          <w:sz w:val="32"/>
          <w:szCs w:val="32"/>
        </w:rPr>
        <w:t>是警队专业素养持续提升。</w:t>
      </w:r>
      <w:r>
        <w:rPr>
          <w:rFonts w:ascii="仿宋" w:hAnsi="仿宋" w:eastAsia="仿宋"/>
          <w:sz w:val="32"/>
          <w:szCs w:val="32"/>
        </w:rPr>
        <w:t>自主开展的大</w:t>
      </w:r>
      <w:r>
        <w:rPr>
          <w:rFonts w:hint="eastAsia" w:ascii="仿宋" w:hAnsi="仿宋" w:eastAsia="仿宋"/>
          <w:sz w:val="32"/>
          <w:szCs w:val="32"/>
        </w:rPr>
        <w:t>型</w:t>
      </w:r>
      <w:r>
        <w:rPr>
          <w:rFonts w:ascii="仿宋" w:hAnsi="仿宋" w:eastAsia="仿宋"/>
          <w:sz w:val="32"/>
          <w:szCs w:val="32"/>
        </w:rPr>
        <w:t>调研 “十个一”活动相继被《人民网》和《四川日报》报道，主导推动的康养警务战略课题，被省委列为我市19个重点研究课题之一；情报作战、特警专业比武进入全省一流行列，获得了全国一等车管所、全国一级戒毒所“国字号”荣誉，</w:t>
      </w:r>
      <w:r>
        <w:rPr>
          <w:rFonts w:hint="eastAsia" w:ascii="仿宋" w:hAnsi="仿宋" w:eastAsia="仿宋"/>
          <w:sz w:val="32"/>
          <w:szCs w:val="32"/>
        </w:rPr>
        <w:t>13</w:t>
      </w:r>
      <w:r>
        <w:rPr>
          <w:rFonts w:ascii="仿宋" w:hAnsi="仿宋" w:eastAsia="仿宋"/>
          <w:sz w:val="32"/>
          <w:szCs w:val="32"/>
        </w:rPr>
        <w:t>5个集体、628名个人受到省、市级表彰奖励。</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640" w:firstLineChars="200"/>
        <w:rPr>
          <w:rFonts w:ascii="仿宋" w:hAnsi="仿宋" w:eastAsia="仿宋"/>
          <w:sz w:val="32"/>
          <w:szCs w:val="32"/>
        </w:rPr>
      </w:pPr>
      <w:r>
        <w:rPr>
          <w:rFonts w:hint="eastAsia" w:ascii="仿宋" w:hAnsi="仿宋" w:eastAsia="仿宋"/>
          <w:sz w:val="32"/>
          <w:szCs w:val="32"/>
        </w:rPr>
        <w:t>攀枝花市公安局设立一级预算核算单位1个，二级预算核算单位3个，其中一级预算单位为攀枝花市公安局本级（不含交警支队）下设分局、支队、科等36个部门。</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纳入攀枝花市公安局2018年度部门决算编制范围的二级预算单位包括：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06276"/>
      <w:bookmarkStart w:id="23" w:name="_Toc15377433"/>
      <w:bookmarkStart w:id="24" w:name="_Toc15377202"/>
      <w:bookmarkStart w:id="25" w:name="_Toc15378449"/>
      <w:r>
        <w:rPr>
          <w:rFonts w:hint="eastAsia" w:ascii="仿宋" w:hAnsi="仿宋" w:eastAsia="仿宋"/>
          <w:color w:val="000000"/>
          <w:sz w:val="32"/>
          <w:szCs w:val="32"/>
        </w:rPr>
        <w:t>攀枝花公安局东区分局下设科、室、所、队19个部门</w:t>
      </w:r>
      <w:bookmarkEnd w:id="22"/>
      <w:bookmarkEnd w:id="23"/>
      <w:bookmarkEnd w:id="24"/>
      <w:bookmarkEnd w:id="25"/>
      <w:r>
        <w:rPr>
          <w:rFonts w:hint="eastAsia" w:ascii="仿宋" w:hAnsi="仿宋" w:eastAsia="仿宋"/>
          <w:color w:val="000000"/>
          <w:sz w:val="32"/>
          <w:szCs w:val="32"/>
        </w:rPr>
        <w:t>。</w:t>
      </w:r>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6" w:name="_Toc15377434"/>
      <w:bookmarkStart w:id="27" w:name="_Toc15306277"/>
      <w:bookmarkStart w:id="28" w:name="_Toc15377203"/>
      <w:bookmarkStart w:id="29" w:name="_Toc15378450"/>
      <w:r>
        <w:rPr>
          <w:rFonts w:hint="eastAsia" w:ascii="仿宋" w:hAnsi="仿宋" w:eastAsia="仿宋"/>
          <w:sz w:val="32"/>
          <w:szCs w:val="32"/>
        </w:rPr>
        <w:t>攀枝花市公安局仁和分局内设机构25个</w:t>
      </w:r>
      <w:bookmarkEnd w:id="26"/>
      <w:bookmarkEnd w:id="27"/>
      <w:bookmarkEnd w:id="28"/>
      <w:bookmarkEnd w:id="29"/>
      <w:r>
        <w:rPr>
          <w:rFonts w:hint="eastAsia" w:ascii="仿宋" w:hAnsi="仿宋" w:eastAsia="仿宋"/>
          <w:sz w:val="32"/>
          <w:szCs w:val="32"/>
        </w:rPr>
        <w:t>。</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sz w:val="32"/>
          <w:szCs w:val="32"/>
        </w:rPr>
        <w:t>攀枝花市公安局西区分局下设8个派出所、5个业务大队和4个综合科室，共有17个科室所队。</w:t>
      </w:r>
    </w:p>
    <w:p>
      <w:pPr>
        <w:pStyle w:val="5"/>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sz w:val="32"/>
          <w:szCs w:val="32"/>
        </w:rPr>
        <w:t>以上4个单位均为行政单位，执行行政事业单位会计制度。</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30" w:name="_Toc15396602"/>
      <w:bookmarkStart w:id="31" w:name="_Toc15377204"/>
      <w:r>
        <w:rPr>
          <w:rFonts w:hint="eastAsia" w:ascii="黑体" w:hAnsi="黑体" w:eastAsia="黑体"/>
          <w:b w:val="0"/>
          <w:color w:val="000000"/>
        </w:rPr>
        <w:t>第二部分</w:t>
      </w:r>
      <w:r>
        <w:rPr>
          <w:rStyle w:val="24"/>
          <w:rFonts w:hint="eastAsia" w:ascii="黑体" w:hAnsi="黑体" w:eastAsia="黑体"/>
          <w:b w:val="0"/>
          <w:bCs w:val="0"/>
        </w:rPr>
        <w:t>2018年度部门决算情况说明</w:t>
      </w:r>
      <w:bookmarkEnd w:id="30"/>
      <w:bookmarkEnd w:id="31"/>
    </w:p>
    <w:p/>
    <w:p>
      <w:pPr>
        <w:pStyle w:val="23"/>
        <w:numPr>
          <w:ilvl w:val="0"/>
          <w:numId w:val="2"/>
        </w:numPr>
        <w:spacing w:line="600" w:lineRule="exact"/>
        <w:ind w:firstLineChars="0"/>
        <w:outlineLvl w:val="1"/>
        <w:rPr>
          <w:rStyle w:val="25"/>
          <w:rFonts w:ascii="黑体" w:hAnsi="黑体" w:eastAsia="黑体"/>
          <w:b w:val="0"/>
        </w:rPr>
      </w:pPr>
      <w:bookmarkStart w:id="32" w:name="_Toc15377205"/>
      <w:bookmarkStart w:id="33"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2"/>
      <w:bookmarkEnd w:id="33"/>
    </w:p>
    <w:p>
      <w:pPr>
        <w:ind w:firstLine="640" w:firstLineChars="200"/>
        <w:rPr>
          <w:rFonts w:ascii="仿宋" w:hAnsi="仿宋" w:eastAsia="仿宋" w:cs="Arial"/>
          <w:color w:val="000000"/>
          <w:kern w:val="0"/>
          <w:sz w:val="22"/>
          <w:szCs w:val="22"/>
        </w:rPr>
      </w:pPr>
      <w:r>
        <w:rPr>
          <w:rFonts w:hint="eastAsia" w:ascii="仿宋" w:hAnsi="仿宋" w:eastAsia="仿宋"/>
          <w:color w:val="000000"/>
          <w:sz w:val="32"/>
          <w:szCs w:val="32"/>
        </w:rPr>
        <w:t>2018年度收入总计59709.44万元、支出总计</w:t>
      </w:r>
      <w:r>
        <w:rPr>
          <w:rFonts w:hint="eastAsia" w:ascii="仿宋" w:hAnsi="仿宋" w:eastAsia="仿宋" w:cs="Arial"/>
          <w:color w:val="000000"/>
          <w:kern w:val="0"/>
          <w:sz w:val="32"/>
          <w:szCs w:val="32"/>
        </w:rPr>
        <w:t>59709.44</w:t>
      </w:r>
      <w:r>
        <w:rPr>
          <w:rFonts w:hint="eastAsia" w:ascii="仿宋" w:hAnsi="仿宋" w:eastAsia="仿宋"/>
          <w:color w:val="000000"/>
          <w:sz w:val="32"/>
          <w:szCs w:val="32"/>
        </w:rPr>
        <w:t>万元。与2017年相比，收支总计增加9147.85万元，同比增长18%。主要变动原因是</w:t>
      </w:r>
      <w:r>
        <w:rPr>
          <w:rFonts w:hint="eastAsia" w:ascii="仿宋" w:hAnsi="仿宋" w:eastAsia="仿宋" w:cs="宋体"/>
          <w:color w:val="000000"/>
          <w:kern w:val="0"/>
          <w:sz w:val="32"/>
          <w:szCs w:val="32"/>
        </w:rPr>
        <w:t>城市建设天网二期租赁费增加。</w:t>
      </w:r>
    </w:p>
    <w:p>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（图1：收、支决算总计变动情况图，单位：万元）</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1" locked="0" layoutInCell="1" allowOverlap="1">
            <wp:simplePos x="0" y="0"/>
            <wp:positionH relativeFrom="column">
              <wp:posOffset>352425</wp:posOffset>
            </wp:positionH>
            <wp:positionV relativeFrom="paragraph">
              <wp:posOffset>178435</wp:posOffset>
            </wp:positionV>
            <wp:extent cx="5010150" cy="2828925"/>
            <wp:effectExtent l="0" t="0" r="19050" b="9525"/>
            <wp:wrapTight wrapText="bothSides">
              <wp:wrapPolygon>
                <wp:start x="0" y="0"/>
                <wp:lineTo x="0" y="21527"/>
                <wp:lineTo x="21600" y="21527"/>
                <wp:lineTo x="21600"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34" w:name="_Toc15377206"/>
      <w:bookmarkStart w:id="3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34"/>
      <w:bookmarkEnd w:id="3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8年本年收入合计59101.67万元，其中：一般公共预算财政拨款收入50348.97万元，占85.19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；政府性基金预算财政拨款收入2593.48万元，占4.39</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；其他收入6159.22万元，占10.42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（图2：收入决算结构图，单位：万元）</w:t>
      </w: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0288" behindDoc="1" locked="0" layoutInCell="1" allowOverlap="1">
            <wp:simplePos x="0" y="0"/>
            <wp:positionH relativeFrom="column">
              <wp:posOffset>352425</wp:posOffset>
            </wp:positionH>
            <wp:positionV relativeFrom="paragraph">
              <wp:posOffset>276225</wp:posOffset>
            </wp:positionV>
            <wp:extent cx="5276850" cy="2876550"/>
            <wp:effectExtent l="0" t="0" r="19050" b="19050"/>
            <wp:wrapTight wrapText="bothSides">
              <wp:wrapPolygon>
                <wp:start x="0" y="0"/>
                <wp:lineTo x="0" y="21600"/>
                <wp:lineTo x="21600" y="21600"/>
                <wp:lineTo x="21600"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36" w:name="_Toc15396605"/>
      <w:bookmarkStart w:id="37"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36"/>
      <w:bookmarkEnd w:id="37"/>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8年本年支出合计57348.61万元，其中：基本支出39408.87万元，占68.72</w:t>
      </w:r>
      <w:r>
        <w:rPr>
          <w:rFonts w:ascii="仿宋" w:hAnsi="仿宋" w:eastAsia="仿宋"/>
          <w:color w:val="000000"/>
          <w:sz w:val="32"/>
          <w:szCs w:val="32"/>
        </w:rPr>
        <w:t>%</w:t>
      </w:r>
      <w:r>
        <w:rPr>
          <w:rFonts w:hint="eastAsia" w:ascii="仿宋" w:hAnsi="仿宋" w:eastAsia="仿宋"/>
          <w:color w:val="000000"/>
          <w:sz w:val="32"/>
          <w:szCs w:val="32"/>
        </w:rPr>
        <w:t>；项目支出17939.74万元，占31.28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（图3：支出决算结构图，单位：万元）</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1312" behindDoc="1" locked="0" layoutInCell="1" allowOverlap="1">
            <wp:simplePos x="0" y="0"/>
            <wp:positionH relativeFrom="column">
              <wp:posOffset>295275</wp:posOffset>
            </wp:positionH>
            <wp:positionV relativeFrom="paragraph">
              <wp:posOffset>52705</wp:posOffset>
            </wp:positionV>
            <wp:extent cx="4238625" cy="2952750"/>
            <wp:effectExtent l="0" t="0" r="9525" b="19050"/>
            <wp:wrapTight wrapText="bothSides">
              <wp:wrapPolygon>
                <wp:start x="0" y="0"/>
                <wp:lineTo x="0" y="21600"/>
                <wp:lineTo x="21551" y="21600"/>
                <wp:lineTo x="21551"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8" w:name="_Toc15377208"/>
      <w:bookmarkStart w:id="39"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8"/>
      <w:bookmarkEnd w:id="3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8年财政拨款收、支总计53550.16万元。与</w:t>
      </w:r>
      <w:r>
        <w:rPr>
          <w:rFonts w:ascii="仿宋" w:hAnsi="仿宋" w:eastAsia="仿宋"/>
          <w:color w:val="000000"/>
          <w:sz w:val="32"/>
          <w:szCs w:val="32"/>
        </w:rPr>
        <w:t>201</w:t>
      </w:r>
      <w:r>
        <w:rPr>
          <w:rFonts w:hint="eastAsia" w:ascii="仿宋" w:hAnsi="仿宋" w:eastAsia="仿宋"/>
          <w:color w:val="000000"/>
          <w:sz w:val="32"/>
          <w:szCs w:val="32"/>
        </w:rPr>
        <w:t>7年相比，财政拨款收入总计增加4677.01万元、支出总计增加4677.02万元，增长9.57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cs="宋体"/>
          <w:color w:val="000000"/>
          <w:kern w:val="0"/>
          <w:sz w:val="32"/>
          <w:szCs w:val="32"/>
        </w:rPr>
        <w:t>城市建设天网二期租赁费增加。</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（图4：财政拨款收、支决算总计变动情况，单位：万元）</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2336" behindDoc="1" locked="0" layoutInCell="1" allowOverlap="1">
            <wp:simplePos x="0" y="0"/>
            <wp:positionH relativeFrom="column">
              <wp:posOffset>466725</wp:posOffset>
            </wp:positionH>
            <wp:positionV relativeFrom="paragraph">
              <wp:posOffset>19050</wp:posOffset>
            </wp:positionV>
            <wp:extent cx="4886325" cy="2419350"/>
            <wp:effectExtent l="0" t="0" r="9525" b="19050"/>
            <wp:wrapTight wrapText="bothSides">
              <wp:wrapPolygon>
                <wp:start x="0" y="0"/>
                <wp:lineTo x="0" y="21600"/>
                <wp:lineTo x="21558" y="21600"/>
                <wp:lineTo x="21558" y="0"/>
                <wp:lineTo x="0"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Style w:val="25"/>
          <w:rFonts w:ascii="黑体" w:hAnsi="黑体" w:eastAsia="黑体"/>
          <w:b w:val="0"/>
        </w:rPr>
      </w:pPr>
      <w:bookmarkStart w:id="40" w:name="_Toc15396607"/>
      <w:bookmarkStart w:id="4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40"/>
      <w:bookmarkEnd w:id="41"/>
    </w:p>
    <w:p>
      <w:pPr>
        <w:spacing w:line="600" w:lineRule="exact"/>
        <w:ind w:firstLine="642" w:firstLineChars="200"/>
        <w:outlineLvl w:val="2"/>
        <w:rPr>
          <w:rFonts w:ascii="仿宋" w:hAnsi="仿宋" w:eastAsia="仿宋"/>
          <w:b/>
          <w:color w:val="000000"/>
          <w:sz w:val="32"/>
          <w:szCs w:val="32"/>
        </w:rPr>
      </w:pPr>
      <w:bookmarkStart w:id="42" w:name="_Toc15377210"/>
      <w:r>
        <w:rPr>
          <w:rFonts w:hint="eastAsia" w:ascii="仿宋" w:hAnsi="仿宋" w:eastAsia="仿宋"/>
          <w:b/>
          <w:color w:val="000000"/>
          <w:sz w:val="32"/>
          <w:szCs w:val="32"/>
        </w:rPr>
        <w:t>（一）一般公共预算财政拨款支出决算总体情况</w:t>
      </w:r>
      <w:bookmarkEnd w:id="4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8年一般公共预算财政拨款支出49051.76万元，占本年支出合计的85.53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7年相比，一般公共预算财政拨款增加3398.26万元，增长7.44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cs="宋体"/>
          <w:color w:val="000000"/>
          <w:kern w:val="0"/>
          <w:sz w:val="32"/>
          <w:szCs w:val="32"/>
        </w:rPr>
        <w:t>城市建设天网二期租赁费增加。</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（图5：一般公共预算财政拨款支出决算变动情况，单位：万元）</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47625</wp:posOffset>
            </wp:positionH>
            <wp:positionV relativeFrom="paragraph">
              <wp:posOffset>123825</wp:posOffset>
            </wp:positionV>
            <wp:extent cx="5274310" cy="3076575"/>
            <wp:effectExtent l="0" t="0" r="21590" b="952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2" w:firstLineChars="200"/>
        <w:outlineLvl w:val="2"/>
        <w:rPr>
          <w:rFonts w:ascii="仿宋" w:hAnsi="仿宋" w:eastAsia="仿宋"/>
          <w:b/>
          <w:color w:val="000000"/>
          <w:sz w:val="32"/>
          <w:szCs w:val="32"/>
        </w:rPr>
      </w:pPr>
      <w:bookmarkStart w:id="43" w:name="_Toc15377211"/>
      <w:r>
        <w:rPr>
          <w:rFonts w:hint="eastAsia" w:ascii="仿宋" w:hAnsi="仿宋" w:eastAsia="仿宋"/>
          <w:b/>
          <w:color w:val="000000"/>
          <w:sz w:val="32"/>
          <w:szCs w:val="32"/>
        </w:rPr>
        <w:t>（二）一般公共预算财政拨款支出决算结构情况</w:t>
      </w:r>
      <w:bookmarkEnd w:id="43"/>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政拨款支出49051.76万元，主要用于以下方面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支出6.76万元，占0.01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公共安全支出（类）</w:t>
      </w:r>
      <w:r>
        <w:rPr>
          <w:rFonts w:hint="eastAsia" w:ascii="仿宋" w:hAnsi="仿宋" w:eastAsia="仿宋"/>
          <w:color w:val="000000" w:themeColor="text1"/>
          <w:sz w:val="32"/>
          <w:szCs w:val="32"/>
        </w:rPr>
        <w:t>41306.04万元，占84.21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文化体育与传媒支出（类）</w:t>
      </w:r>
      <w:r>
        <w:rPr>
          <w:rFonts w:hint="eastAsia" w:ascii="仿宋" w:hAnsi="仿宋" w:eastAsia="仿宋"/>
          <w:color w:val="000000" w:themeColor="text1"/>
          <w:sz w:val="32"/>
          <w:szCs w:val="32"/>
        </w:rPr>
        <w:t>支出5万元，占0.01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支出4941.81万元，占10.08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医疗卫生与计划生育支出</w:t>
      </w:r>
      <w:r>
        <w:rPr>
          <w:rFonts w:hint="eastAsia" w:ascii="仿宋" w:hAnsi="仿宋" w:eastAsia="仿宋"/>
          <w:color w:val="000000" w:themeColor="text1"/>
          <w:sz w:val="32"/>
          <w:szCs w:val="32"/>
        </w:rPr>
        <w:t>1万元，占0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城乡社区支出</w:t>
      </w:r>
      <w:r>
        <w:rPr>
          <w:rFonts w:hint="eastAsia" w:ascii="仿宋" w:hAnsi="仿宋" w:eastAsia="仿宋"/>
          <w:color w:val="000000" w:themeColor="text1"/>
          <w:sz w:val="32"/>
          <w:szCs w:val="32"/>
        </w:rPr>
        <w:t>128万元，占0.26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w:t>
      </w:r>
      <w:r>
        <w:rPr>
          <w:rFonts w:hint="eastAsia" w:ascii="仿宋" w:hAnsi="仿宋" w:eastAsia="仿宋"/>
          <w:color w:val="000000" w:themeColor="text1"/>
          <w:sz w:val="32"/>
          <w:szCs w:val="32"/>
        </w:rPr>
        <w:t>2663.15万元，占5.43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（图6：一般公共预算财政拨款支出决算结构，单位：万元）（饼状图）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47625</wp:posOffset>
            </wp:positionH>
            <wp:positionV relativeFrom="paragraph">
              <wp:posOffset>-66675</wp:posOffset>
            </wp:positionV>
            <wp:extent cx="5274310" cy="3076575"/>
            <wp:effectExtent l="0" t="0" r="21590" b="952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2" w:firstLineChars="200"/>
        <w:outlineLvl w:val="2"/>
        <w:rPr>
          <w:rFonts w:ascii="仿宋" w:hAnsi="仿宋" w:eastAsia="仿宋"/>
          <w:b/>
          <w:color w:val="000000"/>
          <w:sz w:val="32"/>
          <w:szCs w:val="32"/>
        </w:rPr>
      </w:pPr>
      <w:bookmarkStart w:id="44" w:name="_Toc15377212"/>
      <w:r>
        <w:rPr>
          <w:rFonts w:hint="eastAsia" w:ascii="仿宋" w:hAnsi="仿宋" w:eastAsia="仿宋"/>
          <w:b/>
          <w:color w:val="000000"/>
          <w:sz w:val="32"/>
          <w:szCs w:val="32"/>
        </w:rPr>
        <w:t>（三）一般公共预算财政拨款支出决算具体情况</w:t>
      </w:r>
      <w:bookmarkEnd w:id="44"/>
    </w:p>
    <w:p>
      <w:pPr>
        <w:spacing w:line="600" w:lineRule="exact"/>
        <w:ind w:firstLine="642" w:firstLineChars="200"/>
        <w:outlineLvl w:val="2"/>
        <w:rPr>
          <w:rFonts w:ascii="仿宋" w:hAnsi="仿宋" w:eastAsia="仿宋"/>
          <w:color w:val="FF0000"/>
          <w:sz w:val="32"/>
          <w:szCs w:val="32"/>
        </w:rPr>
      </w:pPr>
      <w:bookmarkStart w:id="45" w:name="_Toc15377213"/>
      <w:bookmarkStart w:id="46" w:name="_Toc15378460"/>
      <w:bookmarkStart w:id="47" w:name="_Toc15377444"/>
      <w:r>
        <w:rPr>
          <w:rFonts w:hint="eastAsia" w:ascii="仿宋" w:hAnsi="仿宋" w:eastAsia="仿宋"/>
          <w:b/>
          <w:color w:val="000000" w:themeColor="text1"/>
          <w:sz w:val="32"/>
          <w:szCs w:val="32"/>
        </w:rPr>
        <w:t>2018年般公共预算支出决算数为</w:t>
      </w:r>
      <w:r>
        <w:rPr>
          <w:rFonts w:hint="eastAsia" w:ascii="仿宋" w:hAnsi="仿宋" w:eastAsia="仿宋"/>
          <w:color w:val="000000" w:themeColor="text1"/>
          <w:sz w:val="32"/>
          <w:szCs w:val="32"/>
        </w:rPr>
        <w:t>49051.76万元，</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预算96.26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45"/>
      <w:bookmarkEnd w:id="46"/>
      <w:bookmarkEnd w:id="47"/>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color w:val="000000"/>
          <w:sz w:val="32"/>
          <w:szCs w:val="32"/>
        </w:rPr>
        <w:t>一般公共服务支出-政府办公厅（室）及相关机构事务-信访事务</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color w:val="000000"/>
          <w:sz w:val="32"/>
          <w:szCs w:val="32"/>
        </w:rPr>
        <w:t>一般公共服务支出-组织事务-其他组织事务支出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支出决算为3.76万元，完成预算100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color w:val="000000"/>
          <w:sz w:val="32"/>
          <w:szCs w:val="32"/>
        </w:rPr>
        <w:t>公共安全支出-公安-行政运行</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支出决算为31689.29万元，完成预算100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color w:val="000000"/>
          <w:sz w:val="32"/>
          <w:szCs w:val="32"/>
        </w:rPr>
        <w:t>公共安全支出-公安-一般行政管理事务</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支出决算为5814.63万元，完成预算87.44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，决算数小于预算数的主要原因是中央和省级转移支付装备购置，采购周期长设备未安装完毕，资金尚未支付。</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color w:val="000000"/>
          <w:sz w:val="32"/>
          <w:szCs w:val="32"/>
        </w:rPr>
        <w:t>公共安全支出-公安-刑事侦查</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Style w:val="14"/>
          <w:rFonts w:hint="eastAsia" w:ascii="仿宋" w:hAnsi="仿宋" w:eastAsia="仿宋"/>
          <w:color w:val="000000"/>
          <w:sz w:val="32"/>
          <w:szCs w:val="32"/>
        </w:rPr>
        <w:t>公共安全支出-公安-出入境管理</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color w:val="000000"/>
          <w:sz w:val="32"/>
          <w:szCs w:val="32"/>
        </w:rPr>
        <w:t>公共安全支出-公安-禁毒管理</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支出决算为185.4万元，完成预算74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，决算数小于预算数的主要原因是禁毒专用设备购置正在挂网招标阶段，资金尚未支付。</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color w:val="000000"/>
          <w:sz w:val="32"/>
          <w:szCs w:val="32"/>
        </w:rPr>
        <w:t>公共安全支出-公安-反恐怖</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支出决算为0.9万元，完成预算100%，决算数等于预算数。</w:t>
      </w:r>
    </w:p>
    <w:p>
      <w:pPr>
        <w:spacing w:line="600" w:lineRule="exact"/>
        <w:ind w:firstLine="642"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Style w:val="14"/>
          <w:rFonts w:hint="eastAsia" w:ascii="仿宋" w:hAnsi="仿宋" w:eastAsia="仿宋"/>
          <w:color w:val="000000"/>
          <w:sz w:val="32"/>
          <w:szCs w:val="32"/>
        </w:rPr>
        <w:t>公共安全支出-公安-拘押收教场所管理</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支出决算为2219.8万元，完成预算100%，决算数等于预算数。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Style w:val="14"/>
          <w:rFonts w:hint="eastAsia" w:ascii="仿宋" w:hAnsi="仿宋" w:eastAsia="仿宋"/>
          <w:color w:val="000000"/>
          <w:sz w:val="32"/>
          <w:szCs w:val="32"/>
        </w:rPr>
        <w:t>公共安全支出-公安-警犬繁育及驯养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11</w:t>
      </w:r>
      <w:r>
        <w:rPr>
          <w:rStyle w:val="14"/>
          <w:rFonts w:ascii="仿宋" w:hAnsi="仿宋" w:eastAsia="仿宋"/>
          <w:bCs/>
          <w:color w:val="000000"/>
          <w:sz w:val="32"/>
          <w:szCs w:val="32"/>
        </w:rPr>
        <w:t>.</w:t>
      </w:r>
      <w:r>
        <w:rPr>
          <w:rStyle w:val="14"/>
          <w:rFonts w:hint="eastAsia" w:ascii="仿宋" w:hAnsi="仿宋" w:eastAsia="仿宋"/>
          <w:color w:val="000000"/>
          <w:sz w:val="32"/>
          <w:szCs w:val="32"/>
        </w:rPr>
        <w:t>公共安全支出-公安-事业运行</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支出决算为114.18万元，完成预算100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12</w:t>
      </w:r>
      <w:r>
        <w:rPr>
          <w:rStyle w:val="14"/>
          <w:rFonts w:ascii="仿宋" w:hAnsi="仿宋" w:eastAsia="仿宋"/>
          <w:bCs/>
          <w:color w:val="000000"/>
          <w:sz w:val="32"/>
          <w:szCs w:val="32"/>
        </w:rPr>
        <w:t>.</w:t>
      </w:r>
      <w:r>
        <w:rPr>
          <w:rStyle w:val="14"/>
          <w:rFonts w:hint="eastAsia" w:ascii="仿宋" w:hAnsi="仿宋" w:eastAsia="仿宋"/>
          <w:color w:val="000000"/>
          <w:sz w:val="32"/>
          <w:szCs w:val="32"/>
        </w:rPr>
        <w:t>公共安全支出-公安-其他公安支出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支出决算为1130.14万元，完成预算76.69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，决算数小于预算数的主要原因是东区分局2018年转移支付装备购置费尚未支付，以及网安电子数据勘验实验室及计算机房升级改造尾款按进度尚未支付。</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13</w:t>
      </w:r>
      <w:r>
        <w:rPr>
          <w:rStyle w:val="14"/>
          <w:rFonts w:ascii="仿宋" w:hAnsi="仿宋" w:eastAsia="仿宋"/>
          <w:bCs/>
          <w:color w:val="000000"/>
          <w:sz w:val="32"/>
          <w:szCs w:val="32"/>
        </w:rPr>
        <w:t>.</w:t>
      </w:r>
      <w:r>
        <w:rPr>
          <w:rStyle w:val="14"/>
          <w:rFonts w:hint="eastAsia" w:ascii="仿宋" w:hAnsi="仿宋" w:eastAsia="仿宋"/>
          <w:color w:val="000000"/>
          <w:sz w:val="32"/>
          <w:szCs w:val="32"/>
        </w:rPr>
        <w:t>公共安全支出-其他公共安全支出-其他公共安全支出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14</w:t>
      </w:r>
      <w:r>
        <w:rPr>
          <w:rStyle w:val="14"/>
          <w:rFonts w:ascii="仿宋" w:hAnsi="仿宋" w:eastAsia="仿宋"/>
          <w:bCs/>
          <w:color w:val="000000"/>
          <w:sz w:val="32"/>
          <w:szCs w:val="32"/>
        </w:rPr>
        <w:t>.</w:t>
      </w:r>
      <w:r>
        <w:rPr>
          <w:rStyle w:val="14"/>
          <w:rFonts w:hint="eastAsia" w:ascii="仿宋" w:hAnsi="仿宋" w:eastAsia="仿宋"/>
          <w:color w:val="000000"/>
          <w:sz w:val="32"/>
          <w:szCs w:val="32"/>
        </w:rPr>
        <w:t>文化体育与传媒支出-其他文化体育与传媒支出-宣传文化发展专项支出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15</w:t>
      </w:r>
      <w:r>
        <w:rPr>
          <w:rStyle w:val="14"/>
          <w:rFonts w:ascii="仿宋" w:hAnsi="仿宋" w:eastAsia="仿宋"/>
          <w:bCs/>
          <w:color w:val="000000"/>
          <w:sz w:val="32"/>
          <w:szCs w:val="32"/>
        </w:rPr>
        <w:t>.</w:t>
      </w:r>
      <w:r>
        <w:rPr>
          <w:rStyle w:val="14"/>
          <w:rFonts w:hint="eastAsia" w:ascii="仿宋" w:hAnsi="仿宋" w:eastAsia="仿宋"/>
          <w:color w:val="000000"/>
          <w:sz w:val="32"/>
          <w:szCs w:val="32"/>
        </w:rPr>
        <w:t>社会保障和就业支出-行政事业单位离退休-未归口管理的行政单位离退休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支出决算为1505.73万元，完成预算100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16</w:t>
      </w:r>
      <w:r>
        <w:rPr>
          <w:rStyle w:val="14"/>
          <w:rFonts w:ascii="仿宋" w:hAnsi="仿宋" w:eastAsia="仿宋"/>
          <w:bCs/>
          <w:color w:val="000000"/>
          <w:sz w:val="32"/>
          <w:szCs w:val="32"/>
        </w:rPr>
        <w:t>.</w:t>
      </w:r>
      <w:r>
        <w:rPr>
          <w:rStyle w:val="14"/>
          <w:rFonts w:hint="eastAsia" w:ascii="仿宋" w:hAnsi="仿宋" w:eastAsia="仿宋"/>
          <w:color w:val="000000"/>
          <w:sz w:val="32"/>
          <w:szCs w:val="32"/>
        </w:rPr>
        <w:t>社会保障和就业支出-行政事业单位离退休-机关事业单位基本养老保险缴费支出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支出决算为3087.98万元，完成预算100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17</w:t>
      </w:r>
      <w:r>
        <w:rPr>
          <w:rStyle w:val="14"/>
          <w:rFonts w:ascii="仿宋" w:hAnsi="仿宋" w:eastAsia="仿宋"/>
          <w:bCs/>
          <w:color w:val="000000"/>
          <w:sz w:val="32"/>
          <w:szCs w:val="32"/>
        </w:rPr>
        <w:t>.</w:t>
      </w:r>
      <w:r>
        <w:rPr>
          <w:rStyle w:val="14"/>
          <w:rFonts w:hint="eastAsia" w:ascii="仿宋" w:hAnsi="仿宋" w:eastAsia="仿宋"/>
          <w:color w:val="000000"/>
          <w:sz w:val="32"/>
          <w:szCs w:val="32"/>
        </w:rPr>
        <w:t>社会保障和就业支出-行政事业单位离退休-机关事业单位职业年金缴费支出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支出决算为30.44万元，完成预算100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18</w:t>
      </w:r>
      <w:r>
        <w:rPr>
          <w:rStyle w:val="14"/>
          <w:rFonts w:ascii="仿宋" w:hAnsi="仿宋" w:eastAsia="仿宋"/>
          <w:bCs/>
          <w:color w:val="000000"/>
          <w:sz w:val="32"/>
          <w:szCs w:val="32"/>
        </w:rPr>
        <w:t>.</w:t>
      </w:r>
      <w:r>
        <w:rPr>
          <w:rStyle w:val="14"/>
          <w:rFonts w:hint="eastAsia" w:ascii="仿宋" w:hAnsi="仿宋" w:eastAsia="仿宋"/>
          <w:color w:val="000000"/>
          <w:sz w:val="32"/>
          <w:szCs w:val="32"/>
        </w:rPr>
        <w:t>社会保障和就业支出-行政事业单位离退休-其他行政事业单位离退休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19</w:t>
      </w:r>
      <w:r>
        <w:rPr>
          <w:rStyle w:val="14"/>
          <w:rFonts w:ascii="仿宋" w:hAnsi="仿宋" w:eastAsia="仿宋"/>
          <w:bCs/>
          <w:color w:val="000000"/>
          <w:sz w:val="32"/>
          <w:szCs w:val="32"/>
        </w:rPr>
        <w:t>.</w:t>
      </w:r>
      <w:r>
        <w:rPr>
          <w:rStyle w:val="14"/>
          <w:rFonts w:hint="eastAsia" w:ascii="仿宋" w:hAnsi="仿宋" w:eastAsia="仿宋"/>
          <w:color w:val="000000"/>
          <w:sz w:val="32"/>
          <w:szCs w:val="32"/>
        </w:rPr>
        <w:t>社会保障和就业支出-抚恤-死亡抚恤</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支出决算为311.46万元，完成预算100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20</w:t>
      </w:r>
      <w:r>
        <w:rPr>
          <w:rStyle w:val="14"/>
          <w:rFonts w:ascii="仿宋" w:hAnsi="仿宋" w:eastAsia="仿宋"/>
          <w:bCs/>
          <w:color w:val="000000"/>
          <w:sz w:val="32"/>
          <w:szCs w:val="32"/>
        </w:rPr>
        <w:t>.</w:t>
      </w:r>
      <w:r>
        <w:rPr>
          <w:rStyle w:val="14"/>
          <w:rFonts w:hint="eastAsia" w:ascii="仿宋" w:hAnsi="仿宋" w:eastAsia="仿宋"/>
          <w:color w:val="000000"/>
          <w:sz w:val="32"/>
          <w:szCs w:val="32"/>
        </w:rPr>
        <w:t>社会保障和就业支出-社会福利-儿童福利</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21</w:t>
      </w:r>
      <w:r>
        <w:rPr>
          <w:rStyle w:val="14"/>
          <w:rFonts w:ascii="仿宋" w:hAnsi="仿宋" w:eastAsia="仿宋"/>
          <w:bCs/>
          <w:color w:val="000000"/>
          <w:sz w:val="32"/>
          <w:szCs w:val="32"/>
        </w:rPr>
        <w:t>.</w:t>
      </w:r>
      <w:r>
        <w:rPr>
          <w:rStyle w:val="14"/>
          <w:rFonts w:hint="eastAsia" w:ascii="仿宋" w:hAnsi="仿宋" w:eastAsia="仿宋"/>
          <w:color w:val="000000"/>
          <w:sz w:val="32"/>
          <w:szCs w:val="32"/>
        </w:rPr>
        <w:t>医疗卫生与计划生育支出-公共卫生-重大公共卫生专项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22</w:t>
      </w:r>
      <w:r>
        <w:rPr>
          <w:rStyle w:val="14"/>
          <w:rFonts w:ascii="仿宋" w:hAnsi="仿宋" w:eastAsia="仿宋"/>
          <w:bCs/>
          <w:color w:val="000000"/>
          <w:sz w:val="32"/>
          <w:szCs w:val="32"/>
        </w:rPr>
        <w:t>.</w:t>
      </w:r>
      <w:r>
        <w:rPr>
          <w:rStyle w:val="14"/>
          <w:rFonts w:hint="eastAsia" w:ascii="仿宋" w:hAnsi="仿宋" w:eastAsia="仿宋"/>
          <w:color w:val="000000"/>
          <w:sz w:val="32"/>
          <w:szCs w:val="32"/>
        </w:rPr>
        <w:t>城乡社区支出-城乡社区公共设施-其他城乡社区公共设施支出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支出决算为128万元，完成预算12.25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，决算数小于预算数的主要原因是看守所迁建项目资金按照进度尚未支付，结转到2019年支出。</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23</w:t>
      </w:r>
      <w:r>
        <w:rPr>
          <w:rStyle w:val="14"/>
          <w:rFonts w:ascii="仿宋" w:hAnsi="仿宋" w:eastAsia="仿宋"/>
          <w:bCs/>
          <w:color w:val="000000"/>
          <w:sz w:val="32"/>
          <w:szCs w:val="32"/>
        </w:rPr>
        <w:t>.</w:t>
      </w:r>
      <w:r>
        <w:rPr>
          <w:rStyle w:val="14"/>
          <w:rFonts w:hint="eastAsia" w:ascii="仿宋" w:hAnsi="仿宋" w:eastAsia="仿宋"/>
          <w:color w:val="000000"/>
          <w:sz w:val="32"/>
          <w:szCs w:val="32"/>
        </w:rPr>
        <w:t>住房保障支出-住房改革支出-住房公积金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支出决算为2663.15万元，完成预算100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5"/>
        </w:rPr>
      </w:pPr>
      <w:bookmarkStart w:id="48" w:name="_Toc15377214"/>
      <w:bookmarkStart w:id="4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8"/>
      <w:bookmarkEnd w:id="49"/>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8年一般公共预算财政拨款基本支出39407.23万元，其中：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35401.33万元，主要包括：基本工资6575.54万元、津贴补贴14800.53万元、奖金4581.51万元、伙食补助费0万元、绩效工资0万元、机关事业单位基本养老保险缴费3087.98万元、职业年金缴费30.44万元、职工基本医疗保障缴费785.78万元、公务员医疗补助缴费44.72万元，其他社会保障缴费756.23万元，其他工资福利支出392.04万元、离休费39.81万元、退休费1256.91万元、抚恤金311.46万元、生活补助47.94万元、医疗费补助21.2万元、奖励金0万元、住房公积金2663.15万元、提租补贴0万元、购房补贴0万元、其他对个人和家庭的补助支出6.09万元。</w:t>
      </w:r>
      <w:r>
        <w:rPr>
          <w:rFonts w:ascii="仿宋" w:hAnsi="仿宋" w:eastAsia="仿宋"/>
          <w:color w:val="000000"/>
          <w:sz w:val="32"/>
          <w:szCs w:val="32"/>
        </w:rPr>
        <w:br w:type="textWrapping"/>
      </w:r>
      <w:r>
        <w:rPr>
          <w:rFonts w:hint="eastAsia" w:ascii="仿宋" w:hAnsi="仿宋" w:eastAsia="仿宋"/>
          <w:color w:val="000000"/>
          <w:sz w:val="32"/>
          <w:szCs w:val="32"/>
        </w:rPr>
        <w:t>　　公用经费4005.9万元，主要包括：办公费145.94万元、印刷费22.07万元、咨询费1.9万元、手续费0.27万元、水费79.31万元、电费323.33万元、邮电费70.93万元、取暖费0万元、物业管理费116.06万元、差旅费188.24万元、因公出国（境）费用0万元、维修（护）费34.99万元、租赁费3.75万元、会议费0.3万元、培训费11.43万元、公务接待费2.6万元、被装购置费6.28万元、劳务费79.86万元、委托业务费55.56万元、工会经费167.8万元、福利费658.35万元、公务用车运行维护费47.41万元、其他交通费用1499.36万元、税金及附加费用0万元、其他商品和服务支出472.07万元、办公设备购置18.09万元、专用设备购置0万元、信息网络及软件购置更新0万元、其他资本性支出0万元。</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（数据来源财决</w:t>
      </w:r>
      <w:r>
        <w:rPr>
          <w:rFonts w:ascii="仿宋" w:hAnsi="仿宋" w:eastAsia="仿宋"/>
          <w:b/>
          <w:color w:val="000000" w:themeColor="text1"/>
          <w:sz w:val="32"/>
          <w:szCs w:val="32"/>
        </w:rPr>
        <w:t>0</w:t>
      </w:r>
      <w:r>
        <w:rPr>
          <w:rFonts w:hint="eastAsia" w:ascii="仿宋" w:hAnsi="仿宋" w:eastAsia="仿宋"/>
          <w:b/>
          <w:color w:val="000000" w:themeColor="text1"/>
          <w:sz w:val="32"/>
          <w:szCs w:val="32"/>
        </w:rPr>
        <w:t>7表，根据本部门实际支出情况罗列全部经济分类科目。）</w:t>
      </w:r>
    </w:p>
    <w:p>
      <w:pPr>
        <w:spacing w:line="600" w:lineRule="exact"/>
        <w:ind w:firstLine="640"/>
        <w:outlineLvl w:val="1"/>
        <w:rPr>
          <w:rStyle w:val="25"/>
          <w:rFonts w:ascii="黑体" w:hAnsi="黑体" w:eastAsia="黑体"/>
          <w:b w:val="0"/>
        </w:rPr>
      </w:pPr>
      <w:bookmarkStart w:id="50" w:name="_Toc15377215"/>
      <w:bookmarkStart w:id="51"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0"/>
      <w:bookmarkEnd w:id="51"/>
    </w:p>
    <w:p>
      <w:pPr>
        <w:spacing w:line="600" w:lineRule="exact"/>
        <w:ind w:firstLine="640"/>
        <w:outlineLvl w:val="2"/>
        <w:rPr>
          <w:rFonts w:ascii="仿宋" w:hAnsi="仿宋" w:eastAsia="仿宋"/>
          <w:b/>
          <w:color w:val="000000"/>
          <w:sz w:val="32"/>
          <w:szCs w:val="32"/>
        </w:rPr>
      </w:pPr>
      <w:bookmarkStart w:id="52" w:name="_Toc15377216"/>
      <w:r>
        <w:rPr>
          <w:rFonts w:hint="eastAsia" w:ascii="仿宋" w:hAnsi="仿宋" w:eastAsia="仿宋"/>
          <w:b/>
          <w:color w:val="000000"/>
          <w:sz w:val="32"/>
          <w:szCs w:val="32"/>
        </w:rPr>
        <w:t>（一）“三公”经费财政拨款支出决算总体情况说明</w:t>
      </w:r>
      <w:bookmarkEnd w:id="5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8年“三公”经费财政拨款支出决算为599.71万元，完成预算100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53" w:name="_Toc15377217"/>
      <w:r>
        <w:rPr>
          <w:rFonts w:hint="eastAsia" w:ascii="仿宋" w:hAnsi="仿宋" w:eastAsia="仿宋"/>
          <w:b/>
          <w:color w:val="000000"/>
          <w:sz w:val="32"/>
          <w:szCs w:val="32"/>
        </w:rPr>
        <w:t>（二）“三公”经费财政拨款支出决算具体情况说明</w:t>
      </w:r>
      <w:bookmarkEnd w:id="5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；公务用车购置及运行维护费支出决算596.3万元，占99.4%；公务接待费支出决算3.41万元，占0.6%。具体情况如下：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（图7：“三公”经费财政拨款支出结构，单位：万元）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1085850</wp:posOffset>
            </wp:positionH>
            <wp:positionV relativeFrom="paragraph">
              <wp:posOffset>90805</wp:posOffset>
            </wp:positionV>
            <wp:extent cx="3648075" cy="2181225"/>
            <wp:effectExtent l="0" t="0" r="9525" b="952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全年安排因公出国（境）团组0次，出国（境）0人。因公出国（境）支出决算比</w:t>
      </w:r>
      <w:r>
        <w:rPr>
          <w:rFonts w:ascii="仿宋" w:hAnsi="仿宋" w:eastAsia="仿宋"/>
          <w:color w:val="000000"/>
          <w:sz w:val="32"/>
          <w:szCs w:val="32"/>
        </w:rPr>
        <w:t>201</w:t>
      </w:r>
      <w:r>
        <w:rPr>
          <w:rFonts w:hint="eastAsia" w:ascii="仿宋" w:hAnsi="仿宋" w:eastAsia="仿宋"/>
          <w:color w:val="000000"/>
          <w:sz w:val="32"/>
          <w:szCs w:val="32"/>
        </w:rPr>
        <w:t>7年增加0万元，与2017年持平。</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开支内容包括：无（团组名称、出访地点、取得成效）。</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596.3万元,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7年增加65.24万元，增长10.94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主要原因是</w:t>
      </w:r>
      <w:r>
        <w:rPr>
          <w:rFonts w:hint="eastAsia" w:ascii="仿宋" w:hAnsi="仿宋" w:eastAsia="仿宋" w:cs="仿宋"/>
          <w:color w:val="000000"/>
          <w:sz w:val="32"/>
          <w:szCs w:val="32"/>
        </w:rPr>
        <w:t>公务用车老化维修保养费用较高，增加了公务用车运行维护费支出;2018年新购进2台公务用车，因此公务用车购置费增加99.4万元</w:t>
      </w:r>
      <w:r>
        <w:rPr>
          <w:rFonts w:hint="eastAsia" w:ascii="仿宋" w:hAnsi="仿宋" w:eastAsia="仿宋"/>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99.4万元。全年按规定更新购置公务用车2辆，其中：轿车0辆、金额0万元，越野车2辆、金额0万元，载客汽车0辆、金额0万元，主要用于公安办案、勘察现场等专用。截至</w:t>
      </w:r>
      <w:r>
        <w:rPr>
          <w:rFonts w:ascii="仿宋" w:hAnsi="仿宋" w:eastAsia="仿宋"/>
          <w:color w:val="000000"/>
          <w:sz w:val="32"/>
          <w:szCs w:val="32"/>
        </w:rPr>
        <w:t>201</w:t>
      </w:r>
      <w:r>
        <w:rPr>
          <w:rFonts w:hint="eastAsia" w:ascii="仿宋" w:hAnsi="仿宋" w:eastAsia="仿宋"/>
          <w:color w:val="000000"/>
          <w:sz w:val="32"/>
          <w:szCs w:val="32"/>
        </w:rPr>
        <w:t>8年</w:t>
      </w:r>
      <w:r>
        <w:rPr>
          <w:rFonts w:ascii="仿宋" w:hAnsi="仿宋" w:eastAsia="仿宋"/>
          <w:color w:val="000000"/>
          <w:sz w:val="32"/>
          <w:szCs w:val="32"/>
        </w:rPr>
        <w:t>12</w:t>
      </w:r>
      <w:r>
        <w:rPr>
          <w:rFonts w:hint="eastAsia" w:ascii="仿宋" w:hAnsi="仿宋" w:eastAsia="仿宋"/>
          <w:color w:val="000000"/>
          <w:sz w:val="32"/>
          <w:szCs w:val="32"/>
        </w:rPr>
        <w:t>月底，单位共有公务用车569辆，其中：轿车441辆、越野车16辆、载客汽车53辆、其他车型59辆。</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496.9万元。主要用于公安办案出差、勘察现场等所需的公务用车燃料费、维修费、过路过桥费、保险费等支出。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3.41万元，</w:t>
      </w:r>
      <w:r>
        <w:rPr>
          <w:rStyle w:val="14"/>
          <w:rFonts w:hint="eastAsia" w:ascii="仿宋" w:hAnsi="仿宋" w:eastAsia="仿宋"/>
          <w:b w:val="0"/>
          <w:bCs/>
          <w:color w:val="000000"/>
          <w:sz w:val="32"/>
          <w:szCs w:val="32"/>
        </w:rPr>
        <w:t>完成预算8.32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7年减少3.84万元，下降52.96</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sz w:val="32"/>
          <w:szCs w:val="32"/>
        </w:rPr>
        <w:t>我单位严格执行中央八项规定，</w:t>
      </w:r>
      <w:r>
        <w:rPr>
          <w:rFonts w:hint="eastAsia" w:ascii="仿宋" w:hAnsi="仿宋" w:eastAsia="仿宋"/>
          <w:color w:val="333333"/>
          <w:sz w:val="32"/>
          <w:szCs w:val="32"/>
        </w:rPr>
        <w:t>厉行勤俭节约、反对铺张浪费，严格遵守《四川省党政机关国内公务接待管理办法》、《攀枝花市党政机关国内公务接待管理办法》等相关规定，坚持务实节约、严格标准和对口接待等原则，严格控制公务接待费支出</w:t>
      </w:r>
      <w:r>
        <w:rPr>
          <w:rFonts w:hint="eastAsia" w:ascii="仿宋" w:hAnsi="仿宋" w:eastAsia="仿宋" w:cs="仿宋"/>
          <w:color w:val="000000"/>
          <w:sz w:val="32"/>
          <w:szCs w:val="32"/>
        </w:rPr>
        <w:t>总额。</w:t>
      </w:r>
    </w:p>
    <w:p>
      <w:pPr>
        <w:rPr>
          <w:rFonts w:ascii="仿宋" w:hAnsi="仿宋" w:eastAsia="仿宋"/>
          <w:sz w:val="32"/>
          <w:szCs w:val="32"/>
        </w:rPr>
      </w:pPr>
      <w:r>
        <w:rPr>
          <w:rFonts w:hint="eastAsia" w:ascii="仿宋" w:hAnsi="仿宋" w:eastAsia="仿宋"/>
          <w:sz w:val="32"/>
          <w:szCs w:val="32"/>
        </w:rPr>
        <w:t xml:space="preserve">    公务接待主要用于执行公务、开展业务活动开支的用餐费。国内公务接待32批次，218人次（不包括陪同人员），共计支出3.41万元，具体内容包括：各项专项工作交叉检查及督导、外地办案部门来攀办理各类案件、上级及相关部门工作调研等。其中：</w:t>
      </w:r>
    </w:p>
    <w:p>
      <w:pPr>
        <w:spacing w:line="600" w:lineRule="exact"/>
        <w:ind w:firstLine="642"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0元</w:t>
      </w:r>
      <w:r>
        <w:rPr>
          <w:rFonts w:hint="eastAsia" w:ascii="仿宋" w:hAnsi="仿宋" w:eastAsia="仿宋"/>
          <w:color w:val="000000" w:themeColor="text1"/>
          <w:sz w:val="32"/>
          <w:szCs w:val="32"/>
        </w:rPr>
        <w:t>，外事接待0批次，0人，共计支出0万元，主要用于接待无。</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0元。</w:t>
      </w:r>
    </w:p>
    <w:p>
      <w:pPr>
        <w:spacing w:line="600" w:lineRule="exact"/>
        <w:ind w:firstLine="640"/>
        <w:outlineLvl w:val="1"/>
        <w:rPr>
          <w:rStyle w:val="25"/>
          <w:rFonts w:ascii="仿宋" w:hAnsi="仿宋" w:eastAsia="仿宋"/>
        </w:rPr>
      </w:pPr>
      <w:bookmarkStart w:id="54" w:name="_Toc15377218"/>
      <w:bookmarkStart w:id="55" w:name="_Toc15396610"/>
      <w:r>
        <w:rPr>
          <w:rFonts w:hint="eastAsia" w:ascii="仿宋" w:hAnsi="仿宋" w:eastAsia="仿宋"/>
          <w:color w:val="000000"/>
          <w:sz w:val="32"/>
          <w:szCs w:val="32"/>
        </w:rPr>
        <w:t>八、</w:t>
      </w:r>
      <w:r>
        <w:rPr>
          <w:rStyle w:val="25"/>
          <w:rFonts w:hint="eastAsia" w:ascii="仿宋" w:hAnsi="仿宋" w:eastAsia="仿宋"/>
          <w:b w:val="0"/>
        </w:rPr>
        <w:t>政府性基金预算支出决算情况说明</w:t>
      </w:r>
      <w:bookmarkEnd w:id="54"/>
      <w:bookmarkEnd w:id="5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8年政府性基金预算拨款支出2393.48万元。</w:t>
      </w:r>
    </w:p>
    <w:p>
      <w:pPr>
        <w:numPr>
          <w:ilvl w:val="0"/>
          <w:numId w:val="3"/>
        </w:numPr>
        <w:spacing w:line="600" w:lineRule="exact"/>
        <w:ind w:firstLine="640"/>
        <w:outlineLvl w:val="1"/>
        <w:rPr>
          <w:rStyle w:val="25"/>
          <w:rFonts w:ascii="仿宋" w:hAnsi="仿宋" w:eastAsia="仿宋"/>
          <w:b w:val="0"/>
        </w:rPr>
      </w:pPr>
      <w:bookmarkStart w:id="56" w:name="_Toc15396611"/>
      <w:bookmarkStart w:id="57" w:name="_Toc15377219"/>
      <w:r>
        <w:rPr>
          <w:rStyle w:val="25"/>
          <w:rFonts w:hint="eastAsia" w:ascii="仿宋" w:hAnsi="仿宋" w:eastAsia="仿宋"/>
          <w:b w:val="0"/>
        </w:rPr>
        <w:t>国有资本经营预算支出决算情况说明</w:t>
      </w:r>
      <w:bookmarkEnd w:id="56"/>
      <w:bookmarkEnd w:id="5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8年国有资本经营预算拨款支出0万元。</w:t>
      </w:r>
    </w:p>
    <w:p>
      <w:pPr>
        <w:pStyle w:val="23"/>
        <w:numPr>
          <w:ilvl w:val="0"/>
          <w:numId w:val="4"/>
        </w:numPr>
        <w:spacing w:line="580" w:lineRule="exact"/>
        <w:ind w:firstLineChars="0"/>
        <w:rPr>
          <w:rStyle w:val="25"/>
          <w:rFonts w:ascii="仿宋" w:hAnsi="仿宋" w:eastAsia="仿宋"/>
          <w:b w:val="0"/>
        </w:rPr>
      </w:pPr>
      <w:r>
        <w:rPr>
          <w:rStyle w:val="25"/>
          <w:rFonts w:hint="eastAsia" w:ascii="仿宋" w:hAnsi="仿宋" w:eastAsia="仿宋"/>
          <w:b w:val="0"/>
        </w:rPr>
        <w:t>预算绩效情况说明</w:t>
      </w:r>
    </w:p>
    <w:p>
      <w:pPr>
        <w:numPr>
          <w:ilvl w:val="0"/>
          <w:numId w:val="5"/>
        </w:numPr>
        <w:spacing w:line="580" w:lineRule="exact"/>
        <w:ind w:firstLine="64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根据预算绩效管理要求，本单位在年初预算编制阶段，组织对特别业务费、“天网”监控运行经费、</w:t>
      </w:r>
      <w:r>
        <w:rPr>
          <w:rFonts w:hint="eastAsia" w:ascii="仿宋" w:hAnsi="仿宋" w:eastAsia="仿宋"/>
          <w:sz w:val="32"/>
          <w:szCs w:val="32"/>
        </w:rPr>
        <w:t>应急储备金、警务辅助人员经费、拘押收教场所管理经费、拘押收教场所安防系统租赁费、政法系统电路与服务租用费、大要案经费、禁毒管理经费、警犬繁育及驯养工作经费</w:t>
      </w:r>
      <w:r>
        <w:rPr>
          <w:rFonts w:hint="eastAsia" w:ascii="仿宋" w:hAnsi="仿宋" w:eastAsia="仿宋" w:cs="仿宋_GB2312"/>
          <w:sz w:val="32"/>
          <w:szCs w:val="32"/>
        </w:rPr>
        <w:t>项目开展了预算事前绩效评估，对以上10个项目编制了绩效目标，预算执行过程中，选取特别业务费、“天网”监控运行经费、</w:t>
      </w:r>
      <w:r>
        <w:rPr>
          <w:rFonts w:hint="eastAsia" w:ascii="仿宋" w:hAnsi="仿宋" w:eastAsia="仿宋"/>
          <w:sz w:val="32"/>
          <w:szCs w:val="32"/>
        </w:rPr>
        <w:t>警务辅助人员经费、拘押收教场所管理经费、警犬繁育及驯养工作经费这5</w:t>
      </w:r>
      <w:r>
        <w:rPr>
          <w:rFonts w:hint="eastAsia" w:ascii="仿宋" w:hAnsi="仿宋" w:eastAsia="仿宋" w:cs="仿宋_GB2312"/>
          <w:sz w:val="32"/>
          <w:szCs w:val="32"/>
        </w:rPr>
        <w:t>个项目开展绩效监控，年终执行完毕后，对以上5个项目开展了绩效目标完成情况梳理填报。</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本部门按要求对2018年部门整体支出开展绩效自评，从评价情况来看</w:t>
      </w:r>
      <w:r>
        <w:rPr>
          <w:rFonts w:hint="eastAsia" w:ascii="仿宋" w:hAnsi="仿宋" w:eastAsia="仿宋"/>
          <w:sz w:val="32"/>
          <w:szCs w:val="32"/>
        </w:rPr>
        <w:t>在项目支出执行过程中，攀枝花市公安局加强了项目资金管理，对预算执行进度和绩效目标进行动态监控，使项目资金实现了经济效益、社会效益和生态效益，完成了年初设定的目标任务</w:t>
      </w:r>
      <w:r>
        <w:rPr>
          <w:rFonts w:hint="eastAsia" w:ascii="仿宋" w:hAnsi="仿宋" w:eastAsia="仿宋" w:cs="仿宋_GB2312"/>
          <w:sz w:val="32"/>
          <w:szCs w:val="32"/>
        </w:rPr>
        <w:t>。本部门自行组织了对特别业务费项目开展绩效评价，从评价情况来看，通过项目实施，保障了公安各专项工作落到实处，提升了公安机关精准打击各类犯罪行为的能力，从而不断增强人民群众安全感。</w:t>
      </w:r>
    </w:p>
    <w:p>
      <w:pPr>
        <w:numPr>
          <w:ilvl w:val="0"/>
          <w:numId w:val="5"/>
        </w:num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项目绩效目标完成情况。</w:t>
      </w:r>
      <w:r>
        <w:rPr>
          <w:rFonts w:hint="eastAsia" w:ascii="仿宋" w:hAnsi="仿宋" w:eastAsia="仿宋" w:cs="楷体_GB2312"/>
          <w:b/>
          <w:bCs/>
          <w:sz w:val="32"/>
          <w:szCs w:val="32"/>
        </w:rPr>
        <w:br w:type="textWrapping"/>
      </w:r>
      <w:r>
        <w:rPr>
          <w:rFonts w:hint="eastAsia" w:ascii="仿宋" w:hAnsi="仿宋" w:eastAsia="仿宋" w:cs="仿宋_GB2312"/>
          <w:sz w:val="32"/>
          <w:szCs w:val="32"/>
        </w:rPr>
        <w:t xml:space="preserve">    本部门在2018年度部门决算中反映特别业务费、“天网”监控运行经费、</w:t>
      </w:r>
      <w:r>
        <w:rPr>
          <w:rFonts w:hint="eastAsia" w:ascii="仿宋" w:hAnsi="仿宋" w:eastAsia="仿宋"/>
          <w:sz w:val="32"/>
          <w:szCs w:val="32"/>
        </w:rPr>
        <w:t>应急储备金、警务辅助人员经费、拘押收教场所管理经费、警犬繁育及驯养工作经费</w:t>
      </w:r>
      <w:r>
        <w:rPr>
          <w:rFonts w:hint="eastAsia" w:ascii="仿宋" w:hAnsi="仿宋" w:eastAsia="仿宋" w:cs="仿宋_GB2312"/>
          <w:sz w:val="32"/>
          <w:szCs w:val="32"/>
        </w:rPr>
        <w:t>等10个项目绩效目标实际完成情况。（本单位部门项目绩效目标个数在5个以上的，选取5个项目进行公开，目标个数在5个以下的，全部进行公开，公开内容包括完成情况综述和完成情况表）。</w:t>
      </w:r>
    </w:p>
    <w:p>
      <w:pPr>
        <w:numPr>
          <w:ilvl w:val="0"/>
          <w:numId w:val="6"/>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特别业务费项目绩效目标完成情况综述。项目全年预算数1272.25万元（含下属二级单位），执行数为1272.25万元，完成预算的100%。通过项目实施，保障了公安各专项工作落到实处，提升公安机关精准打击各类犯罪行为的能力，从而不断加强人民群众安全感，发现的主要问题：</w:t>
      </w:r>
      <w:r>
        <w:rPr>
          <w:rFonts w:hint="eastAsia" w:ascii="仿宋" w:hAnsi="仿宋" w:eastAsia="仿宋"/>
          <w:sz w:val="32"/>
          <w:szCs w:val="32"/>
        </w:rPr>
        <w:t>现有专项业务经费</w:t>
      </w:r>
      <w:r>
        <w:rPr>
          <w:rFonts w:hint="eastAsia" w:ascii="仿宋" w:hAnsi="仿宋" w:eastAsia="仿宋"/>
          <w:sz w:val="32"/>
          <w:szCs w:val="32"/>
          <w:lang w:val="zh-CN"/>
        </w:rPr>
        <w:t>无法满足实际支出需求，公安机关的打击效果不能完全达到设定目标，</w:t>
      </w:r>
      <w:r>
        <w:rPr>
          <w:rFonts w:hint="eastAsia" w:ascii="仿宋" w:hAnsi="仿宋" w:eastAsia="仿宋" w:cs="宋体-18030"/>
          <w:sz w:val="32"/>
          <w:szCs w:val="32"/>
        </w:rPr>
        <w:t>虽然中央下达了政法转移支付资金用于补助公安办案经费的不足，但政策补助经费未能全面惠及到各项公安业务工作</w:t>
      </w:r>
      <w:r>
        <w:rPr>
          <w:rFonts w:hint="eastAsia" w:ascii="仿宋" w:hAnsi="仿宋" w:eastAsia="仿宋" w:cs="仿宋_GB2312"/>
          <w:sz w:val="32"/>
          <w:szCs w:val="32"/>
        </w:rPr>
        <w:t>。下一步改进措施：</w:t>
      </w:r>
      <w:r>
        <w:rPr>
          <w:rFonts w:hint="eastAsia" w:ascii="仿宋" w:hAnsi="仿宋" w:eastAsia="仿宋"/>
          <w:sz w:val="32"/>
          <w:szCs w:val="32"/>
          <w:lang w:val="zh-CN"/>
        </w:rPr>
        <w:t>根据工作开展情况提前向财政申请专项资金，纳入财政预算调整。</w:t>
      </w:r>
    </w:p>
    <w:p>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2.“天网”监控运行经费项目绩效目标完成情况综述。项目全年预算数</w:t>
      </w:r>
      <w:r>
        <w:rPr>
          <w:rFonts w:hint="eastAsia" w:ascii="仿宋" w:hAnsi="仿宋" w:eastAsia="仿宋"/>
          <w:sz w:val="32"/>
          <w:szCs w:val="32"/>
        </w:rPr>
        <w:t>625.36</w:t>
      </w:r>
      <w:r>
        <w:rPr>
          <w:rFonts w:hint="eastAsia" w:ascii="仿宋" w:hAnsi="仿宋" w:eastAsia="仿宋" w:cs="仿宋_GB2312"/>
          <w:sz w:val="32"/>
          <w:szCs w:val="32"/>
        </w:rPr>
        <w:t>万元，执行数为</w:t>
      </w:r>
      <w:r>
        <w:rPr>
          <w:rFonts w:hint="eastAsia" w:ascii="仿宋" w:hAnsi="仿宋" w:eastAsia="仿宋"/>
          <w:sz w:val="32"/>
          <w:szCs w:val="32"/>
        </w:rPr>
        <w:t>625.36</w:t>
      </w:r>
      <w:r>
        <w:rPr>
          <w:rFonts w:hint="eastAsia" w:ascii="仿宋" w:hAnsi="仿宋" w:eastAsia="仿宋" w:cs="仿宋_GB2312"/>
          <w:sz w:val="32"/>
          <w:szCs w:val="32"/>
        </w:rPr>
        <w:t>万元，完成预算的100%。通过项目实施，保障了社会治安稳定、促进了违法行为证据抓拍固定、提高了公安机关破案效率，发现的主要问题：部分“天网”监控点位存在损坏、清晰度不够等情况，影响了破案侦办效率。下一步改进措施：在可行的范畴内，考虑聘请专业维保公司对“天网”监控网点进行维护维修。</w:t>
      </w:r>
    </w:p>
    <w:p>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警务辅助人员经费项目绩效目标完成情况综述。项目全年预算数1042.53万元，执行数为1042.53万元，完成预算的100%。通过项目实施，提高了公安机关接处警效率、协助公安勤务工作，使市民安全感明显上升，发现的主要问题：市财政只保障了警务辅助人员的基本工资及“五险一金”，辅警人员的装备费、执勤执法经费都未得到保障，而要挤占公安日常经费。下一步改进措施：积极向财政争取资金，将辅警人员执勤执法经费纳入预算。</w:t>
      </w:r>
    </w:p>
    <w:p>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sz w:val="32"/>
          <w:szCs w:val="32"/>
        </w:rPr>
        <w:t>4.拘押收教场所管理经费</w:t>
      </w:r>
      <w:r>
        <w:rPr>
          <w:rFonts w:hint="eastAsia" w:ascii="仿宋" w:hAnsi="仿宋" w:eastAsia="仿宋" w:cs="仿宋_GB2312"/>
          <w:sz w:val="32"/>
          <w:szCs w:val="32"/>
        </w:rPr>
        <w:t>项目绩效目标完成情况综述。项目全年预算数2155万元，执行数为2155万元，完成预算的100%。通过项目实施，对在押人员进行了有效管控、对强戒人员进行了戒毒治疗及技能培训、对拘留人员进行了限制羁押，发现的主要问题：尚未形成一体化监管中心。下一步改进措施：监管中心建设施工中，完工后将尽快投入使用。</w:t>
      </w:r>
    </w:p>
    <w:p>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sz w:val="32"/>
          <w:szCs w:val="32"/>
        </w:rPr>
        <w:t>5.警犬繁育及驯养工作经费</w:t>
      </w:r>
      <w:r>
        <w:rPr>
          <w:rFonts w:hint="eastAsia" w:ascii="仿宋" w:hAnsi="仿宋" w:eastAsia="仿宋" w:cs="仿宋_GB2312"/>
          <w:sz w:val="32"/>
          <w:szCs w:val="32"/>
        </w:rPr>
        <w:t>项目绩效目标完成情况综述。项目全年预算数27万元，执行数为27万元，完成预算的100%。通过项目实施，保障了警犬的食品药品充足供应，达到了以警犬协助侦破案件及各类大型安保行动的目的，发现的主要问题：警犬平均年龄偏大，执行部分危险艰巨任务困难。下一步改进措施：购进一批新警犬，退役年龄大身体状况差的警犬。</w:t>
      </w:r>
    </w:p>
    <w:p>
      <w:pPr>
        <w:tabs>
          <w:tab w:val="left" w:pos="312"/>
        </w:tabs>
        <w:spacing w:line="580" w:lineRule="exact"/>
        <w:rPr>
          <w:rFonts w:ascii="仿宋" w:hAnsi="仿宋" w:eastAsia="仿宋"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68"/>
        <w:gridCol w:w="2324"/>
        <w:gridCol w:w="2394"/>
        <w:gridCol w:w="2392"/>
      </w:tblGrid>
      <w:tr>
        <w:tblPrEx>
          <w:tblCellMar>
            <w:top w:w="0" w:type="dxa"/>
            <w:left w:w="0" w:type="dxa"/>
            <w:bottom w:w="0" w:type="dxa"/>
            <w:right w:w="0" w:type="dxa"/>
          </w:tblCellMar>
        </w:tblPrEx>
        <w:trPr>
          <w:trHeight w:val="1120" w:hRule="atLeast"/>
        </w:trPr>
        <w:tc>
          <w:tcPr>
            <w:tcW w:w="9960" w:type="dxa"/>
            <w:gridSpan w:val="7"/>
            <w:tcMar>
              <w:top w:w="15" w:type="dxa"/>
              <w:left w:w="15" w:type="dxa"/>
              <w:bottom w:w="0" w:type="dxa"/>
              <w:right w:w="15" w:type="dxa"/>
            </w:tcMar>
            <w:vAlign w:val="center"/>
          </w:tcPr>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widowControl/>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项目支出绩效目标完成情况表1</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特别业务费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1272.25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1272.25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1272.25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1272.25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案件侦破辅助手段，提升公安机关精准打击各类犯罪行为的能力与实效，不断增强人民群众安全感。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完成了预期目标</w:t>
            </w:r>
          </w:p>
        </w:tc>
      </w:tr>
      <w:tr>
        <w:tblPrEx>
          <w:tblCellMar>
            <w:top w:w="0" w:type="dxa"/>
            <w:left w:w="0" w:type="dxa"/>
            <w:bottom w:w="0" w:type="dxa"/>
            <w:right w:w="0" w:type="dxa"/>
          </w:tblCellMar>
        </w:tblPrEx>
        <w:trPr>
          <w:trHeight w:val="11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案件侦破数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2018年刑事案件立案数、破案数，治安案件受理数、查处数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刑事案件立案3486件、破案1654件，治安案件受理5801件、查处5199件</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完成2018年度“战训合一”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完成8期“战训合一”训练任务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已完成8期“战训合一”</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提起复议、行政诉讼案件数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受理复议、提起行政诉讼案件数低于10件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受理复议7件、提起行政诉讼案件1件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发案数同比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刑事、治安案件同比有所下降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olor w:val="000000"/>
                <w:sz w:val="24"/>
              </w:rPr>
              <w:t>刑事、治安案件同比下降16.06%、9.20%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人民群众满意度</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满意度上升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满意度达95%以上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满意度已达95%以上</w:t>
            </w:r>
          </w:p>
        </w:tc>
      </w:tr>
    </w:tbl>
    <w:p>
      <w:pPr>
        <w:rPr>
          <w:rFonts w:ascii="Calibri" w:hAnsi="Calibri"/>
        </w:rPr>
      </w:pPr>
    </w:p>
    <w:tbl>
      <w:tblPr>
        <w:tblStyle w:val="12"/>
        <w:tblpPr w:leftFromText="180" w:rightFromText="180" w:vertAnchor="text" w:horzAnchor="page" w:tblpXSpec="center" w:tblpY="423"/>
        <w:tblOverlap w:val="never"/>
        <w:tblW w:w="10221" w:type="dxa"/>
        <w:tblInd w:w="0" w:type="dxa"/>
        <w:tblLayout w:type="fixed"/>
        <w:tblCellMar>
          <w:top w:w="0" w:type="dxa"/>
          <w:left w:w="0" w:type="dxa"/>
          <w:bottom w:w="0" w:type="dxa"/>
          <w:right w:w="0" w:type="dxa"/>
        </w:tblCellMar>
      </w:tblPr>
      <w:tblGrid>
        <w:gridCol w:w="390"/>
        <w:gridCol w:w="1367"/>
        <w:gridCol w:w="1025"/>
        <w:gridCol w:w="68"/>
        <w:gridCol w:w="2324"/>
        <w:gridCol w:w="2394"/>
        <w:gridCol w:w="2653"/>
      </w:tblGrid>
      <w:tr>
        <w:tblPrEx>
          <w:tblCellMar>
            <w:top w:w="0" w:type="dxa"/>
            <w:left w:w="0" w:type="dxa"/>
            <w:bottom w:w="0" w:type="dxa"/>
            <w:right w:w="0" w:type="dxa"/>
          </w:tblCellMar>
        </w:tblPrEx>
        <w:trPr>
          <w:trHeight w:val="1118" w:hRule="atLeast"/>
        </w:trPr>
        <w:tc>
          <w:tcPr>
            <w:tcW w:w="10221" w:type="dxa"/>
            <w:gridSpan w:val="7"/>
            <w:tcMar>
              <w:top w:w="15" w:type="dxa"/>
              <w:left w:w="15" w:type="dxa"/>
              <w:bottom w:w="0" w:type="dxa"/>
              <w:right w:w="15" w:type="dxa"/>
            </w:tcMar>
            <w:vAlign w:val="center"/>
          </w:tcPr>
          <w:p>
            <w:pPr>
              <w:widowControl/>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项目支出绩效目标完成情况表2</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“天网”监控运行经费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625.36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625.36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625.36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625.36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8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维护社会治安稳定，促进违法行为证据抓拍固定，提高公安机关破案效率。</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完成了预期目标</w:t>
            </w:r>
          </w:p>
        </w:tc>
      </w:tr>
      <w:tr>
        <w:tblPrEx>
          <w:tblCellMar>
            <w:top w:w="0" w:type="dxa"/>
            <w:left w:w="0" w:type="dxa"/>
            <w:bottom w:w="0" w:type="dxa"/>
            <w:right w:w="0" w:type="dxa"/>
          </w:tblCellMar>
        </w:tblPrEx>
        <w:trPr>
          <w:trHeight w:val="11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“天网”运行点位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302个点位全部运行</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302个点位全部运行</w:t>
            </w:r>
          </w:p>
        </w:tc>
      </w:tr>
      <w:tr>
        <w:tblPrEx>
          <w:tblCellMar>
            <w:top w:w="0" w:type="dxa"/>
            <w:left w:w="0" w:type="dxa"/>
            <w:bottom w:w="0" w:type="dxa"/>
            <w:right w:w="0" w:type="dxa"/>
          </w:tblCellMar>
        </w:tblPrEx>
        <w:trPr>
          <w:trHeight w:val="106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“天网”运行维护费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月租赁费27万，以及其他运行维护费</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2018年执行625.36万元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保障天网正常运行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提升城市可视化水平</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提升城市可视化水平</w:t>
            </w:r>
          </w:p>
        </w:tc>
      </w:tr>
      <w:tr>
        <w:tblPrEx>
          <w:tblCellMar>
            <w:top w:w="0" w:type="dxa"/>
            <w:left w:w="0" w:type="dxa"/>
            <w:bottom w:w="0" w:type="dxa"/>
            <w:right w:w="0" w:type="dxa"/>
          </w:tblCellMar>
        </w:tblPrEx>
        <w:trPr>
          <w:trHeight w:val="80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提高社会治安水平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提升政府应急处置能力</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olor w:val="000000"/>
                <w:sz w:val="24"/>
              </w:rPr>
              <w:t>提升政府应急处置能力</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人民群众满意度</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市民安全感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持续上升</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持续上升</w:t>
            </w:r>
          </w:p>
        </w:tc>
      </w:tr>
      <w:tr>
        <w:tblPrEx>
          <w:tblCellMar>
            <w:top w:w="0" w:type="dxa"/>
            <w:left w:w="0" w:type="dxa"/>
            <w:bottom w:w="0" w:type="dxa"/>
            <w:right w:w="0" w:type="dxa"/>
          </w:tblCellMar>
        </w:tblPrEx>
        <w:trPr>
          <w:trHeight w:val="1119" w:hRule="atLeast"/>
        </w:trPr>
        <w:tc>
          <w:tcPr>
            <w:tcW w:w="10221" w:type="dxa"/>
            <w:gridSpan w:val="7"/>
            <w:tcMar>
              <w:top w:w="15" w:type="dxa"/>
              <w:left w:w="15" w:type="dxa"/>
              <w:bottom w:w="0" w:type="dxa"/>
              <w:right w:w="15" w:type="dxa"/>
            </w:tcMar>
            <w:vAlign w:val="center"/>
          </w:tcPr>
          <w:p>
            <w:pPr>
              <w:widowControl/>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项目支出绩效目标完成情况表3</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警务辅助人员经费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1042.53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1042.53</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1042.53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1042.53</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8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提高公安机关接处警效率，协助勤务工作，不断增强人民群众安全感。</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完成了预期目标</w:t>
            </w:r>
          </w:p>
        </w:tc>
      </w:tr>
      <w:tr>
        <w:tblPrEx>
          <w:tblCellMar>
            <w:top w:w="0" w:type="dxa"/>
            <w:left w:w="0" w:type="dxa"/>
            <w:bottom w:w="0" w:type="dxa"/>
            <w:right w:w="0" w:type="dxa"/>
          </w:tblCellMar>
        </w:tblPrEx>
        <w:trPr>
          <w:trHeight w:val="11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警务辅助人员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2018年辅警人数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实有签订合同辅警人员218人</w:t>
            </w:r>
          </w:p>
        </w:tc>
      </w:tr>
      <w:tr>
        <w:tblPrEx>
          <w:tblCellMar>
            <w:top w:w="0" w:type="dxa"/>
            <w:left w:w="0" w:type="dxa"/>
            <w:bottom w:w="0" w:type="dxa"/>
            <w:right w:w="0" w:type="dxa"/>
          </w:tblCellMar>
        </w:tblPrEx>
        <w:trPr>
          <w:trHeight w:val="91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辅警经费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人均6.2万元/年</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人均6.2万元/年</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完成年度工作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协助公安机关勤务工作</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完成接处警、协助公安机关勤务工作</w:t>
            </w:r>
          </w:p>
        </w:tc>
      </w:tr>
      <w:tr>
        <w:tblPrEx>
          <w:tblCellMar>
            <w:top w:w="0" w:type="dxa"/>
            <w:left w:w="0" w:type="dxa"/>
            <w:bottom w:w="0" w:type="dxa"/>
            <w:right w:w="0" w:type="dxa"/>
          </w:tblCellMar>
        </w:tblPrEx>
        <w:trPr>
          <w:trHeight w:val="80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稳定社会治安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维护社会治安稳定</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olor w:val="000000"/>
                <w:sz w:val="24"/>
              </w:rPr>
              <w:t>维护了社会治安稳定</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人民群众满意度</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市民安全感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明显上升</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明显上升</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10221" w:type="dxa"/>
        <w:tblInd w:w="0" w:type="dxa"/>
        <w:tblLayout w:type="fixed"/>
        <w:tblCellMar>
          <w:top w:w="0" w:type="dxa"/>
          <w:left w:w="0" w:type="dxa"/>
          <w:bottom w:w="0" w:type="dxa"/>
          <w:right w:w="0" w:type="dxa"/>
        </w:tblCellMar>
      </w:tblPr>
      <w:tblGrid>
        <w:gridCol w:w="390"/>
        <w:gridCol w:w="1367"/>
        <w:gridCol w:w="1025"/>
        <w:gridCol w:w="68"/>
        <w:gridCol w:w="2324"/>
        <w:gridCol w:w="2394"/>
        <w:gridCol w:w="2653"/>
      </w:tblGrid>
      <w:tr>
        <w:tblPrEx>
          <w:tblCellMar>
            <w:top w:w="0" w:type="dxa"/>
            <w:left w:w="0" w:type="dxa"/>
            <w:bottom w:w="0" w:type="dxa"/>
            <w:right w:w="0" w:type="dxa"/>
          </w:tblCellMar>
        </w:tblPrEx>
        <w:trPr>
          <w:trHeight w:val="977" w:hRule="atLeast"/>
        </w:trPr>
        <w:tc>
          <w:tcPr>
            <w:tcW w:w="10221" w:type="dxa"/>
            <w:gridSpan w:val="7"/>
            <w:tcMar>
              <w:top w:w="15" w:type="dxa"/>
              <w:left w:w="15" w:type="dxa"/>
              <w:bottom w:w="0" w:type="dxa"/>
              <w:right w:w="15" w:type="dxa"/>
            </w:tcMar>
            <w:vAlign w:val="center"/>
          </w:tcPr>
          <w:p>
            <w:pPr>
              <w:widowControl/>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项目支出绩效目标完成情况表4</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拘押收教场所管理经费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2155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2155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8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对在押人员进行有效管控，对强戒人员进行戒毒治疗及技能培训，对拘留人员进行羁押，增强人民群众安全感。</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完成了预期目标</w:t>
            </w:r>
          </w:p>
        </w:tc>
      </w:tr>
      <w:tr>
        <w:tblPrEx>
          <w:tblCellMar>
            <w:top w:w="0" w:type="dxa"/>
            <w:left w:w="0" w:type="dxa"/>
            <w:bottom w:w="0" w:type="dxa"/>
            <w:right w:w="0" w:type="dxa"/>
          </w:tblCellMar>
        </w:tblPrEx>
        <w:trPr>
          <w:trHeight w:val="769"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数量、成本指标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看守所经费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年日均在押人员1100人，伙食费314.6万元，衣被费38.5万元</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完成年日均在押人员1100人，伙食费314.6万元，衣被费38.5万元</w:t>
            </w:r>
          </w:p>
        </w:tc>
      </w:tr>
      <w:tr>
        <w:tblPrEx>
          <w:tblCellMar>
            <w:top w:w="0" w:type="dxa"/>
            <w:left w:w="0" w:type="dxa"/>
            <w:bottom w:w="0" w:type="dxa"/>
            <w:right w:w="0" w:type="dxa"/>
          </w:tblCellMar>
        </w:tblPrEx>
        <w:trPr>
          <w:trHeight w:val="9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数量、成本指标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戒毒所经费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年日均强戒人员1050人，伙食费327.6万、医疗费397.4万、工杂费312万</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Cs w:val="21"/>
              </w:rPr>
              <w:t>完成年日均强戒人员1050人，伙食费327.6万、医疗费397.4万、工杂费312万</w:t>
            </w:r>
          </w:p>
        </w:tc>
      </w:tr>
      <w:tr>
        <w:tblPrEx>
          <w:tblCellMar>
            <w:top w:w="0" w:type="dxa"/>
            <w:left w:w="0" w:type="dxa"/>
            <w:bottom w:w="0" w:type="dxa"/>
            <w:right w:w="0" w:type="dxa"/>
          </w:tblCellMar>
        </w:tblPrEx>
        <w:trPr>
          <w:trHeight w:val="87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数量、成本指标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拘留所经费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年日均拘留人员170人，伙食费53.4万、医疗费5万、工杂费10万</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完成年日均拘留人员170人，伙食费53.4万、医疗费5万、工杂费10万</w:t>
            </w:r>
          </w:p>
        </w:tc>
      </w:tr>
      <w:tr>
        <w:tblPrEx>
          <w:tblCellMar>
            <w:top w:w="0" w:type="dxa"/>
            <w:left w:w="0" w:type="dxa"/>
            <w:bottom w:w="0" w:type="dxa"/>
            <w:right w:w="0" w:type="dxa"/>
          </w:tblCellMar>
        </w:tblPrEx>
        <w:trPr>
          <w:trHeight w:val="4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三所及康复农场经费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2018年全年</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2018年全年</w:t>
            </w:r>
          </w:p>
        </w:tc>
      </w:tr>
      <w:tr>
        <w:tblPrEx>
          <w:tblCellMar>
            <w:top w:w="0" w:type="dxa"/>
            <w:left w:w="0" w:type="dxa"/>
            <w:bottom w:w="0" w:type="dxa"/>
            <w:right w:w="0" w:type="dxa"/>
          </w:tblCellMar>
        </w:tblPrEx>
        <w:trPr>
          <w:trHeight w:val="60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三所及康复农场效益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对三所羁押人员进行有效管控，维护社会治安</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Cs w:val="21"/>
              </w:rPr>
              <w:t>对三所羁押人员进行有效管控，维护社会治安</w:t>
            </w:r>
          </w:p>
        </w:tc>
      </w:tr>
      <w:tr>
        <w:tblPrEx>
          <w:tblCellMar>
            <w:top w:w="0" w:type="dxa"/>
            <w:left w:w="0" w:type="dxa"/>
            <w:bottom w:w="0" w:type="dxa"/>
            <w:right w:w="0" w:type="dxa"/>
          </w:tblCellMar>
        </w:tblPrEx>
        <w:trPr>
          <w:trHeight w:val="66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满意度指标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人民群众满意度</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市民安全感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持续上升</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持续上升</w:t>
            </w:r>
          </w:p>
        </w:tc>
      </w:tr>
      <w:tr>
        <w:tblPrEx>
          <w:tblCellMar>
            <w:top w:w="0" w:type="dxa"/>
            <w:left w:w="0" w:type="dxa"/>
            <w:bottom w:w="0" w:type="dxa"/>
            <w:right w:w="0" w:type="dxa"/>
          </w:tblCellMar>
        </w:tblPrEx>
        <w:trPr>
          <w:trHeight w:val="1119" w:hRule="atLeast"/>
        </w:trPr>
        <w:tc>
          <w:tcPr>
            <w:tcW w:w="10221" w:type="dxa"/>
            <w:gridSpan w:val="7"/>
            <w:tcMar>
              <w:top w:w="15" w:type="dxa"/>
              <w:left w:w="15" w:type="dxa"/>
              <w:bottom w:w="0" w:type="dxa"/>
              <w:right w:w="15" w:type="dxa"/>
            </w:tcMar>
            <w:vAlign w:val="center"/>
          </w:tcPr>
          <w:p>
            <w:pPr>
              <w:widowControl/>
              <w:jc w:val="center"/>
              <w:textAlignment w:val="center"/>
              <w:rPr>
                <w:rFonts w:ascii="黑体" w:hAnsi="黑体" w:eastAsia="黑体" w:cs="宋体"/>
                <w:bCs/>
                <w:color w:val="000000"/>
                <w:kern w:val="0"/>
                <w:sz w:val="36"/>
                <w:szCs w:val="36"/>
              </w:rPr>
            </w:pPr>
          </w:p>
          <w:p>
            <w:pPr>
              <w:widowControl/>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项目支出绩效目标完成情况表5</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警犬繁育及驯养工作经费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3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攀枝花市公安局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w:t>
            </w:r>
          </w:p>
        </w:tc>
      </w:tr>
      <w:tr>
        <w:tblPrEx>
          <w:tblCellMar>
            <w:top w:w="0" w:type="dxa"/>
            <w:left w:w="0" w:type="dxa"/>
            <w:bottom w:w="0" w:type="dxa"/>
            <w:right w:w="0" w:type="dxa"/>
          </w:tblCellMar>
        </w:tblPrEx>
        <w:trPr>
          <w:trHeight w:val="14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8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保障警犬食品药品充足供应，达到以警犬协助侦破案件及各类大型安保行动的目的。</w:t>
            </w:r>
          </w:p>
        </w:tc>
        <w:tc>
          <w:tcPr>
            <w:tcW w:w="504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完成了预期目标</w:t>
            </w:r>
          </w:p>
        </w:tc>
      </w:tr>
      <w:tr>
        <w:tblPrEx>
          <w:tblCellMar>
            <w:top w:w="0" w:type="dxa"/>
            <w:left w:w="0" w:type="dxa"/>
            <w:bottom w:w="0" w:type="dxa"/>
            <w:right w:w="0" w:type="dxa"/>
          </w:tblCellMar>
        </w:tblPrEx>
        <w:trPr>
          <w:trHeight w:val="11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警犬驯养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35头警犬</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35头警犬</w:t>
            </w:r>
          </w:p>
        </w:tc>
      </w:tr>
      <w:tr>
        <w:tblPrEx>
          <w:tblCellMar>
            <w:top w:w="0" w:type="dxa"/>
            <w:left w:w="0" w:type="dxa"/>
            <w:bottom w:w="0" w:type="dxa"/>
            <w:right w:w="0" w:type="dxa"/>
          </w:tblCellMar>
        </w:tblPrEx>
        <w:trPr>
          <w:trHeight w:val="106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犬粮、犬药、训练用品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35头犬只犬粮费20.05万元，犬药4.2万、训练品2.75万元</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Cs w:val="21"/>
              </w:rPr>
              <w:t>35头犬只犬粮费20.05万元，犬药4.2万、训练品2.75万元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警犬驯养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2018年全年</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2018年全年</w:t>
            </w:r>
          </w:p>
        </w:tc>
      </w:tr>
      <w:tr>
        <w:tblPrEx>
          <w:tblCellMar>
            <w:top w:w="0" w:type="dxa"/>
            <w:left w:w="0" w:type="dxa"/>
            <w:bottom w:w="0" w:type="dxa"/>
            <w:right w:w="0" w:type="dxa"/>
          </w:tblCellMar>
        </w:tblPrEx>
        <w:trPr>
          <w:trHeight w:val="80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警犬驯养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辅助破案、安保检查</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辅助破案、安保检查</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人民群众满意度</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满意度达95%以上</w:t>
            </w:r>
          </w:p>
        </w:tc>
        <w:tc>
          <w:tcPr>
            <w:tcW w:w="2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满意度已达95%以上</w:t>
            </w:r>
          </w:p>
        </w:tc>
      </w:tr>
    </w:tbl>
    <w:p>
      <w:pPr>
        <w:spacing w:line="580" w:lineRule="exact"/>
        <w:rPr>
          <w:rFonts w:ascii="仿宋_GB2312" w:hAnsi="仿宋_GB2312" w:eastAsia="仿宋_GB2312" w:cs="仿宋_GB2312"/>
          <w:sz w:val="32"/>
          <w:szCs w:val="32"/>
        </w:rPr>
      </w:pPr>
    </w:p>
    <w:p>
      <w:pPr>
        <w:numPr>
          <w:ilvl w:val="0"/>
          <w:numId w:val="5"/>
        </w:num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本部门按要求对2018年部门整体支出绩效评价情况开展了自评，《攀枝花市公安局2018年部门整体支出绩效评价报告》见附件1。</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本部门自行组织了对特别业务费项目开展绩效评价，《特别业务费项目2018年绩效评价报告》见附件2。（非涉密部门均需公开部门整体支出评价报告，部门自行组织的绩效评价情况根据部门实际公开）</w:t>
      </w:r>
    </w:p>
    <w:p>
      <w:pPr>
        <w:spacing w:line="600" w:lineRule="exact"/>
        <w:ind w:firstLine="800" w:firstLineChars="250"/>
        <w:outlineLvl w:val="1"/>
        <w:rPr>
          <w:rStyle w:val="25"/>
          <w:rFonts w:ascii="仿宋" w:hAnsi="仿宋" w:eastAsia="仿宋"/>
        </w:rPr>
      </w:pPr>
      <w:bookmarkStart w:id="58" w:name="_Toc15396612"/>
      <w:bookmarkStart w:id="59" w:name="_Toc15377221"/>
      <w:r>
        <w:rPr>
          <w:rFonts w:hint="eastAsia" w:ascii="仿宋" w:hAnsi="仿宋" w:eastAsia="仿宋"/>
          <w:color w:val="000000"/>
          <w:sz w:val="32"/>
          <w:szCs w:val="32"/>
        </w:rPr>
        <w:t>十</w:t>
      </w:r>
      <w:r>
        <w:rPr>
          <w:rStyle w:val="25"/>
          <w:rFonts w:hint="eastAsia" w:ascii="仿宋" w:hAnsi="仿宋" w:eastAsia="仿宋"/>
        </w:rPr>
        <w:t>一、</w:t>
      </w:r>
      <w:r>
        <w:rPr>
          <w:rStyle w:val="25"/>
          <w:rFonts w:hint="eastAsia" w:ascii="仿宋" w:hAnsi="仿宋" w:eastAsia="仿宋"/>
          <w:b w:val="0"/>
        </w:rPr>
        <w:t>其他重要事项的情况说明</w:t>
      </w:r>
      <w:bookmarkEnd w:id="58"/>
      <w:bookmarkEnd w:id="59"/>
    </w:p>
    <w:p>
      <w:pPr>
        <w:spacing w:line="600" w:lineRule="exact"/>
        <w:ind w:firstLine="642" w:firstLineChars="200"/>
        <w:outlineLvl w:val="2"/>
        <w:rPr>
          <w:rFonts w:ascii="仿宋" w:hAnsi="仿宋" w:eastAsia="仿宋"/>
          <w:color w:val="000000"/>
          <w:sz w:val="32"/>
          <w:szCs w:val="32"/>
        </w:rPr>
      </w:pPr>
      <w:bookmarkStart w:id="60" w:name="_Toc15377222"/>
      <w:r>
        <w:rPr>
          <w:rFonts w:hint="eastAsia" w:ascii="仿宋" w:hAnsi="仿宋" w:eastAsia="仿宋"/>
          <w:b/>
          <w:color w:val="000000"/>
          <w:sz w:val="32"/>
          <w:szCs w:val="32"/>
        </w:rPr>
        <w:t>（一）机关运行经费支出情况</w:t>
      </w:r>
      <w:bookmarkEnd w:id="60"/>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8年，攀枝花市公安局机关运行经费支出4005.89万元，比</w:t>
      </w:r>
      <w:r>
        <w:rPr>
          <w:rFonts w:ascii="仿宋" w:hAnsi="仿宋" w:eastAsia="仿宋"/>
          <w:color w:val="000000"/>
          <w:sz w:val="32"/>
          <w:szCs w:val="32"/>
        </w:rPr>
        <w:t>201</w:t>
      </w:r>
      <w:r>
        <w:rPr>
          <w:rFonts w:hint="eastAsia" w:ascii="仿宋" w:hAnsi="仿宋" w:eastAsia="仿宋"/>
          <w:color w:val="000000"/>
          <w:sz w:val="32"/>
          <w:szCs w:val="32"/>
        </w:rPr>
        <w:t>7年减少269.05万元，下降6.3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主要原因是加强了水电、物业管理、公务用车运行等方面的管理，严格执行厉行节约反对浪费的各项规章制度，严控机关运行经费开支。</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61" w:name="_Toc15377223"/>
      <w:r>
        <w:rPr>
          <w:rFonts w:hint="eastAsia" w:ascii="仿宋" w:hAnsi="仿宋" w:eastAsia="仿宋"/>
          <w:b/>
          <w:color w:val="000000"/>
          <w:sz w:val="32"/>
          <w:szCs w:val="32"/>
        </w:rPr>
        <w:t>（二）政府采购支出情况</w:t>
      </w:r>
      <w:bookmarkEnd w:id="6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攀枝花市公安局政府采购支出总额2700.04万元，其中：政府采购货物支出1284.99万元、政府采购工程支出1123.82万元、政府采购服务支出291.23万元。主要用于办公设备、专用设备、信息软件、物业管理等的购置。授予中小企业合同金额90万元，占政府采购支出总额的3.3</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62" w:name="_Toc15377224"/>
      <w:r>
        <w:rPr>
          <w:rFonts w:hint="eastAsia" w:ascii="仿宋" w:hAnsi="仿宋" w:eastAsia="仿宋"/>
          <w:b/>
          <w:color w:val="000000"/>
          <w:sz w:val="32"/>
          <w:szCs w:val="32"/>
        </w:rPr>
        <w:t>（三）国有资产占有使用情况</w:t>
      </w:r>
      <w:bookmarkEnd w:id="62"/>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8年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日，攀枝花市公安局共有车辆569辆，其中：部级领导干部用车0辆、应急保障用车7辆、一般执法执勤用车490辆、特种专业技术用车10辆、其他用车62辆，</w:t>
      </w:r>
      <w:r>
        <w:rPr>
          <w:rFonts w:hint="eastAsia" w:ascii="仿宋" w:hAnsi="仿宋" w:eastAsia="仿宋"/>
          <w:color w:val="000000" w:themeColor="text1"/>
          <w:sz w:val="32"/>
          <w:szCs w:val="32"/>
        </w:rPr>
        <w:t>其他用车主要是用于在押人员的投牢押送。单价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万元以上通用设备24台（套），单价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万元以上专用设备12台（套）。</w:t>
      </w:r>
    </w:p>
    <w:p>
      <w:pPr>
        <w:spacing w:line="600" w:lineRule="atLeast"/>
        <w:ind w:firstLine="642" w:firstLineChars="200"/>
        <w:rPr>
          <w:rFonts w:ascii="仿宋" w:hAnsi="仿宋" w:eastAsia="仿宋"/>
          <w:b/>
          <w:color w:val="000000"/>
          <w:sz w:val="32"/>
          <w:szCs w:val="32"/>
        </w:rPr>
      </w:pPr>
    </w:p>
    <w:p>
      <w:pPr>
        <w:widowControl/>
        <w:jc w:val="left"/>
        <w:rPr>
          <w:rStyle w:val="24"/>
          <w:rFonts w:ascii="黑体" w:hAnsi="黑体" w:eastAsia="黑体"/>
          <w:b w:val="0"/>
        </w:rPr>
      </w:pPr>
      <w:r>
        <w:rPr>
          <w:rFonts w:ascii="仿宋_GB2312" w:eastAsia="仿宋_GB2312"/>
          <w:b/>
          <w:color w:val="000000"/>
          <w:sz w:val="32"/>
          <w:szCs w:val="32"/>
        </w:rPr>
        <w:br w:type="page"/>
      </w:r>
      <w:bookmarkStart w:id="63" w:name="_Toc15377225"/>
      <w:bookmarkStart w:id="64"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63"/>
      <w:bookmarkEnd w:id="64"/>
    </w:p>
    <w:p>
      <w:pPr>
        <w:spacing w:line="600" w:lineRule="exact"/>
        <w:jc w:val="left"/>
        <w:rPr>
          <w:rFonts w:ascii="仿宋" w:hAnsi="仿宋" w:eastAsia="仿宋"/>
          <w:b/>
          <w:color w:val="000000"/>
          <w:sz w:val="44"/>
          <w:szCs w:val="44"/>
        </w:rPr>
      </w:pPr>
    </w:p>
    <w:p>
      <w:pPr>
        <w:pStyle w:val="22"/>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2"/>
        <w:spacing w:line="560" w:lineRule="exact"/>
        <w:ind w:firstLine="640" w:firstLineChars="200"/>
        <w:rPr>
          <w:rFonts w:hAnsi="仿宋"/>
          <w:sz w:val="32"/>
          <w:szCs w:val="32"/>
        </w:rPr>
      </w:pPr>
      <w:r>
        <w:rPr>
          <w:rFonts w:hint="eastAsia" w:hAnsi="仿宋"/>
          <w:sz w:val="32"/>
          <w:szCs w:val="32"/>
        </w:rPr>
        <w:t>2</w:t>
      </w:r>
      <w:r>
        <w:rPr>
          <w:rFonts w:hAnsi="仿宋"/>
          <w:sz w:val="32"/>
          <w:szCs w:val="32"/>
        </w:rPr>
        <w:t>.</w:t>
      </w:r>
      <w:r>
        <w:rPr>
          <w:rFonts w:hint="eastAsia" w:hAnsi="仿宋"/>
          <w:sz w:val="32"/>
          <w:szCs w:val="32"/>
        </w:rPr>
        <w:t>其他收入：指单位取得的除上述收入以外的各项收入。主要是</w:t>
      </w:r>
      <w:r>
        <w:rPr>
          <w:rFonts w:hint="eastAsia" w:hAnsi="仿宋" w:cs="宋体"/>
          <w:sz w:val="32"/>
          <w:szCs w:val="32"/>
        </w:rPr>
        <w:t>省公安厅拨入的各项奖励及专案经费，以及</w:t>
      </w:r>
      <w:r>
        <w:rPr>
          <w:rFonts w:hint="eastAsia" w:hAnsi="仿宋"/>
          <w:spacing w:val="6"/>
          <w:sz w:val="32"/>
          <w:szCs w:val="32"/>
        </w:rPr>
        <w:t>财政拨天网二期建设资金及应急联动指挥中心改造资金，区财政拨区禁毒办工作经费、辅警人员经费、民警24小时在身边工作运行经费</w:t>
      </w:r>
      <w:r>
        <w:rPr>
          <w:rFonts w:hint="eastAsia" w:hAnsi="仿宋"/>
          <w:sz w:val="32"/>
          <w:szCs w:val="32"/>
        </w:rPr>
        <w:t>等。</w:t>
      </w:r>
    </w:p>
    <w:p>
      <w:pPr>
        <w:pStyle w:val="22"/>
        <w:spacing w:line="560" w:lineRule="exact"/>
        <w:ind w:firstLine="640" w:firstLineChars="200"/>
        <w:rPr>
          <w:rFonts w:hAnsi="仿宋"/>
          <w:sz w:val="32"/>
          <w:szCs w:val="32"/>
        </w:rPr>
      </w:pPr>
      <w:r>
        <w:rPr>
          <w:rFonts w:hint="eastAsia" w:hAnsi="仿宋"/>
          <w:sz w:val="32"/>
          <w:szCs w:val="32"/>
        </w:rPr>
        <w:t>3</w:t>
      </w:r>
      <w:r>
        <w:rPr>
          <w:rFonts w:hAnsi="仿宋"/>
          <w:sz w:val="32"/>
          <w:szCs w:val="32"/>
        </w:rPr>
        <w:t>.</w:t>
      </w:r>
      <w:r>
        <w:rPr>
          <w:rFonts w:hint="eastAsia" w:hAnsi="仿宋"/>
          <w:sz w:val="32"/>
          <w:szCs w:val="32"/>
        </w:rPr>
        <w:t>年初结转和结余：指以前年度尚未完成、结转到本年按有关规定继续使用的资金。</w:t>
      </w:r>
    </w:p>
    <w:p>
      <w:pPr>
        <w:pStyle w:val="22"/>
        <w:spacing w:line="560" w:lineRule="exact"/>
        <w:ind w:firstLine="640" w:firstLineChars="200"/>
        <w:rPr>
          <w:rFonts w:hAnsi="仿宋"/>
          <w:sz w:val="32"/>
          <w:szCs w:val="32"/>
        </w:rPr>
      </w:pPr>
      <w:r>
        <w:rPr>
          <w:rFonts w:hint="eastAsia" w:hAnsi="仿宋"/>
          <w:sz w:val="32"/>
          <w:szCs w:val="32"/>
        </w:rPr>
        <w:t>4、年末结转和结余：指单位按有关规定结转到下年或以后年度继续使用的资金。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Style w:val="14"/>
          <w:rFonts w:hint="eastAsia" w:ascii="仿宋" w:hAnsi="仿宋" w:eastAsia="仿宋"/>
          <w:b w:val="0"/>
          <w:color w:val="000000"/>
          <w:sz w:val="32"/>
          <w:szCs w:val="32"/>
        </w:rPr>
        <w:t>一般公共服务支出-政府办公厅（室）及相关机构事务-信访事务</w:t>
      </w:r>
      <w:r>
        <w:rPr>
          <w:rFonts w:hint="eastAsia" w:ascii="仿宋" w:hAnsi="仿宋" w:eastAsia="仿宋"/>
          <w:color w:val="000000"/>
          <w:sz w:val="32"/>
          <w:szCs w:val="32"/>
        </w:rPr>
        <w:t>：反映各级政府用于接待群众来信来访方面的支出。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w:t>
      </w:r>
      <w:r>
        <w:rPr>
          <w:rFonts w:ascii="仿宋" w:hAnsi="仿宋" w:eastAsia="仿宋"/>
          <w:color w:val="000000"/>
          <w:sz w:val="32"/>
          <w:szCs w:val="32"/>
        </w:rPr>
        <w:t>.</w:t>
      </w:r>
      <w:r>
        <w:rPr>
          <w:rFonts w:hint="eastAsia" w:ascii="仿宋" w:hAnsi="仿宋" w:eastAsia="仿宋"/>
          <w:color w:val="000000"/>
          <w:sz w:val="32"/>
          <w:szCs w:val="32"/>
        </w:rPr>
        <w:t>一般公共服务支出-组织事务-其他组织事务支出：反映除上述项目以外其他用于中国共产党组织部门的事务支出。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w:t>
      </w:r>
      <w:r>
        <w:rPr>
          <w:rStyle w:val="14"/>
          <w:rFonts w:hint="eastAsia" w:ascii="仿宋" w:hAnsi="仿宋" w:eastAsia="仿宋"/>
          <w:b w:val="0"/>
          <w:color w:val="000000"/>
          <w:sz w:val="32"/>
          <w:szCs w:val="32"/>
        </w:rPr>
        <w:t xml:space="preserve"> 公共安全支出-公安-行政运行</w:t>
      </w:r>
      <w:r>
        <w:rPr>
          <w:rFonts w:hint="eastAsia" w:ascii="仿宋" w:hAnsi="仿宋" w:eastAsia="仿宋"/>
          <w:b/>
          <w:color w:val="000000"/>
          <w:sz w:val="32"/>
          <w:szCs w:val="32"/>
        </w:rPr>
        <w:t>：</w:t>
      </w:r>
      <w:r>
        <w:rPr>
          <w:rFonts w:hint="eastAsia" w:ascii="仿宋" w:hAnsi="仿宋" w:eastAsia="仿宋"/>
          <w:color w:val="000000"/>
          <w:sz w:val="32"/>
          <w:szCs w:val="32"/>
        </w:rPr>
        <w:t>指行政单位（包括实行公务员管理的事业单位）的基本支出。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w:t>
      </w:r>
      <w:r>
        <w:rPr>
          <w:rStyle w:val="14"/>
          <w:rFonts w:hint="eastAsia" w:ascii="仿宋" w:hAnsi="仿宋" w:eastAsia="仿宋"/>
          <w:b w:val="0"/>
          <w:color w:val="000000"/>
          <w:sz w:val="32"/>
          <w:szCs w:val="32"/>
        </w:rPr>
        <w:t xml:space="preserve"> 公共安全支出-公安-一般行政管理事务</w:t>
      </w:r>
      <w:r>
        <w:rPr>
          <w:rFonts w:hint="eastAsia" w:ascii="仿宋" w:hAnsi="仿宋" w:eastAsia="仿宋"/>
          <w:color w:val="000000"/>
          <w:sz w:val="32"/>
          <w:szCs w:val="32"/>
        </w:rPr>
        <w:t>：指行政单位（包括实行公务员管理的事业单位）未单独设置项级科目的其他项目支出。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w:t>
      </w:r>
      <w:r>
        <w:rPr>
          <w:rStyle w:val="14"/>
          <w:rFonts w:hint="eastAsia" w:ascii="仿宋" w:hAnsi="仿宋" w:eastAsia="仿宋"/>
          <w:b w:val="0"/>
          <w:color w:val="000000"/>
          <w:sz w:val="32"/>
          <w:szCs w:val="32"/>
        </w:rPr>
        <w:t xml:space="preserve"> 公共安全支出-公安-刑事侦查</w:t>
      </w:r>
      <w:r>
        <w:rPr>
          <w:rFonts w:hint="eastAsia" w:ascii="仿宋" w:hAnsi="仿宋" w:eastAsia="仿宋"/>
          <w:color w:val="000000"/>
          <w:sz w:val="32"/>
          <w:szCs w:val="32"/>
        </w:rPr>
        <w:t>：指各级公安机关开展打击刑事犯罪活动的支出。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w:t>
      </w:r>
      <w:r>
        <w:rPr>
          <w:rStyle w:val="14"/>
          <w:rFonts w:hint="eastAsia" w:ascii="仿宋" w:hAnsi="仿宋" w:eastAsia="仿宋"/>
          <w:b w:val="0"/>
          <w:color w:val="000000"/>
          <w:sz w:val="32"/>
          <w:szCs w:val="32"/>
        </w:rPr>
        <w:t xml:space="preserve"> 公共安全支出-公安-出入境管理</w:t>
      </w:r>
      <w:r>
        <w:rPr>
          <w:rFonts w:hint="eastAsia" w:ascii="仿宋" w:hAnsi="仿宋" w:eastAsia="仿宋"/>
          <w:color w:val="000000"/>
          <w:sz w:val="32"/>
          <w:szCs w:val="32"/>
        </w:rPr>
        <w:t>：指各级公安机关开展出入境管理工作的支出，包括“三非”外国人遣返，出入境证照印制、管理以及出入境边防检查站等方面的支出。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w:t>
      </w:r>
      <w:r>
        <w:rPr>
          <w:rStyle w:val="14"/>
          <w:rFonts w:hint="eastAsia" w:ascii="仿宋" w:hAnsi="仿宋" w:eastAsia="仿宋"/>
          <w:b w:val="0"/>
          <w:color w:val="000000"/>
          <w:sz w:val="32"/>
          <w:szCs w:val="32"/>
        </w:rPr>
        <w:t xml:space="preserve"> 公共安全支出-公安-禁毒管理</w:t>
      </w:r>
      <w:r>
        <w:rPr>
          <w:rFonts w:hint="eastAsia" w:ascii="仿宋" w:hAnsi="仿宋" w:eastAsia="仿宋"/>
          <w:color w:val="000000"/>
          <w:sz w:val="32"/>
          <w:szCs w:val="32"/>
        </w:rPr>
        <w:t>：指各级公安机关开展禁毒工作的支出。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w:t>
      </w:r>
      <w:r>
        <w:rPr>
          <w:rStyle w:val="14"/>
          <w:rFonts w:hint="eastAsia" w:ascii="仿宋" w:hAnsi="仿宋" w:eastAsia="仿宋"/>
          <w:b w:val="0"/>
          <w:color w:val="000000"/>
          <w:sz w:val="32"/>
          <w:szCs w:val="32"/>
        </w:rPr>
        <w:t xml:space="preserve"> 公共安全支出-公安-反恐怖</w:t>
      </w:r>
      <w:r>
        <w:rPr>
          <w:rFonts w:hint="eastAsia" w:ascii="仿宋" w:hAnsi="仿宋" w:eastAsia="仿宋"/>
          <w:color w:val="000000"/>
          <w:sz w:val="32"/>
          <w:szCs w:val="32"/>
        </w:rPr>
        <w:t>：指各级公安机关开展各类反恐怖工作的支出。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13.</w:t>
      </w:r>
      <w:r>
        <w:rPr>
          <w:rStyle w:val="14"/>
          <w:rFonts w:hint="eastAsia" w:ascii="仿宋" w:hAnsi="仿宋" w:eastAsia="仿宋"/>
          <w:b w:val="0"/>
          <w:color w:val="000000"/>
          <w:sz w:val="32"/>
          <w:szCs w:val="32"/>
        </w:rPr>
        <w:t xml:space="preserve"> 公共安全支出-公安-拘押收教场所管理</w:t>
      </w:r>
      <w:r>
        <w:rPr>
          <w:rFonts w:hint="eastAsia" w:ascii="仿宋" w:hAnsi="仿宋" w:eastAsia="仿宋"/>
          <w:color w:val="000000"/>
          <w:sz w:val="32"/>
          <w:szCs w:val="32"/>
        </w:rPr>
        <w:t>：指各级公安机关所属看守所、行政拘留所、强制戒毒所等方面的支出。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14.</w:t>
      </w:r>
      <w:r>
        <w:rPr>
          <w:rStyle w:val="14"/>
          <w:rFonts w:hint="eastAsia" w:ascii="仿宋" w:hAnsi="仿宋" w:eastAsia="仿宋"/>
          <w:b w:val="0"/>
          <w:color w:val="000000"/>
          <w:sz w:val="32"/>
          <w:szCs w:val="32"/>
        </w:rPr>
        <w:t xml:space="preserve"> 公共安全支出-公安-警犬繁育及驯养</w:t>
      </w:r>
      <w:r>
        <w:rPr>
          <w:rFonts w:hint="eastAsia" w:ascii="仿宋" w:hAnsi="仿宋" w:eastAsia="仿宋"/>
          <w:color w:val="000000"/>
          <w:sz w:val="32"/>
          <w:szCs w:val="32"/>
        </w:rPr>
        <w:t>：指各级公安机关警犬繁育及驯养的支出。</w:t>
      </w:r>
    </w:p>
    <w:p>
      <w:pPr>
        <w:ind w:firstLine="640" w:firstLineChars="200"/>
        <w:rPr>
          <w:rFonts w:ascii="仿宋" w:hAnsi="仿宋" w:eastAsia="仿宋"/>
          <w:color w:val="000000"/>
          <w:sz w:val="32"/>
          <w:szCs w:val="32"/>
        </w:rPr>
      </w:pPr>
      <w:r>
        <w:rPr>
          <w:rStyle w:val="14"/>
          <w:rFonts w:hint="eastAsia" w:ascii="仿宋" w:hAnsi="仿宋" w:eastAsia="仿宋"/>
          <w:b w:val="0"/>
          <w:color w:val="000000"/>
          <w:sz w:val="32"/>
          <w:szCs w:val="32"/>
        </w:rPr>
        <w:t>15.公共安全支出-公安-道路交通管理</w:t>
      </w:r>
      <w:r>
        <w:rPr>
          <w:rFonts w:hint="eastAsia" w:ascii="仿宋" w:hAnsi="仿宋" w:eastAsia="仿宋"/>
          <w:color w:val="000000"/>
          <w:sz w:val="32"/>
          <w:szCs w:val="32"/>
        </w:rPr>
        <w:t>：反映各级公安机关开展各类道路交通管理工作的支出。</w:t>
      </w:r>
    </w:p>
    <w:p>
      <w:pPr>
        <w:ind w:firstLine="640" w:firstLineChars="200"/>
        <w:rPr>
          <w:rFonts w:ascii="仿宋" w:hAnsi="仿宋" w:eastAsia="仿宋"/>
          <w:color w:val="000000"/>
          <w:sz w:val="32"/>
          <w:szCs w:val="32"/>
        </w:rPr>
      </w:pPr>
      <w:r>
        <w:rPr>
          <w:rStyle w:val="14"/>
          <w:rFonts w:hint="eastAsia" w:ascii="仿宋" w:hAnsi="仿宋" w:eastAsia="仿宋"/>
          <w:b w:val="0"/>
          <w:color w:val="000000"/>
          <w:sz w:val="32"/>
          <w:szCs w:val="32"/>
        </w:rPr>
        <w:t>16.公共安全支出-公安-治安管理</w:t>
      </w:r>
      <w:r>
        <w:rPr>
          <w:rFonts w:hint="eastAsia" w:ascii="仿宋" w:hAnsi="仿宋" w:eastAsia="仿宋"/>
          <w:color w:val="000000"/>
          <w:sz w:val="32"/>
          <w:szCs w:val="32"/>
        </w:rPr>
        <w:t>：指各级公安机关开展治安管理工作的支出，包括所属巡警队、特警队、派出所、110等方面的支出。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17.</w:t>
      </w:r>
      <w:r>
        <w:rPr>
          <w:rStyle w:val="14"/>
          <w:rFonts w:hint="eastAsia" w:ascii="仿宋" w:hAnsi="仿宋" w:eastAsia="仿宋"/>
          <w:b w:val="0"/>
          <w:color w:val="000000"/>
          <w:sz w:val="32"/>
          <w:szCs w:val="32"/>
        </w:rPr>
        <w:t xml:space="preserve"> 公共安全支出-公安-事业运行：指事业单位的基本支出，不包括行政单位后勤服务中心、医务室等附属事业单位</w:t>
      </w:r>
      <w:r>
        <w:rPr>
          <w:rFonts w:hint="eastAsia" w:ascii="仿宋" w:hAnsi="仿宋" w:eastAsia="仿宋"/>
          <w:color w:val="000000"/>
          <w:sz w:val="32"/>
          <w:szCs w:val="32"/>
        </w:rPr>
        <w:t>。</w:t>
      </w:r>
    </w:p>
    <w:p>
      <w:pPr>
        <w:ind w:firstLine="640" w:firstLineChars="200"/>
        <w:rPr>
          <w:rStyle w:val="14"/>
          <w:rFonts w:ascii="仿宋" w:hAnsi="仿宋" w:eastAsia="仿宋"/>
          <w:b w:val="0"/>
          <w:color w:val="000000"/>
          <w:sz w:val="32"/>
          <w:szCs w:val="32"/>
        </w:rPr>
      </w:pPr>
      <w:r>
        <w:rPr>
          <w:rStyle w:val="14"/>
          <w:rFonts w:hint="eastAsia" w:ascii="仿宋" w:hAnsi="仿宋" w:eastAsia="仿宋"/>
          <w:b w:val="0"/>
          <w:color w:val="000000"/>
          <w:sz w:val="32"/>
          <w:szCs w:val="32"/>
        </w:rPr>
        <w:t>18.公共安全支出-公安-其他公安支出：反映除上述项目以外其他用于公安方面的支出。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19.</w:t>
      </w:r>
      <w:r>
        <w:rPr>
          <w:rStyle w:val="14"/>
          <w:rFonts w:hint="eastAsia" w:ascii="仿宋" w:hAnsi="仿宋" w:eastAsia="仿宋"/>
          <w:b w:val="0"/>
          <w:color w:val="000000"/>
          <w:sz w:val="32"/>
          <w:szCs w:val="32"/>
        </w:rPr>
        <w:t xml:space="preserve"> 公共安全支出-其他公共安全支出-其他公共安全支出</w:t>
      </w:r>
      <w:r>
        <w:rPr>
          <w:rFonts w:hint="eastAsia" w:ascii="仿宋" w:hAnsi="仿宋" w:eastAsia="仿宋"/>
          <w:color w:val="000000"/>
          <w:sz w:val="32"/>
          <w:szCs w:val="32"/>
        </w:rPr>
        <w:t>：指除上述项目以外其他用于公安方面的支出。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w:t>
      </w:r>
      <w:r>
        <w:rPr>
          <w:rStyle w:val="14"/>
          <w:rFonts w:hint="eastAsia" w:ascii="仿宋" w:hAnsi="仿宋" w:eastAsia="仿宋"/>
          <w:b w:val="0"/>
          <w:color w:val="000000"/>
          <w:sz w:val="32"/>
          <w:szCs w:val="32"/>
        </w:rPr>
        <w:t xml:space="preserve"> 文化体育与传媒支出-其他文化体育与传媒支出-宣传文化发展专项支出</w:t>
      </w:r>
      <w:r>
        <w:rPr>
          <w:rFonts w:hint="eastAsia" w:ascii="仿宋" w:hAnsi="仿宋" w:eastAsia="仿宋"/>
          <w:color w:val="000000"/>
          <w:sz w:val="32"/>
          <w:szCs w:val="32"/>
        </w:rPr>
        <w:t>：反映按照国家有关政策支持宣传文化单位发展的专项支出。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21</w:t>
      </w:r>
      <w:r>
        <w:rPr>
          <w:rFonts w:ascii="仿宋" w:hAnsi="仿宋" w:eastAsia="仿宋"/>
          <w:color w:val="000000"/>
          <w:sz w:val="32"/>
          <w:szCs w:val="32"/>
        </w:rPr>
        <w:t>.</w:t>
      </w:r>
      <w:r>
        <w:rPr>
          <w:rStyle w:val="14"/>
          <w:rFonts w:hint="eastAsia" w:ascii="仿宋" w:hAnsi="仿宋" w:eastAsia="仿宋"/>
          <w:b w:val="0"/>
          <w:color w:val="000000"/>
          <w:sz w:val="32"/>
          <w:szCs w:val="32"/>
        </w:rPr>
        <w:t>社会保障和就业支出-行政事业单位离退休-未归口管理的行政单位离退休：反映实行归口管理的行政单位开支的离退休支出</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Style w:val="14"/>
          <w:rFonts w:hint="eastAsia" w:ascii="仿宋" w:hAnsi="仿宋" w:eastAsia="仿宋"/>
          <w:b w:val="0"/>
          <w:color w:val="000000"/>
          <w:sz w:val="32"/>
          <w:szCs w:val="32"/>
        </w:rPr>
        <w:t>22.</w:t>
      </w:r>
      <w:r>
        <w:rPr>
          <w:rStyle w:val="14"/>
          <w:rFonts w:hint="eastAsia" w:ascii="仿宋" w:hAnsi="仿宋" w:eastAsia="仿宋" w:cs="宋体"/>
          <w:b w:val="0"/>
          <w:color w:val="000000"/>
          <w:sz w:val="32"/>
          <w:szCs w:val="32"/>
        </w:rPr>
        <w:t>社会保障和就业支出-行政事业单位离退休-机关事业单位基本养老保险费支出：反映机关事业单位实施养老保险制度由单位缴纳的基本养老保险费支出</w:t>
      </w:r>
      <w:r>
        <w:rPr>
          <w:rFonts w:hint="eastAsia" w:ascii="仿宋" w:hAnsi="仿宋" w:eastAsia="仿宋"/>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23.社会保障和就业支出-行政事业单位离退休-机关事业单位职业年金缴费支出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反映机关事业单位实施养老保险制度由单位实际缴纳的职业年金支出。</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24</w:t>
      </w:r>
      <w:r>
        <w:rPr>
          <w:rStyle w:val="14"/>
          <w:rFonts w:ascii="仿宋" w:hAnsi="仿宋" w:eastAsia="仿宋"/>
          <w:b w:val="0"/>
          <w:bCs/>
          <w:color w:val="000000"/>
          <w:sz w:val="32"/>
          <w:szCs w:val="32"/>
        </w:rPr>
        <w:t>.</w:t>
      </w:r>
      <w:r>
        <w:rPr>
          <w:rStyle w:val="14"/>
          <w:rFonts w:hint="eastAsia" w:ascii="仿宋" w:hAnsi="仿宋" w:eastAsia="仿宋"/>
          <w:b w:val="0"/>
          <w:color w:val="000000"/>
          <w:sz w:val="32"/>
          <w:szCs w:val="32"/>
        </w:rPr>
        <w:t>社会保障和就业支出-行政事业单位离退休-其他行政事业单位离退休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反映除上述项目以外其他用于行政事业单位离退休方面的支出。</w:t>
      </w:r>
    </w:p>
    <w:p>
      <w:pPr>
        <w:ind w:firstLine="640" w:firstLineChars="200"/>
        <w:rPr>
          <w:rStyle w:val="14"/>
          <w:rFonts w:ascii="仿宋" w:hAnsi="仿宋" w:eastAsia="仿宋" w:cs="宋体"/>
          <w:b w:val="0"/>
          <w:color w:val="000000"/>
          <w:sz w:val="32"/>
          <w:szCs w:val="32"/>
        </w:rPr>
      </w:pPr>
      <w:r>
        <w:rPr>
          <w:rStyle w:val="14"/>
          <w:rFonts w:hint="eastAsia" w:ascii="仿宋" w:hAnsi="仿宋" w:eastAsia="仿宋" w:cs="宋体"/>
          <w:b w:val="0"/>
          <w:color w:val="000000"/>
          <w:sz w:val="32"/>
          <w:szCs w:val="32"/>
        </w:rPr>
        <w:t>25. 社会保障和就业支出-抚恤-死亡抚恤：反映按规定用于烈士和牺牲、病故人员家属的一次性和定期抚恤金以及丧葬补助费。</w:t>
      </w:r>
    </w:p>
    <w:p>
      <w:pPr>
        <w:ind w:firstLine="640" w:firstLineChars="200"/>
        <w:rPr>
          <w:rStyle w:val="14"/>
          <w:rFonts w:ascii="仿宋" w:hAnsi="仿宋" w:eastAsia="仿宋"/>
          <w:b w:val="0"/>
          <w:color w:val="000000"/>
          <w:sz w:val="32"/>
          <w:szCs w:val="32"/>
        </w:rPr>
      </w:pPr>
      <w:r>
        <w:rPr>
          <w:rStyle w:val="14"/>
          <w:rFonts w:hint="eastAsia" w:ascii="仿宋" w:hAnsi="仿宋" w:eastAsia="仿宋" w:cs="宋体"/>
          <w:b w:val="0"/>
          <w:color w:val="000000"/>
          <w:sz w:val="32"/>
          <w:szCs w:val="32"/>
        </w:rPr>
        <w:t>26. 社会保障和就业支出-社会福利-儿童福利：反映对儿童提供福利服务方面的支出。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27</w:t>
      </w:r>
      <w:r>
        <w:rPr>
          <w:rFonts w:ascii="仿宋" w:hAnsi="仿宋" w:eastAsia="仿宋"/>
          <w:color w:val="000000"/>
          <w:sz w:val="32"/>
          <w:szCs w:val="32"/>
        </w:rPr>
        <w:t>.</w:t>
      </w:r>
      <w:r>
        <w:rPr>
          <w:rStyle w:val="14"/>
          <w:rFonts w:hint="eastAsia" w:ascii="仿宋" w:hAnsi="仿宋" w:eastAsia="仿宋"/>
          <w:b w:val="0"/>
          <w:color w:val="000000"/>
          <w:sz w:val="32"/>
          <w:szCs w:val="32"/>
        </w:rPr>
        <w:t>医疗卫生与计划生育支出-公共卫生-重大公共卫生专项：反映重大疾病预防控制等重大卫生公共服务项目支出。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28</w:t>
      </w:r>
      <w:r>
        <w:rPr>
          <w:rFonts w:ascii="仿宋" w:hAnsi="仿宋" w:eastAsia="仿宋"/>
          <w:color w:val="000000"/>
          <w:sz w:val="32"/>
          <w:szCs w:val="32"/>
        </w:rPr>
        <w:t>.</w:t>
      </w:r>
      <w:r>
        <w:rPr>
          <w:rStyle w:val="14"/>
          <w:rFonts w:hint="eastAsia" w:ascii="仿宋" w:hAnsi="仿宋" w:eastAsia="仿宋"/>
          <w:b w:val="0"/>
          <w:color w:val="000000"/>
          <w:sz w:val="32"/>
          <w:szCs w:val="32"/>
        </w:rPr>
        <w:t>城乡社区支出-城乡社区公共设施-其他城乡社区公共设施支出</w:t>
      </w:r>
      <w:r>
        <w:rPr>
          <w:rFonts w:hint="eastAsia" w:ascii="仿宋" w:hAnsi="仿宋" w:eastAsia="仿宋"/>
          <w:color w:val="000000"/>
          <w:sz w:val="32"/>
          <w:szCs w:val="32"/>
        </w:rPr>
        <w:t>：反映除上述项目以外其他用于</w:t>
      </w:r>
      <w:r>
        <w:rPr>
          <w:rStyle w:val="14"/>
          <w:rFonts w:hint="eastAsia" w:ascii="仿宋" w:hAnsi="仿宋" w:eastAsia="仿宋"/>
          <w:b w:val="0"/>
          <w:color w:val="000000"/>
          <w:sz w:val="32"/>
          <w:szCs w:val="32"/>
        </w:rPr>
        <w:t>城乡社区公共设施方面的支出</w:t>
      </w:r>
      <w:r>
        <w:rPr>
          <w:rFonts w:hint="eastAsia" w:ascii="仿宋" w:hAnsi="仿宋" w:eastAsia="仿宋"/>
          <w:color w:val="000000"/>
          <w:sz w:val="32"/>
          <w:szCs w:val="32"/>
        </w:rPr>
        <w:t>。</w:t>
      </w:r>
    </w:p>
    <w:p>
      <w:pPr>
        <w:ind w:firstLine="640" w:firstLineChars="200"/>
        <w:rPr>
          <w:rStyle w:val="14"/>
          <w:rFonts w:ascii="仿宋" w:hAnsi="仿宋" w:eastAsia="仿宋"/>
          <w:b w:val="0"/>
          <w:color w:val="000000"/>
          <w:sz w:val="32"/>
          <w:szCs w:val="32"/>
        </w:rPr>
      </w:pPr>
      <w:r>
        <w:rPr>
          <w:rStyle w:val="14"/>
          <w:rFonts w:hint="eastAsia" w:ascii="仿宋" w:hAnsi="仿宋" w:eastAsia="仿宋"/>
          <w:b w:val="0"/>
          <w:color w:val="000000"/>
          <w:sz w:val="32"/>
          <w:szCs w:val="32"/>
        </w:rPr>
        <w:t>29.住房保障支出-住房改革支出-住房公积金：反映行政事业单位按人力资源和社会保障部、财政部规定的基本工资和津补贴以及规定比例为职工缴纳的住房公积金。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30.城乡社区支出-国有土地使用权出让收入及对应专项债务收入安排的支出-土地开发支出：反映地方人民政府用于前期土地开发性支出以及与前期土地开发相关的费用等支出。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31.城乡社区支出-国有土地使用权出让收入及对应专项债务收入安排的支出-其他国有土地使用权出让收入安排的支出：反映土地出让收入用于其他方面的支出。不包括市县级政府当年按规定用土地出让收入向中央和省级政府缴纳的新增建设用地土地有偿使用费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32.城乡社区支出-城市基础设施配套费及对应专项债务收入安排的支出-其他城市基础设施配套费安排的支出：反映上述项目以外的城市基础设施配套费支出。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33</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34</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p>
    <w:p>
      <w:pPr>
        <w:pStyle w:val="22"/>
        <w:spacing w:line="560" w:lineRule="exact"/>
        <w:ind w:firstLine="640" w:firstLineChars="200"/>
        <w:rPr>
          <w:rFonts w:hAnsi="仿宋"/>
          <w:sz w:val="32"/>
          <w:szCs w:val="32"/>
        </w:rPr>
      </w:pPr>
      <w:r>
        <w:rPr>
          <w:rFonts w:hAnsi="仿宋"/>
          <w:sz w:val="32"/>
          <w:szCs w:val="32"/>
        </w:rPr>
        <w:t>3</w:t>
      </w:r>
      <w:r>
        <w:rPr>
          <w:rFonts w:hint="eastAsia" w:hAnsi="仿宋"/>
          <w:sz w:val="32"/>
          <w:szCs w:val="32"/>
        </w:rPr>
        <w:t>5</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Ansi="仿宋"/>
          <w:sz w:val="32"/>
          <w:szCs w:val="32"/>
        </w:rPr>
      </w:pPr>
      <w:r>
        <w:rPr>
          <w:rFonts w:hAnsi="仿宋"/>
          <w:sz w:val="32"/>
          <w:szCs w:val="32"/>
        </w:rPr>
        <w:t>3</w:t>
      </w:r>
      <w:r>
        <w:rPr>
          <w:rFonts w:hint="eastAsia" w:hAnsi="仿宋"/>
          <w:sz w:val="32"/>
          <w:szCs w:val="32"/>
        </w:rPr>
        <w:t>6</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65" w:name="_Toc15377226"/>
      <w:r>
        <w:rPr>
          <w:rFonts w:ascii="宋体"/>
          <w:b/>
          <w:color w:val="000000"/>
          <w:sz w:val="44"/>
          <w:szCs w:val="44"/>
        </w:rPr>
        <w:br w:type="page"/>
      </w:r>
      <w:bookmarkStart w:id="66"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66"/>
    </w:p>
    <w:p>
      <w:pPr>
        <w:pStyle w:val="3"/>
        <w:rPr>
          <w:rStyle w:val="24"/>
          <w:rFonts w:ascii="仿宋" w:hAnsi="仿宋" w:eastAsia="仿宋"/>
          <w:b w:val="0"/>
          <w:bCs w:val="0"/>
          <w:sz w:val="32"/>
          <w:szCs w:val="32"/>
        </w:rPr>
      </w:pPr>
      <w:bookmarkStart w:id="67" w:name="_Toc15396615"/>
      <w:r>
        <w:rPr>
          <w:rStyle w:val="24"/>
          <w:rFonts w:hint="eastAsia" w:ascii="仿宋" w:hAnsi="仿宋" w:eastAsia="仿宋"/>
          <w:b w:val="0"/>
          <w:bCs w:val="0"/>
          <w:sz w:val="32"/>
          <w:szCs w:val="32"/>
        </w:rPr>
        <w:t>附件1</w:t>
      </w:r>
      <w:bookmarkEnd w:id="67"/>
    </w:p>
    <w:p>
      <w:pPr>
        <w:spacing w:line="600" w:lineRule="exact"/>
        <w:jc w:val="center"/>
        <w:outlineLvl w:val="0"/>
        <w:rPr>
          <w:rFonts w:ascii="黑体" w:hAnsi="黑体" w:eastAsia="黑体" w:cs="方正小标宋简体"/>
          <w:sz w:val="36"/>
          <w:szCs w:val="36"/>
        </w:rPr>
      </w:pPr>
      <w:bookmarkStart w:id="68" w:name="_Toc15396616"/>
      <w:r>
        <w:rPr>
          <w:rFonts w:hint="eastAsia" w:ascii="黑体" w:hAnsi="黑体" w:eastAsia="黑体" w:cs="方正小标宋简体"/>
          <w:sz w:val="36"/>
          <w:szCs w:val="36"/>
        </w:rPr>
        <w:t>攀枝花市公安局2018年部门整体支出绩效评价报告</w:t>
      </w:r>
      <w:bookmarkEnd w:id="68"/>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r>
        <w:rPr>
          <w:rFonts w:hint="eastAsia" w:ascii="仿宋" w:hAnsi="仿宋" w:eastAsia="仿宋"/>
          <w:sz w:val="32"/>
          <w:szCs w:val="32"/>
        </w:rPr>
        <w:t>攀枝花市公安局设立一级预算核算单位1个，二级预算核算单位3个；市公安局本级（不含交警支队）下设分局、支队、科等36个部门，</w:t>
      </w:r>
      <w:r>
        <w:rPr>
          <w:rFonts w:hint="eastAsia" w:ascii="仿宋" w:hAnsi="仿宋" w:eastAsia="仿宋"/>
          <w:color w:val="000000"/>
          <w:sz w:val="32"/>
          <w:szCs w:val="32"/>
        </w:rPr>
        <w:t>东区分局下设科、室、所、队19个部门，</w:t>
      </w:r>
      <w:r>
        <w:rPr>
          <w:rFonts w:hint="eastAsia" w:ascii="仿宋" w:hAnsi="仿宋" w:eastAsia="仿宋"/>
          <w:sz w:val="32"/>
          <w:szCs w:val="32"/>
        </w:rPr>
        <w:t>仁和分局内设机构25个，西区分局下设8个派出所、5个业务大队和4个综合科室，共有17个科室所队。执行行政事业单位会计制度</w:t>
      </w:r>
      <w:r>
        <w:rPr>
          <w:rFonts w:hint="eastAsia" w:ascii="仿宋" w:hAnsi="仿宋" w:eastAsia="仿宋" w:cs="仿宋_GB2312"/>
          <w:sz w:val="32"/>
          <w:szCs w:val="32"/>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r>
        <w:rPr>
          <w:rFonts w:hint="eastAsia" w:ascii="仿宋" w:hAnsi="仿宋" w:eastAsia="仿宋"/>
          <w:sz w:val="32"/>
          <w:szCs w:val="32"/>
        </w:rPr>
        <w:t>贯彻执行党和国家关于公安工作的路线、方针、政策和法律法规；预防、制止和侦查违法犯罪活动；维护社会治安秩序，制止危害社会治安秩序的行为；指导、检查、监督本辖区公安机关的执法活动；依法管理户口、居民身份证、枪支弹药、管制刀具和易燃易爆、剧毒、放射性等危险物品和特种待业的管理工作；依法管理集会、游行、示威活动；承办政府和上级公安机关交办的其他事项</w:t>
      </w:r>
      <w:r>
        <w:rPr>
          <w:rFonts w:hint="eastAsia" w:ascii="仿宋" w:hAnsi="仿宋" w:eastAsia="仿宋" w:cs="仿宋_GB2312"/>
          <w:sz w:val="32"/>
          <w:szCs w:val="32"/>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r>
        <w:rPr>
          <w:rFonts w:hint="eastAsia" w:ascii="仿宋" w:hAnsi="仿宋" w:eastAsia="仿宋"/>
          <w:sz w:val="32"/>
          <w:szCs w:val="32"/>
        </w:rPr>
        <w:t>攀枝花市公安局2018年末人员1700人。其中在职政法机关人员1651人，工勤人员39人，事业人员8人，离休人员2人（离休2018年去世2人）。“110接警台”、“天网监控”、钒钛高新区分局签订合同实有辅警人员218人。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一）部门财政资金收入情况：</w:t>
      </w:r>
      <w:r>
        <w:rPr>
          <w:rFonts w:hint="eastAsia" w:ascii="仿宋" w:hAnsi="仿宋" w:eastAsia="仿宋" w:cs="宋体"/>
          <w:color w:val="000000"/>
          <w:kern w:val="0"/>
          <w:sz w:val="32"/>
          <w:szCs w:val="32"/>
        </w:rPr>
        <w:t>2018年度总收入59709.44万元。其中：年初结转结余607.76万元，市财政年初预算安排资金40759.1万元，预算执行中追加资金12183.35万元；其他收入6159.22万元，主要是省公安厅拨入的各项奖金及专案经费，以及</w:t>
      </w:r>
      <w:r>
        <w:rPr>
          <w:rFonts w:hint="eastAsia" w:ascii="仿宋" w:hAnsi="仿宋" w:eastAsia="仿宋" w:cs="仿宋"/>
          <w:color w:val="000000"/>
          <w:spacing w:val="6"/>
          <w:sz w:val="32"/>
          <w:szCs w:val="32"/>
        </w:rPr>
        <w:t>财政拨天网二期建设资金及应急联动指挥中心改造资金，区财政拨区禁毒办工作经费、辅警人员经费、民警24小时在身边工作运行经费</w:t>
      </w:r>
      <w:r>
        <w:rPr>
          <w:rFonts w:hint="eastAsia" w:ascii="仿宋" w:hAnsi="仿宋" w:eastAsia="仿宋"/>
          <w:sz w:val="32"/>
          <w:szCs w:val="32"/>
        </w:rPr>
        <w:t>。</w:t>
      </w:r>
      <w:r>
        <w:rPr>
          <w:rFonts w:hint="eastAsia" w:ascii="仿宋" w:hAnsi="仿宋" w:eastAsia="仿宋" w:cs="仿宋_GB2312"/>
          <w:sz w:val="32"/>
          <w:szCs w:val="32"/>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（二）部门财政资金支出情况：</w:t>
      </w:r>
      <w:r>
        <w:rPr>
          <w:rFonts w:hint="eastAsia" w:ascii="仿宋" w:hAnsi="仿宋" w:eastAsia="仿宋" w:cs="宋体"/>
          <w:color w:val="000000"/>
          <w:kern w:val="0"/>
          <w:sz w:val="32"/>
          <w:szCs w:val="32"/>
        </w:rPr>
        <w:t>2018年预算执行金额57348.62万元，2017年预算执行金额49958.83万元，增加7389.79万元，支出增长率14.79%。增加的主要原因是城市建设天网二期租赁费增加</w:t>
      </w:r>
      <w:r>
        <w:rPr>
          <w:rFonts w:hint="eastAsia" w:ascii="仿宋" w:hAnsi="仿宋" w:eastAsia="仿宋" w:cs="仿宋_GB2312"/>
          <w:sz w:val="32"/>
          <w:szCs w:val="32"/>
        </w:rPr>
        <w:t>。</w:t>
      </w:r>
      <w:r>
        <w:rPr>
          <w:rFonts w:hint="eastAsia" w:ascii="仿宋" w:hAnsi="仿宋" w:eastAsia="仿宋"/>
          <w:sz w:val="32"/>
          <w:szCs w:val="32"/>
        </w:rPr>
        <w:t>其中占比较大支出为：人员经费支出35401.33万元，公用经费支出4005.89万元，项目支出9644.53万元。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sz w:val="32"/>
          <w:szCs w:val="32"/>
        </w:rPr>
        <w:t>按照预算、决算绩效目标管理要求，攀枝花市公安局对2018年市级财政一般公共预算项目支出开展了绩效目标管理，共编制绩效目标10个，项目资金覆盖率达100%。年初制定绩效项目预期目标，根据绩效项目的执行进度进行预算动态调整，并积极向财政争取资金，纳入财政中期预算。使项目资金实现了经济效益、社会效益和生态效益，完成了年初设定的目标任务，无任何违规记录。</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sz w:val="32"/>
          <w:szCs w:val="32"/>
        </w:rPr>
        <w:t>“天网”监控运行经费625.63万元、拘押收教场所经费2155万元、警犬繁育及驯养工作经费27万元等</w:t>
      </w:r>
      <w:r>
        <w:rPr>
          <w:rFonts w:hint="eastAsia" w:ascii="仿宋" w:hAnsi="仿宋" w:eastAsia="仿宋" w:cs="仿宋_GB2312"/>
          <w:sz w:val="32"/>
          <w:szCs w:val="32"/>
        </w:rPr>
        <w:t>专项预算项目程序严密、规划合理，结果符合财政绩效管理规定、分配科学及时，完成专项预算绩效年初设定目标，</w:t>
      </w:r>
      <w:r>
        <w:rPr>
          <w:rFonts w:hint="eastAsia" w:ascii="仿宋" w:hAnsi="仿宋" w:eastAsia="仿宋"/>
          <w:sz w:val="32"/>
          <w:szCs w:val="32"/>
        </w:rPr>
        <w:t>实现了经济效益、社会效益和生态效益</w:t>
      </w:r>
      <w:r>
        <w:rPr>
          <w:rFonts w:hint="eastAsia" w:ascii="仿宋" w:hAnsi="仿宋" w:eastAsia="仿宋" w:cs="仿宋_GB2312"/>
          <w:sz w:val="32"/>
          <w:szCs w:val="32"/>
        </w:rPr>
        <w:t>，无任何违规记录</w:t>
      </w:r>
      <w:r>
        <w:rPr>
          <w:rFonts w:ascii="仿宋" w:hAnsi="仿宋" w:eastAsia="仿宋" w:cs="仿宋_GB2312"/>
          <w:sz w:val="32"/>
          <w:szCs w:val="32"/>
        </w:rPr>
        <w:t>。</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hint="eastAsia" w:ascii="仿宋" w:hAnsi="仿宋" w:eastAsia="仿宋"/>
          <w:color w:val="000000"/>
          <w:sz w:val="32"/>
          <w:szCs w:val="32"/>
        </w:rPr>
        <w:t>按照预算绩效管理要求，本部门对2018年整体支出开展了绩效自评，自评质量达到中上，基本</w:t>
      </w:r>
      <w:r>
        <w:rPr>
          <w:rFonts w:hint="eastAsia" w:ascii="仿宋" w:hAnsi="仿宋" w:eastAsia="仿宋" w:cs="仿宋_GB2312"/>
          <w:sz w:val="32"/>
          <w:szCs w:val="32"/>
        </w:rPr>
        <w:t>做到了资金使用有计划、有审批、有跟踪、有落实，实现了资金的计划管理。</w:t>
      </w:r>
      <w:r>
        <w:rPr>
          <w:rFonts w:hint="eastAsia" w:ascii="仿宋" w:hAnsi="仿宋" w:eastAsia="仿宋"/>
          <w:color w:val="000000"/>
          <w:sz w:val="32"/>
          <w:szCs w:val="32"/>
        </w:rPr>
        <w:t>绩效目标在决算公开中进行一并公开，</w:t>
      </w:r>
      <w:r>
        <w:rPr>
          <w:rFonts w:hint="eastAsia" w:ascii="仿宋" w:hAnsi="仿宋" w:eastAsia="仿宋" w:cs="仿宋_GB2312"/>
          <w:sz w:val="32"/>
          <w:szCs w:val="32"/>
        </w:rPr>
        <w:t>让广大群众及干警对我局的经费管理、使用进行监督</w:t>
      </w:r>
      <w:r>
        <w:rPr>
          <w:rFonts w:hint="eastAsia" w:ascii="仿宋" w:hAnsi="仿宋" w:eastAsia="仿宋"/>
          <w:color w:val="000000"/>
          <w:sz w:val="32"/>
          <w:szCs w:val="32"/>
        </w:rPr>
        <w:t>。</w:t>
      </w:r>
      <w:r>
        <w:rPr>
          <w:rFonts w:hint="eastAsia" w:ascii="仿宋" w:hAnsi="仿宋" w:eastAsia="仿宋"/>
          <w:sz w:val="32"/>
          <w:szCs w:val="32"/>
        </w:rPr>
        <w:t>并且根据绩效目标监控结果应用加强单位内部审计，以保证合理合法使用各项资金，不发生相关违法违纪事故。</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480" w:firstLineChars="150"/>
        <w:rPr>
          <w:rFonts w:ascii="仿宋" w:hAnsi="仿宋" w:eastAsia="仿宋" w:cs="仿宋_GB2312"/>
          <w:sz w:val="32"/>
          <w:szCs w:val="32"/>
        </w:rPr>
      </w:pPr>
      <w:r>
        <w:rPr>
          <w:rFonts w:hint="eastAsia" w:ascii="仿宋" w:hAnsi="仿宋" w:eastAsia="仿宋" w:cs="仿宋_GB2312"/>
          <w:sz w:val="32"/>
          <w:szCs w:val="32"/>
        </w:rPr>
        <w:t>（一）评价结论：</w:t>
      </w:r>
      <w:r>
        <w:rPr>
          <w:rFonts w:hint="eastAsia" w:ascii="仿宋" w:hAnsi="仿宋" w:eastAsia="仿宋"/>
          <w:sz w:val="32"/>
          <w:szCs w:val="32"/>
          <w:lang w:val="zh-CN"/>
        </w:rPr>
        <w:t>攀枝花市公安局能够严格按照财务制度、财经纪律办理支出，制度较为健全，支出程序清晰，支出绩效明显</w:t>
      </w:r>
      <w:r>
        <w:rPr>
          <w:rFonts w:hint="eastAsia" w:ascii="仿宋" w:hAnsi="仿宋" w:eastAsia="仿宋" w:cs="仿宋_GB2312"/>
          <w:sz w:val="32"/>
          <w:szCs w:val="32"/>
        </w:rPr>
        <w:t>。</w:t>
      </w:r>
    </w:p>
    <w:p>
      <w:pPr>
        <w:adjustRightInd w:val="0"/>
        <w:snapToGrid w:val="0"/>
        <w:spacing w:line="560" w:lineRule="exact"/>
        <w:ind w:firstLine="480" w:firstLineChars="150"/>
        <w:rPr>
          <w:rFonts w:ascii="仿宋" w:hAnsi="仿宋" w:eastAsia="仿宋"/>
          <w:sz w:val="32"/>
          <w:szCs w:val="32"/>
          <w:lang w:val="zh-CN"/>
        </w:rPr>
      </w:pPr>
      <w:r>
        <w:rPr>
          <w:rFonts w:hint="eastAsia" w:ascii="仿宋" w:hAnsi="仿宋" w:eastAsia="仿宋" w:cs="仿宋_GB2312"/>
          <w:sz w:val="32"/>
          <w:szCs w:val="32"/>
        </w:rPr>
        <w:t>（二）存在问题：</w:t>
      </w:r>
      <w:r>
        <w:rPr>
          <w:rFonts w:hint="eastAsia" w:ascii="仿宋" w:hAnsi="仿宋" w:eastAsia="仿宋"/>
          <w:sz w:val="32"/>
          <w:szCs w:val="32"/>
          <w:lang w:val="zh-CN"/>
        </w:rPr>
        <w:t>1.</w:t>
      </w:r>
      <w:r>
        <w:rPr>
          <w:rFonts w:hint="eastAsia" w:ascii="仿宋" w:hAnsi="仿宋" w:eastAsia="仿宋"/>
          <w:sz w:val="32"/>
          <w:szCs w:val="32"/>
        </w:rPr>
        <w:t xml:space="preserve"> 针对公安的一般公用及业务经费预算保障执行标准偏低，</w:t>
      </w:r>
      <w:r>
        <w:rPr>
          <w:rFonts w:hint="eastAsia" w:ascii="仿宋" w:hAnsi="仿宋" w:eastAsia="仿宋" w:cs="宋体-18030"/>
          <w:sz w:val="32"/>
          <w:szCs w:val="32"/>
        </w:rPr>
        <w:t>财政现执行的公用业务费保障标准（23750元/人/年），已远远不能适应公安管理服务等工作的增长需求，虽然中央下达了政法转移支付资金用于补助公安办案经费的不足，但政策补助经费未能全面惠及到各项公安业务工作，财政下达的公用经费预算保障不了日常的行政运行工作，而需要占用业务经费，在一定程度上给公安业务工作的持续发展带来压力</w:t>
      </w:r>
      <w:r>
        <w:rPr>
          <w:rFonts w:hint="eastAsia" w:ascii="仿宋" w:hAnsi="仿宋" w:eastAsia="仿宋"/>
          <w:sz w:val="32"/>
          <w:szCs w:val="32"/>
          <w:lang w:val="zh-CN"/>
        </w:rPr>
        <w:t>，存在各功能科目之间调剂使用的问题。</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2.由于财政在年初未安排专项装备资金，在进行采购时，存在先于专项资金下达前进行采购。</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3.现有专项资金无法满足实际支出需求，公安机关的打击效果不能完全达到设定目标。</w:t>
      </w:r>
    </w:p>
    <w:p>
      <w:pPr>
        <w:adjustRightInd w:val="0"/>
        <w:snapToGrid w:val="0"/>
        <w:spacing w:line="560" w:lineRule="exact"/>
        <w:ind w:firstLine="480" w:firstLineChars="150"/>
        <w:rPr>
          <w:rFonts w:ascii="仿宋" w:hAnsi="仿宋" w:eastAsia="仿宋"/>
          <w:sz w:val="32"/>
          <w:szCs w:val="32"/>
          <w:lang w:val="zh-CN"/>
        </w:rPr>
      </w:pPr>
      <w:r>
        <w:rPr>
          <w:rFonts w:hint="eastAsia" w:ascii="仿宋" w:hAnsi="仿宋" w:eastAsia="仿宋" w:cs="仿宋_GB2312"/>
          <w:sz w:val="32"/>
          <w:szCs w:val="32"/>
        </w:rPr>
        <w:t>（三）改进建议：</w:t>
      </w:r>
      <w:r>
        <w:rPr>
          <w:rFonts w:hint="eastAsia" w:ascii="仿宋" w:hAnsi="仿宋" w:eastAsia="仿宋"/>
          <w:sz w:val="32"/>
          <w:szCs w:val="32"/>
          <w:lang w:val="zh-CN"/>
        </w:rPr>
        <w:t>1.</w:t>
      </w:r>
      <w:r>
        <w:rPr>
          <w:rFonts w:hint="eastAsia" w:ascii="仿宋" w:hAnsi="仿宋" w:eastAsia="仿宋" w:cs="宋体-18030"/>
          <w:sz w:val="32"/>
          <w:szCs w:val="32"/>
        </w:rPr>
        <w:t xml:space="preserve"> 根据经济发展水平建立公安保障经费增长机制,</w:t>
      </w:r>
      <w:r>
        <w:rPr>
          <w:rFonts w:hint="eastAsia" w:ascii="仿宋" w:hAnsi="仿宋" w:eastAsia="仿宋"/>
          <w:sz w:val="32"/>
          <w:szCs w:val="32"/>
          <w:lang w:val="zh-CN"/>
        </w:rPr>
        <w:t>在适当提高经费保障标准的基础上，进一步加强预算管理，杜绝无预算支出，不断提高支出绩效。</w:t>
      </w:r>
    </w:p>
    <w:p>
      <w:pPr>
        <w:spacing w:line="580" w:lineRule="exact"/>
        <w:ind w:firstLine="640" w:firstLineChars="200"/>
        <w:rPr>
          <w:rFonts w:ascii="仿宋" w:hAnsi="仿宋" w:eastAsia="仿宋" w:cs="仿宋_GB2312"/>
          <w:sz w:val="32"/>
          <w:szCs w:val="32"/>
        </w:rPr>
      </w:pPr>
      <w:r>
        <w:rPr>
          <w:rFonts w:hint="eastAsia" w:ascii="仿宋" w:hAnsi="仿宋" w:eastAsia="仿宋"/>
          <w:sz w:val="32"/>
          <w:szCs w:val="32"/>
          <w:lang w:val="zh-CN"/>
        </w:rPr>
        <w:t>2.根据工作开展情况提前向财政申请专项资金，纳入财政预算调整</w:t>
      </w:r>
      <w:r>
        <w:rPr>
          <w:rFonts w:hint="eastAsia" w:ascii="仿宋" w:hAnsi="仿宋" w:eastAsia="仿宋" w:cs="仿宋_GB2312"/>
          <w:sz w:val="32"/>
          <w:szCs w:val="32"/>
        </w:rPr>
        <w:t>。</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4"/>
          <w:rFonts w:ascii="仿宋" w:hAnsi="仿宋" w:eastAsia="仿宋"/>
          <w:b w:val="0"/>
          <w:bCs w:val="0"/>
          <w:sz w:val="32"/>
          <w:szCs w:val="32"/>
        </w:rPr>
      </w:pPr>
      <w:bookmarkStart w:id="69" w:name="_Toc15396617"/>
      <w:r>
        <w:rPr>
          <w:rStyle w:val="24"/>
          <w:rFonts w:hint="eastAsia" w:ascii="仿宋" w:hAnsi="仿宋" w:eastAsia="仿宋"/>
          <w:b w:val="0"/>
          <w:bCs w:val="0"/>
          <w:sz w:val="32"/>
          <w:szCs w:val="32"/>
        </w:rPr>
        <w:t>附件2</w:t>
      </w:r>
      <w:bookmarkEnd w:id="69"/>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攀枝花市公安局2018年特别业务费项目</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进一步规范财政资金管理，牢固树立预算绩效概念，强化部门项目资金支出监控，提高财政资金使用效益；根据财政统一部署安排，我部门对2018年度特别业务费项目支出绩效进行了评价。按照年初预算、年中调整、年末梳理、全年监控的方法，开展绩效评价，项目支出绩效评价自评得分90分，同时充分运用绩效评价结果，不断加强项目资金管理。</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二、评价结论及绩效分析</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项目绩效评价总体结论：通过项目实施，使</w:t>
      </w:r>
      <w:r>
        <w:rPr>
          <w:rFonts w:hint="eastAsia" w:ascii="仿宋" w:hAnsi="仿宋" w:eastAsia="仿宋"/>
          <w:sz w:val="32"/>
          <w:szCs w:val="32"/>
        </w:rPr>
        <w:t>项目资金实现了经济效益、社会效益和生态效益，完成了年初设定的目标任务，</w:t>
      </w:r>
      <w:r>
        <w:rPr>
          <w:rFonts w:hint="eastAsia" w:ascii="仿宋" w:hAnsi="仿宋" w:eastAsia="仿宋"/>
          <w:sz w:val="32"/>
          <w:szCs w:val="32"/>
          <w:lang w:val="zh-CN"/>
        </w:rPr>
        <w:t>支出绩效明显。</w:t>
      </w:r>
      <w:r>
        <w:rPr>
          <w:rFonts w:hint="eastAsia" w:ascii="仿宋" w:hAnsi="仿宋" w:eastAsia="仿宋" w:cs="仿宋_GB2312"/>
          <w:sz w:val="32"/>
          <w:szCs w:val="32"/>
        </w:rPr>
        <w:t>保障了公安各专项工作落到实处，提升了公安机关精准打击各类犯罪行为的能力，从而不断增强人民群众安全感。</w:t>
      </w:r>
    </w:p>
    <w:p>
      <w:pPr>
        <w:jc w:val="center"/>
        <w:rPr>
          <w:rFonts w:ascii="仿宋_GB2312" w:hAnsi="黑体" w:eastAsia="仿宋_GB2312"/>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项目支出绩效评价得分表</w:t>
      </w:r>
    </w:p>
    <w:tbl>
      <w:tblPr>
        <w:tblStyle w:val="1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113"/>
        <w:gridCol w:w="3535"/>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18" w:type="dxa"/>
            <w:shd w:val="clear" w:color="auto" w:fill="auto"/>
            <w:vAlign w:val="center"/>
          </w:tcPr>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单位名称/</w:t>
            </w:r>
          </w:p>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270" w:type="dxa"/>
            <w:gridSpan w:val="4"/>
            <w:shd w:val="clear" w:color="auto" w:fill="auto"/>
            <w:vAlign w:val="center"/>
          </w:tcPr>
          <w:p>
            <w:pPr>
              <w:widowControl/>
              <w:spacing w:line="2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特别业务费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618" w:type="dxa"/>
            <w:shd w:val="clear" w:color="auto" w:fill="auto"/>
            <w:vAlign w:val="center"/>
          </w:tcPr>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2113" w:type="dxa"/>
            <w:shd w:val="clear" w:color="auto" w:fill="auto"/>
            <w:vAlign w:val="center"/>
          </w:tcPr>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二级</w:t>
            </w:r>
          </w:p>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3535" w:type="dxa"/>
            <w:shd w:val="clear" w:color="auto" w:fill="auto"/>
            <w:vAlign w:val="center"/>
          </w:tcPr>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1311" w:type="dxa"/>
            <w:shd w:val="clear" w:color="auto" w:fill="auto"/>
            <w:vAlign w:val="center"/>
          </w:tcPr>
          <w:p>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1311" w:type="dxa"/>
            <w:vAlign w:val="center"/>
          </w:tcPr>
          <w:p>
            <w:pPr>
              <w:widowControl/>
              <w:spacing w:line="2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项目决策</w:t>
            </w:r>
          </w:p>
        </w:tc>
        <w:tc>
          <w:tcPr>
            <w:tcW w:w="2113"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科学决策</w:t>
            </w: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必要性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（政策依据)</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可行性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（政策完善）</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绩效目标    </w:t>
            </w: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明确性</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合理性</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项目管理</w:t>
            </w:r>
          </w:p>
        </w:tc>
        <w:tc>
          <w:tcPr>
            <w:tcW w:w="2113"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（7分）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资金管理</w:t>
            </w: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资金分配</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textDirection w:val="tbRlV"/>
            <w:vAlign w:val="center"/>
          </w:tcPr>
          <w:p>
            <w:pPr>
              <w:widowControl/>
              <w:spacing w:line="260" w:lineRule="exact"/>
              <w:jc w:val="center"/>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资金使用</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项目执行</w:t>
            </w: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执行规范</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18"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（特性指标70分）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项目绩效  </w:t>
            </w:r>
          </w:p>
        </w:tc>
        <w:tc>
          <w:tcPr>
            <w:tcW w:w="2113"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项目完成</w:t>
            </w: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完成数量</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完成质量</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完成时效</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完成成本</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restart"/>
            <w:shd w:val="clear" w:color="auto" w:fill="auto"/>
            <w:textDirection w:val="tbRlV"/>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项目效益</w:t>
            </w: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经济效益（可选项）</w:t>
            </w:r>
          </w:p>
        </w:tc>
        <w:tc>
          <w:tcPr>
            <w:tcW w:w="1311" w:type="dxa"/>
            <w:vMerge w:val="restart"/>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社会效益（可选项）</w:t>
            </w:r>
          </w:p>
        </w:tc>
        <w:tc>
          <w:tcPr>
            <w:tcW w:w="1311"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1311" w:type="dxa"/>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生态效益（可选项）</w:t>
            </w:r>
          </w:p>
        </w:tc>
        <w:tc>
          <w:tcPr>
            <w:tcW w:w="1311"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1311" w:type="dxa"/>
          </w:tcPr>
          <w:p>
            <w:pPr>
              <w:widowControl/>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可持续效益（可选项）</w:t>
            </w:r>
          </w:p>
        </w:tc>
        <w:tc>
          <w:tcPr>
            <w:tcW w:w="1311"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1311" w:type="dxa"/>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公平效率（可选项）</w:t>
            </w:r>
          </w:p>
        </w:tc>
        <w:tc>
          <w:tcPr>
            <w:tcW w:w="1311"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1311" w:type="dxa"/>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使用效率（可选项）</w:t>
            </w:r>
          </w:p>
        </w:tc>
        <w:tc>
          <w:tcPr>
            <w:tcW w:w="1311"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1311" w:type="dxa"/>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18"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2113" w:type="dxa"/>
            <w:vMerge w:val="continue"/>
            <w:shd w:val="clear" w:color="auto" w:fill="auto"/>
            <w:vAlign w:val="center"/>
          </w:tcPr>
          <w:p>
            <w:pPr>
              <w:widowControl/>
              <w:spacing w:line="260" w:lineRule="exact"/>
              <w:jc w:val="left"/>
              <w:rPr>
                <w:rFonts w:ascii="宋体" w:hAnsi="宋体" w:cs="宋体"/>
                <w:color w:val="000000"/>
                <w:kern w:val="0"/>
                <w:sz w:val="20"/>
                <w:szCs w:val="20"/>
              </w:rPr>
            </w:pPr>
          </w:p>
        </w:tc>
        <w:tc>
          <w:tcPr>
            <w:tcW w:w="3535"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服务对象满意度    </w:t>
            </w:r>
          </w:p>
        </w:tc>
        <w:tc>
          <w:tcPr>
            <w:tcW w:w="1311" w:type="dxa"/>
            <w:shd w:val="clear" w:color="auto" w:fill="auto"/>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311" w:type="dxa"/>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18" w:type="dxa"/>
            <w:shd w:val="clear" w:color="auto" w:fill="auto"/>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总分</w:t>
            </w:r>
          </w:p>
        </w:tc>
        <w:tc>
          <w:tcPr>
            <w:tcW w:w="8270" w:type="dxa"/>
            <w:gridSpan w:val="4"/>
            <w:shd w:val="clear" w:color="auto" w:fill="auto"/>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90</w:t>
            </w:r>
          </w:p>
        </w:tc>
      </w:tr>
    </w:tbl>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1、项目决策：根据《中共四川省委办公厅 四川省人民政府办公厅转发&lt;省财政厅关于建立县级公安机关经费保障机制的意见&gt;的通知》（川委办[2004]1号文）文件规定，我市属二类地区，执行23750元/人.年的县级公安机关经费保障标准，其中公安业务费及特别业务费12020元/人.年。我部门按照此标准制定该项目的绩效目标管理办法，绩效目标的设置科学、预期明确、考核合理，年末完成了年初设定目标。</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特别业务费项目资金分配管理科学合理，资金使用</w:t>
      </w:r>
      <w:r>
        <w:rPr>
          <w:rFonts w:hint="eastAsia" w:ascii="仿宋" w:hAnsi="仿宋" w:eastAsia="仿宋"/>
          <w:sz w:val="32"/>
          <w:szCs w:val="32"/>
        </w:rPr>
        <w:t>实现了经济效益、社会效益和生态效益</w:t>
      </w:r>
      <w:r>
        <w:rPr>
          <w:rFonts w:hint="eastAsia" w:ascii="仿宋" w:hAnsi="仿宋" w:eastAsia="仿宋" w:cs="仿宋_GB2312"/>
          <w:sz w:val="32"/>
          <w:szCs w:val="32"/>
        </w:rPr>
        <w:t>，</w:t>
      </w:r>
      <w:r>
        <w:rPr>
          <w:rFonts w:hint="eastAsia" w:ascii="仿宋" w:hAnsi="仿宋" w:eastAsia="仿宋"/>
          <w:sz w:val="32"/>
          <w:szCs w:val="32"/>
          <w:lang w:val="zh-CN"/>
        </w:rPr>
        <w:t>严格按照财务制度、财经纪律办理支出，支出程序清晰，支出绩效明显。</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3、项目绩效</w:t>
      </w:r>
    </w:p>
    <w:p>
      <w:pPr>
        <w:spacing w:line="580" w:lineRule="exact"/>
        <w:ind w:firstLine="642" w:firstLineChars="200"/>
        <w:rPr>
          <w:rFonts w:ascii="仿宋" w:hAnsi="仿宋" w:eastAsia="仿宋" w:cs="仿宋_GB2312"/>
          <w:sz w:val="32"/>
          <w:szCs w:val="32"/>
        </w:rPr>
      </w:pPr>
      <w:r>
        <w:rPr>
          <w:rFonts w:hint="eastAsia" w:ascii="仿宋" w:hAnsi="仿宋" w:eastAsia="仿宋" w:cs="仿宋_GB2312"/>
          <w:b/>
          <w:sz w:val="32"/>
          <w:szCs w:val="32"/>
        </w:rPr>
        <w:t>项目目标完成情况</w:t>
      </w:r>
      <w:r>
        <w:rPr>
          <w:rFonts w:hint="eastAsia" w:ascii="仿宋" w:hAnsi="仿宋" w:eastAsia="仿宋" w:cs="仿宋_GB2312"/>
          <w:sz w:val="32"/>
          <w:szCs w:val="32"/>
        </w:rPr>
        <w:t>，数量指标完成值：2018年刑事案件立案数3486件、破案数1654件，治安案件受理数5801件、查处5199件。质量指标完成值：2018年查处侦办的案件中，受理复议7件、提起行政诉讼案件1件；成本指标：公安业务费及特别业务费12020元/人.年。</w:t>
      </w:r>
      <w:r>
        <w:rPr>
          <w:rFonts w:hint="eastAsia" w:ascii="仿宋" w:hAnsi="仿宋" w:eastAsia="仿宋" w:cs="仿宋_GB2312"/>
          <w:b/>
          <w:sz w:val="32"/>
          <w:szCs w:val="32"/>
        </w:rPr>
        <w:t>项目效益情况</w:t>
      </w:r>
      <w:r>
        <w:rPr>
          <w:rFonts w:hint="eastAsia" w:ascii="仿宋" w:hAnsi="仿宋" w:eastAsia="仿宋" w:cs="仿宋_GB2312"/>
          <w:sz w:val="32"/>
          <w:szCs w:val="32"/>
        </w:rPr>
        <w:t>，项目社会效益：刑事、治安案件同比下降16.06%、9.2%，人民群众满意度达到95%以上。</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w:t>
      </w:r>
      <w:r>
        <w:rPr>
          <w:rFonts w:hint="eastAsia" w:ascii="仿宋" w:hAnsi="仿宋" w:eastAsia="仿宋"/>
          <w:sz w:val="32"/>
          <w:szCs w:val="32"/>
        </w:rPr>
        <w:t>现有专项业务经费</w:t>
      </w:r>
      <w:r>
        <w:rPr>
          <w:rFonts w:hint="eastAsia" w:ascii="仿宋" w:hAnsi="仿宋" w:eastAsia="仿宋"/>
          <w:sz w:val="32"/>
          <w:szCs w:val="32"/>
          <w:lang w:val="zh-CN"/>
        </w:rPr>
        <w:t>无法满足实际支出需求，公安机关的打击效果不能完全达到设定目标，</w:t>
      </w:r>
      <w:r>
        <w:rPr>
          <w:rFonts w:hint="eastAsia" w:ascii="仿宋" w:hAnsi="仿宋" w:eastAsia="仿宋" w:cs="宋体-18030"/>
          <w:sz w:val="32"/>
          <w:szCs w:val="32"/>
        </w:rPr>
        <w:t>虽然中央下达了政法转移支付资金用于补助公安办案经费的不足，但政策补助经费未能全面惠及到各项公安业务工作</w:t>
      </w:r>
      <w:r>
        <w:rPr>
          <w:rFonts w:hint="eastAsia" w:ascii="仿宋" w:hAnsi="仿宋" w:eastAsia="仿宋" w:cs="仿宋_GB2312"/>
          <w:sz w:val="32"/>
          <w:szCs w:val="32"/>
        </w:rPr>
        <w:t>。</w:t>
      </w:r>
    </w:p>
    <w:p>
      <w:pPr>
        <w:spacing w:line="580" w:lineRule="exact"/>
        <w:ind w:firstLine="640" w:firstLineChars="200"/>
        <w:rPr>
          <w:rStyle w:val="24"/>
          <w:rFonts w:ascii="仿宋" w:hAnsi="仿宋" w:eastAsia="仿宋" w:cs="仿宋_GB2312"/>
          <w:b w:val="0"/>
          <w:bCs w:val="0"/>
          <w:kern w:val="2"/>
          <w:sz w:val="32"/>
          <w:szCs w:val="32"/>
        </w:rPr>
      </w:pPr>
      <w:r>
        <w:rPr>
          <w:rFonts w:hint="eastAsia" w:ascii="仿宋" w:hAnsi="仿宋" w:eastAsia="仿宋" w:cs="仿宋_GB2312"/>
          <w:sz w:val="32"/>
          <w:szCs w:val="32"/>
        </w:rPr>
        <w:t>四、相关措施建议：</w:t>
      </w:r>
      <w:r>
        <w:rPr>
          <w:rFonts w:hint="eastAsia" w:ascii="仿宋" w:hAnsi="仿宋" w:eastAsia="仿宋"/>
          <w:sz w:val="32"/>
          <w:szCs w:val="32"/>
          <w:lang w:val="zh-CN"/>
        </w:rPr>
        <w:t>根据工作开展情况提前向财政申请专项资金，纳入财政预算调整。</w:t>
      </w:r>
    </w:p>
    <w:bookmarkEnd w:id="65"/>
    <w:p>
      <w:pPr>
        <w:spacing w:line="600" w:lineRule="exact"/>
        <w:jc w:val="center"/>
        <w:outlineLvl w:val="0"/>
        <w:rPr>
          <w:rFonts w:ascii="仿宋_GB2312" w:hAnsi="黑体" w:eastAsia="仿宋_GB2312"/>
          <w:color w:val="000000"/>
          <w:sz w:val="44"/>
          <w:szCs w:val="44"/>
        </w:rPr>
      </w:pPr>
      <w:bookmarkStart w:id="70" w:name="_Toc15396619"/>
      <w:bookmarkStart w:id="71" w:name="_Toc15396618"/>
    </w:p>
    <w:p>
      <w:pPr>
        <w:spacing w:line="600" w:lineRule="exact"/>
        <w:jc w:val="center"/>
        <w:outlineLvl w:val="0"/>
        <w:rPr>
          <w:rFonts w:ascii="仿宋_GB2312" w:hAnsi="黑体" w:eastAsia="仿宋_GB2312"/>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一、收入支出决算总表：见财政决算公开01表。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二、收入总表：见财政决算公开02表。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三、支出总表：见财政决算公开03表。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四、财政拨款收入支出决算总表：见财政决算公开04表。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五、财政拨款支出决算明细表（政府经济分类科目）：见财政决算公开05表。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六、一般公共预算财政拨款支出决算表：见财政决算公开06表。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七、一般公共预算财政拨款支出决算明细表：见财政决算公开07表。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八、一般公共预算财政拨款基本支出决算表：见财政决算公开08表。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九、一般公共预算财政拨款项目支出决算表：见财政决算公开09表。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十、一般公共预算财政拨款“三公”经费支出决算表：见财政决算公开10表。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十一、政府性基金预算财政拨款收入支出决算表：见财政决算公开11表。</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十二、政府性基金预算财政拨款“三公”经费支出决算表（此表无数据）</w:t>
      </w:r>
    </w:p>
    <w:p>
      <w:pPr>
        <w:spacing w:line="600" w:lineRule="exact"/>
        <w:jc w:val="left"/>
        <w:outlineLvl w:val="0"/>
        <w:rPr>
          <w:rFonts w:ascii="仿宋" w:hAnsi="仿宋" w:eastAsia="仿宋"/>
          <w:color w:val="000000"/>
          <w:sz w:val="32"/>
          <w:szCs w:val="32"/>
        </w:rPr>
      </w:pPr>
      <w:r>
        <w:rPr>
          <w:rFonts w:hint="eastAsia" w:ascii="仿宋" w:hAnsi="仿宋" w:eastAsia="仿宋"/>
          <w:color w:val="000000"/>
          <w:sz w:val="32"/>
          <w:szCs w:val="32"/>
        </w:rPr>
        <w:t>十三、国有资本经营预算支出决算表（此表无数据）</w:t>
      </w:r>
    </w:p>
    <w:bookmarkEnd w:id="70"/>
    <w:bookmarkEnd w:id="71"/>
    <w:p>
      <w:pPr>
        <w:spacing w:line="600" w:lineRule="exact"/>
        <w:jc w:val="center"/>
        <w:outlineLvl w:val="0"/>
        <w:rPr>
          <w:rFonts w:ascii="仿宋" w:hAnsi="仿宋" w:eastAsia="仿宋"/>
          <w:color w:val="000000"/>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宋体-18030">
    <w:altName w:val="Droid Sans Fallback"/>
    <w:panose1 w:val="00000000000000000000"/>
    <w:charset w:val="86"/>
    <w:family w:val="modern"/>
    <w:pitch w:val="default"/>
    <w:sig w:usb0="00000000" w:usb1="00000000" w:usb2="000A005E" w:usb3="00000000" w:csb0="00040001" w:csb1="00000000"/>
  </w:font>
  <w:font w:name="Droid Sans Fallback">
    <w:panose1 w:val="020B0502000000000001"/>
    <w:charset w:val="86"/>
    <w:family w:val="auto"/>
    <w:pitch w:val="default"/>
    <w:sig w:usb0="910002FF" w:usb1="2BDFFCFB" w:usb2="00000036" w:usb3="00000000" w:csb0="203F01FF" w:csb1="D7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8"/>
          <w:jc w:val="center"/>
        </w:pPr>
        <w:r>
          <w:fldChar w:fldCharType="begin"/>
        </w:r>
        <w:r>
          <w:instrText xml:space="preserve">PAGE   \* MERGEFORMAT</w:instrText>
        </w:r>
        <w:r>
          <w:fldChar w:fldCharType="separate"/>
        </w:r>
        <w:r>
          <w:rPr>
            <w:lang w:val="zh-CN"/>
          </w:rPr>
          <w:t>22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A52"/>
    <w:rsid w:val="00004D87"/>
    <w:rsid w:val="00007EDD"/>
    <w:rsid w:val="00021416"/>
    <w:rsid w:val="000222C6"/>
    <w:rsid w:val="0002549F"/>
    <w:rsid w:val="00025BAC"/>
    <w:rsid w:val="00032245"/>
    <w:rsid w:val="000373CE"/>
    <w:rsid w:val="000401A7"/>
    <w:rsid w:val="0006487A"/>
    <w:rsid w:val="00065F8F"/>
    <w:rsid w:val="00074620"/>
    <w:rsid w:val="000768F2"/>
    <w:rsid w:val="00076A7B"/>
    <w:rsid w:val="0009184B"/>
    <w:rsid w:val="00093CC9"/>
    <w:rsid w:val="00094B32"/>
    <w:rsid w:val="0009593C"/>
    <w:rsid w:val="000B047F"/>
    <w:rsid w:val="000B3D3F"/>
    <w:rsid w:val="000B5923"/>
    <w:rsid w:val="000B5A48"/>
    <w:rsid w:val="000B6FF3"/>
    <w:rsid w:val="000C3467"/>
    <w:rsid w:val="000C3CA6"/>
    <w:rsid w:val="000D1267"/>
    <w:rsid w:val="000D1D50"/>
    <w:rsid w:val="000D5782"/>
    <w:rsid w:val="000E6613"/>
    <w:rsid w:val="000E7119"/>
    <w:rsid w:val="000F15D7"/>
    <w:rsid w:val="000F1611"/>
    <w:rsid w:val="00105B0B"/>
    <w:rsid w:val="00114E9B"/>
    <w:rsid w:val="00117A2F"/>
    <w:rsid w:val="00125565"/>
    <w:rsid w:val="001360BE"/>
    <w:rsid w:val="0014729F"/>
    <w:rsid w:val="00150879"/>
    <w:rsid w:val="00157BAB"/>
    <w:rsid w:val="00161A16"/>
    <w:rsid w:val="001654D1"/>
    <w:rsid w:val="0018106D"/>
    <w:rsid w:val="001849F0"/>
    <w:rsid w:val="001877A7"/>
    <w:rsid w:val="00191536"/>
    <w:rsid w:val="00196687"/>
    <w:rsid w:val="001B690E"/>
    <w:rsid w:val="001C0962"/>
    <w:rsid w:val="001D7531"/>
    <w:rsid w:val="001E0BC8"/>
    <w:rsid w:val="001E3495"/>
    <w:rsid w:val="001E58F0"/>
    <w:rsid w:val="001E737D"/>
    <w:rsid w:val="001F0592"/>
    <w:rsid w:val="001F7506"/>
    <w:rsid w:val="001F7E6E"/>
    <w:rsid w:val="002006CD"/>
    <w:rsid w:val="00202B36"/>
    <w:rsid w:val="00204B7A"/>
    <w:rsid w:val="0021101A"/>
    <w:rsid w:val="00220536"/>
    <w:rsid w:val="00235629"/>
    <w:rsid w:val="002425CD"/>
    <w:rsid w:val="00251B30"/>
    <w:rsid w:val="00260C38"/>
    <w:rsid w:val="002616C0"/>
    <w:rsid w:val="0026285E"/>
    <w:rsid w:val="002662AA"/>
    <w:rsid w:val="00280496"/>
    <w:rsid w:val="00281B04"/>
    <w:rsid w:val="00295495"/>
    <w:rsid w:val="002B2613"/>
    <w:rsid w:val="002B657F"/>
    <w:rsid w:val="002C52C7"/>
    <w:rsid w:val="002C69D5"/>
    <w:rsid w:val="002D6E68"/>
    <w:rsid w:val="002F1818"/>
    <w:rsid w:val="002F52AA"/>
    <w:rsid w:val="002F567B"/>
    <w:rsid w:val="00302ED8"/>
    <w:rsid w:val="00307678"/>
    <w:rsid w:val="003124AA"/>
    <w:rsid w:val="00315184"/>
    <w:rsid w:val="003216A9"/>
    <w:rsid w:val="0032256C"/>
    <w:rsid w:val="0032772B"/>
    <w:rsid w:val="00332924"/>
    <w:rsid w:val="0037013F"/>
    <w:rsid w:val="00380C92"/>
    <w:rsid w:val="003A3E85"/>
    <w:rsid w:val="003A484F"/>
    <w:rsid w:val="003B0BE0"/>
    <w:rsid w:val="003B0C1B"/>
    <w:rsid w:val="003B688C"/>
    <w:rsid w:val="003C0291"/>
    <w:rsid w:val="003C39AE"/>
    <w:rsid w:val="003C7B60"/>
    <w:rsid w:val="003D1FB2"/>
    <w:rsid w:val="003D41E7"/>
    <w:rsid w:val="003D66DA"/>
    <w:rsid w:val="003E1310"/>
    <w:rsid w:val="003E2DEA"/>
    <w:rsid w:val="003E6F55"/>
    <w:rsid w:val="00406254"/>
    <w:rsid w:val="004223DE"/>
    <w:rsid w:val="00434489"/>
    <w:rsid w:val="00437085"/>
    <w:rsid w:val="00443880"/>
    <w:rsid w:val="004446CF"/>
    <w:rsid w:val="004464F4"/>
    <w:rsid w:val="00462CCD"/>
    <w:rsid w:val="00471401"/>
    <w:rsid w:val="00473F31"/>
    <w:rsid w:val="0048263A"/>
    <w:rsid w:val="00484A7E"/>
    <w:rsid w:val="00487E5D"/>
    <w:rsid w:val="004A5E20"/>
    <w:rsid w:val="004A711F"/>
    <w:rsid w:val="004B199D"/>
    <w:rsid w:val="004B4690"/>
    <w:rsid w:val="004E0A2D"/>
    <w:rsid w:val="004E206B"/>
    <w:rsid w:val="004E6DF7"/>
    <w:rsid w:val="004F0FBD"/>
    <w:rsid w:val="00505A47"/>
    <w:rsid w:val="00512FDA"/>
    <w:rsid w:val="005205EC"/>
    <w:rsid w:val="00520DA0"/>
    <w:rsid w:val="0053572A"/>
    <w:rsid w:val="00541E05"/>
    <w:rsid w:val="005434B9"/>
    <w:rsid w:val="005664BB"/>
    <w:rsid w:val="0057481D"/>
    <w:rsid w:val="0058486E"/>
    <w:rsid w:val="00592D3E"/>
    <w:rsid w:val="00595AB8"/>
    <w:rsid w:val="005D1C8B"/>
    <w:rsid w:val="005D5CED"/>
    <w:rsid w:val="005D666D"/>
    <w:rsid w:val="005E7FDA"/>
    <w:rsid w:val="005F1A4C"/>
    <w:rsid w:val="005F2B7C"/>
    <w:rsid w:val="00605688"/>
    <w:rsid w:val="006070AF"/>
    <w:rsid w:val="00607E6C"/>
    <w:rsid w:val="006101B1"/>
    <w:rsid w:val="00614E44"/>
    <w:rsid w:val="00622830"/>
    <w:rsid w:val="00622C15"/>
    <w:rsid w:val="00630AEF"/>
    <w:rsid w:val="006325F8"/>
    <w:rsid w:val="00633B32"/>
    <w:rsid w:val="00634C9A"/>
    <w:rsid w:val="00642314"/>
    <w:rsid w:val="006440E4"/>
    <w:rsid w:val="00646B30"/>
    <w:rsid w:val="0066343B"/>
    <w:rsid w:val="00664777"/>
    <w:rsid w:val="006748A4"/>
    <w:rsid w:val="006771C0"/>
    <w:rsid w:val="00683E73"/>
    <w:rsid w:val="0069294A"/>
    <w:rsid w:val="006A3141"/>
    <w:rsid w:val="006A54AB"/>
    <w:rsid w:val="006A5E34"/>
    <w:rsid w:val="006A63D3"/>
    <w:rsid w:val="006B2422"/>
    <w:rsid w:val="006B2B9A"/>
    <w:rsid w:val="006C1937"/>
    <w:rsid w:val="006D35F9"/>
    <w:rsid w:val="006F020C"/>
    <w:rsid w:val="006F22CB"/>
    <w:rsid w:val="006F4E44"/>
    <w:rsid w:val="007127B7"/>
    <w:rsid w:val="00715EE6"/>
    <w:rsid w:val="00717487"/>
    <w:rsid w:val="00722231"/>
    <w:rsid w:val="0072719C"/>
    <w:rsid w:val="007416B6"/>
    <w:rsid w:val="00746F48"/>
    <w:rsid w:val="0075068D"/>
    <w:rsid w:val="0075404D"/>
    <w:rsid w:val="0076182A"/>
    <w:rsid w:val="00767B7E"/>
    <w:rsid w:val="00776FDB"/>
    <w:rsid w:val="007770C3"/>
    <w:rsid w:val="00782375"/>
    <w:rsid w:val="00784D24"/>
    <w:rsid w:val="00785FBA"/>
    <w:rsid w:val="00786E4A"/>
    <w:rsid w:val="007875EB"/>
    <w:rsid w:val="00792C7F"/>
    <w:rsid w:val="0079426B"/>
    <w:rsid w:val="007B1C98"/>
    <w:rsid w:val="007C13C7"/>
    <w:rsid w:val="007D312A"/>
    <w:rsid w:val="007D3F19"/>
    <w:rsid w:val="007E04F0"/>
    <w:rsid w:val="007E23B0"/>
    <w:rsid w:val="007E4F51"/>
    <w:rsid w:val="007F1991"/>
    <w:rsid w:val="007F2C2F"/>
    <w:rsid w:val="007F55FC"/>
    <w:rsid w:val="007F5665"/>
    <w:rsid w:val="00800112"/>
    <w:rsid w:val="008253BB"/>
    <w:rsid w:val="0083706E"/>
    <w:rsid w:val="008423A5"/>
    <w:rsid w:val="008473F6"/>
    <w:rsid w:val="00850625"/>
    <w:rsid w:val="00853718"/>
    <w:rsid w:val="00855221"/>
    <w:rsid w:val="00857603"/>
    <w:rsid w:val="00860645"/>
    <w:rsid w:val="00871D9A"/>
    <w:rsid w:val="00871F71"/>
    <w:rsid w:val="00885AF4"/>
    <w:rsid w:val="008919E9"/>
    <w:rsid w:val="0089359F"/>
    <w:rsid w:val="008939CD"/>
    <w:rsid w:val="0089777D"/>
    <w:rsid w:val="008A29E1"/>
    <w:rsid w:val="008A6FCF"/>
    <w:rsid w:val="008B0742"/>
    <w:rsid w:val="008B768C"/>
    <w:rsid w:val="008C4DB1"/>
    <w:rsid w:val="008C4EAF"/>
    <w:rsid w:val="008C5176"/>
    <w:rsid w:val="008C7FD0"/>
    <w:rsid w:val="008E05E1"/>
    <w:rsid w:val="008E1DE7"/>
    <w:rsid w:val="008E707C"/>
    <w:rsid w:val="00900B08"/>
    <w:rsid w:val="00902155"/>
    <w:rsid w:val="00902FA3"/>
    <w:rsid w:val="009043E4"/>
    <w:rsid w:val="00923564"/>
    <w:rsid w:val="0092392E"/>
    <w:rsid w:val="0093011A"/>
    <w:rsid w:val="009315F9"/>
    <w:rsid w:val="009440DC"/>
    <w:rsid w:val="00946945"/>
    <w:rsid w:val="00950959"/>
    <w:rsid w:val="00951248"/>
    <w:rsid w:val="0095152F"/>
    <w:rsid w:val="00954C49"/>
    <w:rsid w:val="0096669A"/>
    <w:rsid w:val="0097099F"/>
    <w:rsid w:val="00971997"/>
    <w:rsid w:val="00971FFC"/>
    <w:rsid w:val="0098660A"/>
    <w:rsid w:val="009931C3"/>
    <w:rsid w:val="00995115"/>
    <w:rsid w:val="009B0322"/>
    <w:rsid w:val="009B2C43"/>
    <w:rsid w:val="009B4EAE"/>
    <w:rsid w:val="009B7573"/>
    <w:rsid w:val="009C22F4"/>
    <w:rsid w:val="009C2E98"/>
    <w:rsid w:val="009C395F"/>
    <w:rsid w:val="009D3447"/>
    <w:rsid w:val="009D4711"/>
    <w:rsid w:val="009E0854"/>
    <w:rsid w:val="009F1185"/>
    <w:rsid w:val="009F18CD"/>
    <w:rsid w:val="009F2A13"/>
    <w:rsid w:val="009F72FB"/>
    <w:rsid w:val="00A04EB0"/>
    <w:rsid w:val="00A06B6C"/>
    <w:rsid w:val="00A13CC1"/>
    <w:rsid w:val="00A16847"/>
    <w:rsid w:val="00A237D8"/>
    <w:rsid w:val="00A268C4"/>
    <w:rsid w:val="00A307CD"/>
    <w:rsid w:val="00A34F66"/>
    <w:rsid w:val="00A40A00"/>
    <w:rsid w:val="00A4142F"/>
    <w:rsid w:val="00A56DF2"/>
    <w:rsid w:val="00A67AB5"/>
    <w:rsid w:val="00A735B0"/>
    <w:rsid w:val="00A91760"/>
    <w:rsid w:val="00A91F92"/>
    <w:rsid w:val="00A93B00"/>
    <w:rsid w:val="00A93C21"/>
    <w:rsid w:val="00AC3C6A"/>
    <w:rsid w:val="00AC4A03"/>
    <w:rsid w:val="00AD5620"/>
    <w:rsid w:val="00AD7C1B"/>
    <w:rsid w:val="00AE0071"/>
    <w:rsid w:val="00AE16BA"/>
    <w:rsid w:val="00AE1EBE"/>
    <w:rsid w:val="00AF200D"/>
    <w:rsid w:val="00B03C9D"/>
    <w:rsid w:val="00B060AE"/>
    <w:rsid w:val="00B10517"/>
    <w:rsid w:val="00B130B4"/>
    <w:rsid w:val="00B14E76"/>
    <w:rsid w:val="00B161B8"/>
    <w:rsid w:val="00B2048C"/>
    <w:rsid w:val="00B310B9"/>
    <w:rsid w:val="00B35F3F"/>
    <w:rsid w:val="00B36CBB"/>
    <w:rsid w:val="00B41C3B"/>
    <w:rsid w:val="00B425E0"/>
    <w:rsid w:val="00B43ABD"/>
    <w:rsid w:val="00B440AA"/>
    <w:rsid w:val="00B44B70"/>
    <w:rsid w:val="00B53C56"/>
    <w:rsid w:val="00B73B18"/>
    <w:rsid w:val="00B77EA6"/>
    <w:rsid w:val="00B81598"/>
    <w:rsid w:val="00B841F1"/>
    <w:rsid w:val="00B84CCF"/>
    <w:rsid w:val="00B9225C"/>
    <w:rsid w:val="00B944D6"/>
    <w:rsid w:val="00BB4DF0"/>
    <w:rsid w:val="00BC289F"/>
    <w:rsid w:val="00BC5361"/>
    <w:rsid w:val="00BC5460"/>
    <w:rsid w:val="00BC6B50"/>
    <w:rsid w:val="00BD0E25"/>
    <w:rsid w:val="00BD0F0B"/>
    <w:rsid w:val="00BD10E4"/>
    <w:rsid w:val="00BD4D8D"/>
    <w:rsid w:val="00BE1724"/>
    <w:rsid w:val="00BE7883"/>
    <w:rsid w:val="00BF3087"/>
    <w:rsid w:val="00BF5BD6"/>
    <w:rsid w:val="00C03E31"/>
    <w:rsid w:val="00C06397"/>
    <w:rsid w:val="00C33E72"/>
    <w:rsid w:val="00C354B2"/>
    <w:rsid w:val="00C35554"/>
    <w:rsid w:val="00C42709"/>
    <w:rsid w:val="00C51A6F"/>
    <w:rsid w:val="00C533CC"/>
    <w:rsid w:val="00C5751C"/>
    <w:rsid w:val="00C61924"/>
    <w:rsid w:val="00C61BFC"/>
    <w:rsid w:val="00C62B85"/>
    <w:rsid w:val="00C65438"/>
    <w:rsid w:val="00C767B8"/>
    <w:rsid w:val="00C91CBB"/>
    <w:rsid w:val="00C94671"/>
    <w:rsid w:val="00CC09B6"/>
    <w:rsid w:val="00CC666F"/>
    <w:rsid w:val="00CC7371"/>
    <w:rsid w:val="00CD1E3F"/>
    <w:rsid w:val="00CE0691"/>
    <w:rsid w:val="00CE1B14"/>
    <w:rsid w:val="00CE2E33"/>
    <w:rsid w:val="00CE44F6"/>
    <w:rsid w:val="00CE49DA"/>
    <w:rsid w:val="00CE7B61"/>
    <w:rsid w:val="00D00095"/>
    <w:rsid w:val="00D03321"/>
    <w:rsid w:val="00D137E7"/>
    <w:rsid w:val="00D20620"/>
    <w:rsid w:val="00D26091"/>
    <w:rsid w:val="00D31B65"/>
    <w:rsid w:val="00D34E7C"/>
    <w:rsid w:val="00D35489"/>
    <w:rsid w:val="00D44C19"/>
    <w:rsid w:val="00D51276"/>
    <w:rsid w:val="00D51730"/>
    <w:rsid w:val="00D7035F"/>
    <w:rsid w:val="00D70556"/>
    <w:rsid w:val="00DA65AC"/>
    <w:rsid w:val="00DB1913"/>
    <w:rsid w:val="00DC410D"/>
    <w:rsid w:val="00DC68CA"/>
    <w:rsid w:val="00DC7CBA"/>
    <w:rsid w:val="00DD34DE"/>
    <w:rsid w:val="00DD73B7"/>
    <w:rsid w:val="00DE3455"/>
    <w:rsid w:val="00DE35B1"/>
    <w:rsid w:val="00DF28BC"/>
    <w:rsid w:val="00DF34B9"/>
    <w:rsid w:val="00E01053"/>
    <w:rsid w:val="00E028B5"/>
    <w:rsid w:val="00E07ACF"/>
    <w:rsid w:val="00E13A71"/>
    <w:rsid w:val="00E142F7"/>
    <w:rsid w:val="00E315ED"/>
    <w:rsid w:val="00E331A1"/>
    <w:rsid w:val="00E33202"/>
    <w:rsid w:val="00E336A9"/>
    <w:rsid w:val="00E50624"/>
    <w:rsid w:val="00E568DF"/>
    <w:rsid w:val="00E64269"/>
    <w:rsid w:val="00E66D70"/>
    <w:rsid w:val="00E767A6"/>
    <w:rsid w:val="00E82267"/>
    <w:rsid w:val="00E86C3B"/>
    <w:rsid w:val="00E8761D"/>
    <w:rsid w:val="00EA010F"/>
    <w:rsid w:val="00EA6A19"/>
    <w:rsid w:val="00EB4327"/>
    <w:rsid w:val="00ED1B63"/>
    <w:rsid w:val="00ED2E94"/>
    <w:rsid w:val="00ED3C1F"/>
    <w:rsid w:val="00ED4085"/>
    <w:rsid w:val="00ED420E"/>
    <w:rsid w:val="00EE2F57"/>
    <w:rsid w:val="00EE566E"/>
    <w:rsid w:val="00EE6361"/>
    <w:rsid w:val="00EF4C34"/>
    <w:rsid w:val="00EF77C6"/>
    <w:rsid w:val="00F03A4E"/>
    <w:rsid w:val="00F05438"/>
    <w:rsid w:val="00F1361C"/>
    <w:rsid w:val="00F160C7"/>
    <w:rsid w:val="00F211A7"/>
    <w:rsid w:val="00F34CA6"/>
    <w:rsid w:val="00F36D8F"/>
    <w:rsid w:val="00F417B1"/>
    <w:rsid w:val="00F47CC5"/>
    <w:rsid w:val="00F602DF"/>
    <w:rsid w:val="00F712BF"/>
    <w:rsid w:val="00F81FD9"/>
    <w:rsid w:val="00F841AA"/>
    <w:rsid w:val="00F90B11"/>
    <w:rsid w:val="00F93889"/>
    <w:rsid w:val="00FA23E8"/>
    <w:rsid w:val="00FA3D5F"/>
    <w:rsid w:val="00FB4A59"/>
    <w:rsid w:val="00FB61B3"/>
    <w:rsid w:val="00FB6B06"/>
    <w:rsid w:val="00FB71B9"/>
    <w:rsid w:val="00FB7D62"/>
    <w:rsid w:val="00FC72C0"/>
    <w:rsid w:val="00FD3CC1"/>
    <w:rsid w:val="00FF1E02"/>
    <w:rsid w:val="00FF30B4"/>
    <w:rsid w:val="10C055FF"/>
    <w:rsid w:val="16BB723D"/>
    <w:rsid w:val="240371BF"/>
    <w:rsid w:val="29FD04D3"/>
    <w:rsid w:val="319F7F4E"/>
    <w:rsid w:val="79BFBE09"/>
    <w:rsid w:val="EFBD31D1"/>
    <w:rsid w:val="F6B7B8F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character" w:customStyle="1" w:styleId="29">
    <w:name w:val="Subtle Emphasis"/>
    <w:basedOn w:val="13"/>
    <w:qFormat/>
    <w:uiPriority w:val="19"/>
    <w:rPr>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84283782709"/>
          <c:y val="0.0290596175478066"/>
          <c:w val="0.710618071368578"/>
          <c:h val="0.847475195631506"/>
        </c:manualLayout>
      </c:layout>
      <c:barChart>
        <c:barDir val="col"/>
        <c:grouping val="stacked"/>
        <c:varyColors val="0"/>
        <c:ser>
          <c:idx val="0"/>
          <c:order val="0"/>
          <c:tx>
            <c:strRef>
              <c:f>Sheet1!$B$1</c:f>
              <c:strCache>
                <c:ptCount val="1"/>
                <c:pt idx="0">
                  <c:v>收入总计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Sheet1!$B$2:$B$5</c:f>
              <c:numCache>
                <c:formatCode>General</c:formatCode>
                <c:ptCount val="4"/>
                <c:pt idx="0">
                  <c:v>50561.59</c:v>
                </c:pt>
                <c:pt idx="1">
                  <c:v>59709.44</c:v>
                </c:pt>
              </c:numCache>
            </c:numRef>
          </c:val>
        </c:ser>
        <c:ser>
          <c:idx val="1"/>
          <c:order val="1"/>
          <c:tx>
            <c:strRef>
              <c:f>Sheet1!$C$1</c:f>
              <c:strCache>
                <c:ptCount val="1"/>
                <c:pt idx="0">
                  <c:v>支出总计</c:v>
                </c:pt>
              </c:strCache>
            </c:strRef>
          </c:tx>
          <c:invertIfNegative val="0"/>
          <c:dLbls>
            <c:dLbl>
              <c:idx val="0"/>
              <c:delete val="1"/>
            </c:dLbl>
            <c:dLbl>
              <c:idx val="1"/>
              <c:layout/>
              <c:dLblPos val="ctr"/>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Sheet1!$C$2:$C$5</c:f>
              <c:numCache>
                <c:formatCode>General</c:formatCode>
                <c:ptCount val="4"/>
                <c:pt idx="0">
                  <c:v>50561.59</c:v>
                </c:pt>
                <c:pt idx="1">
                  <c:v>59709.44</c:v>
                </c:pt>
              </c:numCache>
            </c:numRef>
          </c:val>
        </c:ser>
        <c:ser>
          <c:idx val="2"/>
          <c:order val="2"/>
          <c:tx>
            <c:strRef>
              <c:f>Sheet1!$D$1</c:f>
              <c:strCache>
                <c:ptCount val="1"/>
                <c:pt idx="0">
                  <c:v>列1</c:v>
                </c:pt>
              </c:strCache>
            </c:strRef>
          </c:tx>
          <c:invertIfNegative val="0"/>
          <c:dLbls>
            <c:delete val="1"/>
          </c:dLbls>
          <c:cat>
            <c:strRef>
              <c:f>Sheet1!$A$2:$A$5</c:f>
              <c:strCache>
                <c:ptCount val="2"/>
                <c:pt idx="0">
                  <c:v>2017年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59496704"/>
        <c:axId val="59576320"/>
      </c:barChart>
      <c:catAx>
        <c:axId val="594967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576320"/>
        <c:crosses val="autoZero"/>
        <c:auto val="1"/>
        <c:lblAlgn val="ctr"/>
        <c:lblOffset val="100"/>
        <c:noMultiLvlLbl val="0"/>
      </c:catAx>
      <c:valAx>
        <c:axId val="59576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4967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2018年本年收入构成</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3"/>
                <c:pt idx="0">
                  <c:v>一般公共预算财拨收入</c:v>
                </c:pt>
                <c:pt idx="1">
                  <c:v>政府性基金预算财拨收入</c:v>
                </c:pt>
                <c:pt idx="2">
                  <c:v>其他收入</c:v>
                </c:pt>
              </c:strCache>
            </c:strRef>
          </c:cat>
          <c:val>
            <c:numRef>
              <c:f>Sheet1!$B$2:$B$5</c:f>
              <c:numCache>
                <c:formatCode>General</c:formatCode>
                <c:ptCount val="4"/>
                <c:pt idx="0">
                  <c:v>50348.97</c:v>
                </c:pt>
                <c:pt idx="1">
                  <c:v>2593.48</c:v>
                </c:pt>
                <c:pt idx="2">
                  <c:v>6159.22</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2018年本年支出构成</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2"/>
                <c:pt idx="0">
                  <c:v>基本支出</c:v>
                </c:pt>
                <c:pt idx="1">
                  <c:v>项目支出</c:v>
                </c:pt>
              </c:strCache>
            </c:strRef>
          </c:cat>
          <c:val>
            <c:numRef>
              <c:f>Sheet1!$B$2:$B$5</c:f>
              <c:numCache>
                <c:formatCode>General</c:formatCode>
                <c:ptCount val="4"/>
                <c:pt idx="0">
                  <c:v>39408.87</c:v>
                </c:pt>
                <c:pt idx="1">
                  <c:v>17939.74</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财政拨款收支决算总计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Sheet1!$B$2:$B$5</c:f>
              <c:numCache>
                <c:formatCode>General</c:formatCode>
                <c:ptCount val="4"/>
                <c:pt idx="0">
                  <c:v>48873.14</c:v>
                </c:pt>
                <c:pt idx="1">
                  <c:v>53550.16</c:v>
                </c:pt>
              </c:numCache>
            </c:numRef>
          </c:val>
        </c:ser>
        <c:ser>
          <c:idx val="1"/>
          <c:order val="1"/>
          <c:tx>
            <c:strRef>
              <c:f>Sheet1!$C$1</c:f>
              <c:strCache>
                <c:ptCount val="1"/>
                <c:pt idx="0">
                  <c:v>列1</c:v>
                </c:pt>
              </c:strCache>
            </c:strRef>
          </c:tx>
          <c:invertIfNegative val="0"/>
          <c:dLbls>
            <c:delete val="1"/>
          </c:dLbls>
          <c:cat>
            <c:strRef>
              <c:f>Sheet1!$A$2:$A$5</c:f>
              <c:strCache>
                <c:ptCount val="2"/>
                <c:pt idx="0">
                  <c:v>2017年</c:v>
                </c:pt>
                <c:pt idx="1">
                  <c:v>2018年</c:v>
                </c:pt>
              </c:strCache>
            </c:strRef>
          </c:cat>
          <c:val>
            <c:numRef>
              <c:f>Sheet1!$C$2:$C$5</c:f>
              <c:numCache>
                <c:formatCode>General</c:formatCode>
                <c:ptCount val="4"/>
              </c:numCache>
            </c:numRef>
          </c:val>
        </c:ser>
        <c:ser>
          <c:idx val="2"/>
          <c:order val="2"/>
          <c:tx>
            <c:strRef>
              <c:f>Sheet1!$D$1</c:f>
              <c:strCache>
                <c:ptCount val="1"/>
                <c:pt idx="0">
                  <c:v>列2</c:v>
                </c:pt>
              </c:strCache>
            </c:strRef>
          </c:tx>
          <c:invertIfNegative val="0"/>
          <c:dLbls>
            <c:delete val="1"/>
          </c:dLbls>
          <c:cat>
            <c:strRef>
              <c:f>Sheet1!$A$2:$A$5</c:f>
              <c:strCache>
                <c:ptCount val="2"/>
                <c:pt idx="0">
                  <c:v>2017年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78346112"/>
        <c:axId val="78373248"/>
      </c:barChart>
      <c:catAx>
        <c:axId val="7834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73248"/>
        <c:crosses val="autoZero"/>
        <c:auto val="1"/>
        <c:lblAlgn val="ctr"/>
        <c:lblOffset val="100"/>
        <c:noMultiLvlLbl val="0"/>
      </c:catAx>
      <c:valAx>
        <c:axId val="783732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61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一般公共预算财拨支出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Sheet1!$B$2:$B$5</c:f>
              <c:numCache>
                <c:formatCode>General</c:formatCode>
                <c:ptCount val="4"/>
                <c:pt idx="0">
                  <c:v>45653.5</c:v>
                </c:pt>
                <c:pt idx="1">
                  <c:v>49051.76</c:v>
                </c:pt>
              </c:numCache>
            </c:numRef>
          </c:val>
        </c:ser>
        <c:ser>
          <c:idx val="1"/>
          <c:order val="1"/>
          <c:tx>
            <c:strRef>
              <c:f>Sheet1!$C$1</c:f>
              <c:strCache>
                <c:ptCount val="1"/>
                <c:pt idx="0">
                  <c:v>列1</c:v>
                </c:pt>
              </c:strCache>
            </c:strRef>
          </c:tx>
          <c:invertIfNegative val="0"/>
          <c:dLbls>
            <c:delete val="1"/>
          </c:dLbls>
          <c:cat>
            <c:strRef>
              <c:f>Sheet1!$A$2:$A$5</c:f>
              <c:strCache>
                <c:ptCount val="2"/>
                <c:pt idx="0">
                  <c:v>2017年</c:v>
                </c:pt>
                <c:pt idx="1">
                  <c:v>2018年</c:v>
                </c:pt>
              </c:strCache>
            </c:strRef>
          </c:cat>
          <c:val>
            <c:numRef>
              <c:f>Sheet1!$C$2:$C$5</c:f>
              <c:numCache>
                <c:formatCode>General</c:formatCode>
                <c:ptCount val="4"/>
              </c:numCache>
            </c:numRef>
          </c:val>
        </c:ser>
        <c:ser>
          <c:idx val="2"/>
          <c:order val="2"/>
          <c:tx>
            <c:strRef>
              <c:f>Sheet1!$D$1</c:f>
              <c:strCache>
                <c:ptCount val="1"/>
                <c:pt idx="0">
                  <c:v>列2</c:v>
                </c:pt>
              </c:strCache>
            </c:strRef>
          </c:tx>
          <c:invertIfNegative val="0"/>
          <c:dLbls>
            <c:delete val="1"/>
          </c:dLbls>
          <c:cat>
            <c:strRef>
              <c:f>Sheet1!$A$2:$A$5</c:f>
              <c:strCache>
                <c:ptCount val="2"/>
                <c:pt idx="0">
                  <c:v>2017年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76047872"/>
        <c:axId val="76049408"/>
      </c:barChart>
      <c:catAx>
        <c:axId val="760478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049408"/>
        <c:crosses val="autoZero"/>
        <c:auto val="1"/>
        <c:lblAlgn val="ctr"/>
        <c:lblOffset val="100"/>
        <c:noMultiLvlLbl val="0"/>
      </c:catAx>
      <c:valAx>
        <c:axId val="76049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0478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一般公共预算财拨支出构成</c:v>
                </c:pt>
              </c:strCache>
            </c:strRef>
          </c:tx>
          <c:explosion val="13"/>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c:v>
                </c:pt>
                <c:pt idx="1">
                  <c:v>公共安全支出</c:v>
                </c:pt>
                <c:pt idx="2">
                  <c:v>文化体育与传媒支出</c:v>
                </c:pt>
                <c:pt idx="3">
                  <c:v>社会保障就业支出</c:v>
                </c:pt>
                <c:pt idx="4">
                  <c:v>医疗卫生与计划生育</c:v>
                </c:pt>
                <c:pt idx="5">
                  <c:v>城乡社区支出</c:v>
                </c:pt>
                <c:pt idx="6">
                  <c:v>住房保障支出</c:v>
                </c:pt>
              </c:strCache>
            </c:strRef>
          </c:cat>
          <c:val>
            <c:numRef>
              <c:f>Sheet1!$B$2:$B$8</c:f>
              <c:numCache>
                <c:formatCode>General</c:formatCode>
                <c:ptCount val="7"/>
                <c:pt idx="0">
                  <c:v>6.76</c:v>
                </c:pt>
                <c:pt idx="1">
                  <c:v>41306.04</c:v>
                </c:pt>
                <c:pt idx="2">
                  <c:v>5</c:v>
                </c:pt>
                <c:pt idx="3">
                  <c:v>4941.81</c:v>
                </c:pt>
                <c:pt idx="4">
                  <c:v>1</c:v>
                </c:pt>
                <c:pt idx="5">
                  <c:v>128</c:v>
                </c:pt>
                <c:pt idx="6">
                  <c:v>2663.15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财政拨款“三公经费”</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公务用车购置及维护</c:v>
                </c:pt>
                <c:pt idx="1">
                  <c:v>公务接待</c:v>
                </c:pt>
                <c:pt idx="2">
                  <c:v>因公出国（境）</c:v>
                </c:pt>
              </c:strCache>
            </c:strRef>
          </c:cat>
          <c:val>
            <c:numRef>
              <c:f>Sheet1!$B$2:$B$5</c:f>
              <c:numCache>
                <c:formatCode>General</c:formatCode>
                <c:ptCount val="4"/>
                <c:pt idx="0">
                  <c:v>596.3</c:v>
                </c:pt>
                <c:pt idx="1">
                  <c:v>3.41</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5BEDABA-37D4-49D9-9DD7-F254F0A9DF0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2791</Words>
  <Characters>15909</Characters>
  <Lines>132</Lines>
  <Paragraphs>37</Paragraphs>
  <TotalTime>4</TotalTime>
  <ScaleCrop>false</ScaleCrop>
  <LinksUpToDate>false</LinksUpToDate>
  <CharactersWithSpaces>18663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2019-08-01T08:48:00Z</cp:lastPrinted>
  <dcterms:modified xsi:type="dcterms:W3CDTF">2026-02-06T11:02:13Z</dcterms:modified>
  <dc:title>四川省***</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856F0CC2395D5FE4F058856953FBAE97</vt:lpwstr>
  </property>
</Properties>
</file>