
<file path=[Content_Types].xml><?xml version="1.0" encoding="utf-8"?>
<Types xmlns="http://schemas.openxmlformats.org/package/2006/content-types">
  <Default Extension="xml" ContentType="application/xml"/>
  <Default Extension="xlsx" ContentType="application/vnd.openxmlformats-officedocument.spreadsheetml.sheet"/>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charts/chart7.xml" ContentType="application/vnd.openxmlformats-officedocument.drawingml.chart+xml"/>
  <Override PartName="/word/charts/colors1.xml" ContentType="application/vnd.ms-office.chartcolorstyle+xml"/>
  <Override PartName="/word/charts/colors2.xml" ContentType="application/vnd.ms-office.chartcolorstyle+xml"/>
  <Override PartName="/word/charts/colors3.xml" ContentType="application/vnd.ms-office.chartcolorstyle+xml"/>
  <Override PartName="/word/charts/colors4.xml" ContentType="application/vnd.ms-office.chartcolorstyle+xml"/>
  <Override PartName="/word/charts/colors5.xml" ContentType="application/vnd.ms-office.chartcolorstyle+xml"/>
  <Override PartName="/word/charts/colors6.xml" ContentType="application/vnd.ms-office.chartcolorstyle+xml"/>
  <Override PartName="/word/charts/style1.xml" ContentType="application/vnd.ms-office.chartstyle+xml"/>
  <Override PartName="/word/charts/style2.xml" ContentType="application/vnd.ms-office.chartstyle+xml"/>
  <Override PartName="/word/charts/style3.xml" ContentType="application/vnd.ms-office.chartstyle+xml"/>
  <Override PartName="/word/charts/style4.xml" ContentType="application/vnd.ms-office.chartstyle+xml"/>
  <Override PartName="/word/charts/style5.xml" ContentType="application/vnd.ms-office.chartstyle+xml"/>
  <Override PartName="/word/charts/style6.xml" ContentType="application/vnd.ms-office.chartstyle+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10.odttf" ContentType="application/vnd.openxmlformats-officedocument.obfuscatedFont"/>
  <Override PartName="/word/fonts/font11.odttf" ContentType="application/vnd.openxmlformats-officedocument.obfuscatedFont"/>
  <Override PartName="/word/fonts/font12.odttf" ContentType="application/vnd.openxmlformats-officedocument.obfuscatedFont"/>
  <Override PartName="/word/fonts/font13.odttf" ContentType="application/vnd.openxmlformats-officedocument.obfuscatedFont"/>
  <Override PartName="/word/fonts/font14.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8"/>
        <w:spacing w:before="93"/>
        <w:ind w:left="105" w:leftChars="50" w:right="105" w:rightChars="50"/>
        <w:rPr>
          <w:rFonts w:ascii="Times New Roman" w:eastAsia="方正小标宋简体"/>
          <w:kern w:val="2"/>
          <w:sz w:val="72"/>
          <w:szCs w:val="72"/>
        </w:rPr>
      </w:pPr>
      <w:bookmarkStart w:id="0" w:name="_Toc15396597"/>
      <w:bookmarkStart w:id="1" w:name="_Toc15306267"/>
      <w:bookmarkStart w:id="2" w:name="_Toc15396475"/>
      <w:bookmarkStart w:id="3" w:name="_Toc15377193"/>
      <w:bookmarkStart w:id="4" w:name="_Toc15377425"/>
      <w:bookmarkStart w:id="5" w:name="_Toc15378441"/>
    </w:p>
    <w:p>
      <w:pPr>
        <w:pStyle w:val="8"/>
        <w:spacing w:before="93"/>
        <w:ind w:left="105" w:leftChars="50" w:right="105" w:rightChars="50"/>
        <w:rPr>
          <w:rFonts w:ascii="Times New Roman" w:eastAsia="方正小标宋简体"/>
          <w:kern w:val="2"/>
          <w:sz w:val="72"/>
          <w:szCs w:val="72"/>
        </w:rPr>
      </w:pPr>
    </w:p>
    <w:p>
      <w:pPr>
        <w:pStyle w:val="8"/>
        <w:spacing w:before="93"/>
        <w:ind w:left="105" w:leftChars="50" w:right="105" w:rightChars="50"/>
        <w:rPr>
          <w:rFonts w:ascii="Times New Roman" w:eastAsia="方正小标宋简体"/>
          <w:kern w:val="2"/>
          <w:sz w:val="72"/>
          <w:szCs w:val="72"/>
        </w:rPr>
      </w:pPr>
    </w:p>
    <w:p>
      <w:pPr>
        <w:pStyle w:val="8"/>
        <w:spacing w:before="93"/>
        <w:jc w:val="center"/>
        <w:rPr>
          <w:rFonts w:hint="eastAsia" w:asciiTheme="minorEastAsia" w:hAnsiTheme="minorEastAsia" w:eastAsiaTheme="minorEastAsia" w:cstheme="minorEastAsia"/>
          <w:kern w:val="2"/>
          <w:sz w:val="44"/>
          <w:szCs w:val="44"/>
          <w:lang w:val="en-US" w:eastAsia="zh-CN"/>
        </w:rPr>
      </w:pPr>
      <w:r>
        <w:rPr>
          <w:rFonts w:hint="eastAsia" w:asciiTheme="minorEastAsia" w:hAnsiTheme="minorEastAsia" w:eastAsiaTheme="minorEastAsia" w:cstheme="minorEastAsia"/>
          <w:kern w:val="2"/>
          <w:sz w:val="44"/>
          <w:szCs w:val="44"/>
        </w:rPr>
        <w:t>2025年度</w:t>
      </w:r>
      <w:r>
        <w:rPr>
          <w:rFonts w:hint="eastAsia" w:asciiTheme="minorEastAsia" w:hAnsiTheme="minorEastAsia" w:eastAsiaTheme="minorEastAsia" w:cstheme="minorEastAsia"/>
          <w:kern w:val="2"/>
          <w:sz w:val="44"/>
          <w:szCs w:val="44"/>
          <w:lang w:val="en-US" w:eastAsia="zh-CN"/>
        </w:rPr>
        <w:t>攀枝花市公安局东区分局</w:t>
      </w:r>
    </w:p>
    <w:p>
      <w:pPr>
        <w:pStyle w:val="8"/>
        <w:spacing w:before="93"/>
        <w:jc w:val="center"/>
        <w:rPr>
          <w:rFonts w:hint="eastAsia" w:asciiTheme="minorEastAsia" w:hAnsiTheme="minorEastAsia" w:eastAsiaTheme="minorEastAsia" w:cstheme="minorEastAsia"/>
          <w:kern w:val="2"/>
          <w:sz w:val="44"/>
          <w:szCs w:val="44"/>
        </w:rPr>
      </w:pPr>
      <w:r>
        <w:rPr>
          <w:rFonts w:hint="eastAsia" w:asciiTheme="minorEastAsia" w:hAnsiTheme="minorEastAsia" w:eastAsiaTheme="minorEastAsia" w:cstheme="minorEastAsia"/>
          <w:kern w:val="2"/>
          <w:sz w:val="44"/>
          <w:szCs w:val="44"/>
        </w:rPr>
        <w:t>决算公开编制说明</w:t>
      </w:r>
    </w:p>
    <w:p>
      <w:pPr>
        <w:pStyle w:val="19"/>
        <w:spacing w:line="240" w:lineRule="auto"/>
        <w:ind w:right="105" w:rightChars="50"/>
        <w:rPr>
          <w:rFonts w:ascii="Times New Roman" w:hAnsi="Times New Roman"/>
        </w:rPr>
        <w:sectPr>
          <w:headerReference r:id="rId3" w:type="default"/>
          <w:footerReference r:id="rId4" w:type="default"/>
          <w:pgSz w:w="11906" w:h="16838"/>
          <w:pgMar w:top="1440" w:right="1800" w:bottom="1440" w:left="1800" w:header="851" w:footer="992" w:gutter="0"/>
          <w:pgNumType w:fmt="numberInDash" w:start="1"/>
          <w:cols w:space="425" w:num="1"/>
          <w:titlePg/>
          <w:docGrid w:type="lines" w:linePitch="312" w:charSpace="0"/>
        </w:sectPr>
      </w:pPr>
    </w:p>
    <w:bookmarkEnd w:id="0"/>
    <w:bookmarkEnd w:id="1"/>
    <w:bookmarkEnd w:id="2"/>
    <w:bookmarkEnd w:id="3"/>
    <w:bookmarkEnd w:id="4"/>
    <w:bookmarkEnd w:id="5"/>
    <w:p>
      <w:pPr>
        <w:pStyle w:val="8"/>
        <w:spacing w:before="93"/>
        <w:jc w:val="both"/>
        <w:rPr>
          <w:rFonts w:hint="eastAsia" w:asciiTheme="majorEastAsia" w:hAnsiTheme="majorEastAsia" w:eastAsiaTheme="majorEastAsia" w:cstheme="majorEastAsia"/>
          <w:kern w:val="2"/>
          <w:sz w:val="44"/>
          <w:szCs w:val="44"/>
        </w:rPr>
      </w:pPr>
      <w:bookmarkStart w:id="6" w:name="_Toc15396476"/>
      <w:bookmarkStart w:id="7" w:name="_Toc15377194"/>
      <w:bookmarkStart w:id="8" w:name="_Toc15306268"/>
      <w:bookmarkStart w:id="9" w:name="_Toc15377426"/>
      <w:bookmarkStart w:id="10" w:name="_Toc15396598"/>
      <w:bookmarkStart w:id="11" w:name="_Toc15378442"/>
    </w:p>
    <w:p>
      <w:pPr>
        <w:pStyle w:val="8"/>
        <w:spacing w:before="93"/>
        <w:jc w:val="both"/>
        <w:rPr>
          <w:rFonts w:hint="eastAsia" w:asciiTheme="majorEastAsia" w:hAnsiTheme="majorEastAsia" w:eastAsiaTheme="majorEastAsia" w:cstheme="majorEastAsia"/>
          <w:kern w:val="2"/>
          <w:sz w:val="44"/>
          <w:szCs w:val="44"/>
        </w:rPr>
      </w:pPr>
    </w:p>
    <w:p>
      <w:pPr>
        <w:pStyle w:val="8"/>
        <w:spacing w:before="93"/>
        <w:jc w:val="both"/>
        <w:rPr>
          <w:rFonts w:hint="eastAsia" w:asciiTheme="majorEastAsia" w:hAnsiTheme="majorEastAsia" w:eastAsiaTheme="majorEastAsia" w:cstheme="majorEastAsia"/>
          <w:kern w:val="2"/>
          <w:sz w:val="44"/>
          <w:szCs w:val="44"/>
        </w:rPr>
      </w:pPr>
    </w:p>
    <w:p>
      <w:pPr>
        <w:pStyle w:val="8"/>
        <w:spacing w:before="93"/>
        <w:ind w:firstLine="880" w:firstLineChars="200"/>
        <w:jc w:val="both"/>
        <w:rPr>
          <w:rFonts w:hint="eastAsia" w:asciiTheme="majorEastAsia" w:hAnsiTheme="majorEastAsia" w:eastAsiaTheme="majorEastAsia" w:cstheme="majorEastAsia"/>
          <w:kern w:val="2"/>
          <w:sz w:val="44"/>
          <w:szCs w:val="44"/>
          <w:lang w:eastAsia="zh-CN"/>
        </w:rPr>
      </w:pPr>
      <w:r>
        <w:rPr>
          <w:rFonts w:hint="eastAsia" w:asciiTheme="majorEastAsia" w:hAnsiTheme="majorEastAsia" w:eastAsiaTheme="majorEastAsia" w:cstheme="majorEastAsia"/>
          <w:kern w:val="2"/>
          <w:sz w:val="44"/>
          <w:szCs w:val="44"/>
        </w:rPr>
        <w:t>2025年度攀枝花市</w:t>
      </w:r>
      <w:r>
        <w:rPr>
          <w:rFonts w:hint="eastAsia" w:asciiTheme="majorEastAsia" w:hAnsiTheme="majorEastAsia" w:eastAsiaTheme="majorEastAsia" w:cstheme="majorEastAsia"/>
          <w:kern w:val="2"/>
          <w:sz w:val="44"/>
          <w:szCs w:val="44"/>
          <w:lang w:eastAsia="zh-CN"/>
        </w:rPr>
        <w:t>公安局东区分局</w:t>
      </w:r>
    </w:p>
    <w:p>
      <w:pPr>
        <w:pStyle w:val="8"/>
        <w:spacing w:before="93"/>
        <w:jc w:val="center"/>
        <w:rPr>
          <w:rFonts w:hint="eastAsia" w:asciiTheme="majorEastAsia" w:hAnsiTheme="majorEastAsia" w:eastAsiaTheme="majorEastAsia" w:cstheme="majorEastAsia"/>
          <w:kern w:val="2"/>
          <w:sz w:val="44"/>
          <w:szCs w:val="44"/>
        </w:rPr>
      </w:pPr>
      <w:r>
        <w:rPr>
          <w:rFonts w:hint="eastAsia" w:asciiTheme="majorEastAsia" w:hAnsiTheme="majorEastAsia" w:eastAsiaTheme="majorEastAsia" w:cstheme="majorEastAsia"/>
          <w:kern w:val="2"/>
          <w:sz w:val="44"/>
          <w:szCs w:val="44"/>
        </w:rPr>
        <w:t>部门决算</w:t>
      </w:r>
    </w:p>
    <w:p>
      <w:pPr>
        <w:adjustRightInd w:val="0"/>
        <w:snapToGrid w:val="0"/>
        <w:ind w:left="105" w:leftChars="50" w:right="105" w:rightChars="50"/>
        <w:jc w:val="center"/>
        <w:outlineLvl w:val="0"/>
        <w:rPr>
          <w:rFonts w:hint="eastAsia" w:ascii="方正小标宋_GBK" w:hAnsi="方正小标宋_GBK" w:eastAsia="方正小标宋_GBK" w:cs="方正小标宋_GBK"/>
          <w:sz w:val="72"/>
          <w:szCs w:val="72"/>
        </w:rPr>
      </w:pPr>
    </w:p>
    <w:bookmarkEnd w:id="6"/>
    <w:bookmarkEnd w:id="7"/>
    <w:bookmarkEnd w:id="8"/>
    <w:bookmarkEnd w:id="9"/>
    <w:bookmarkEnd w:id="10"/>
    <w:bookmarkEnd w:id="11"/>
    <w:p>
      <w:pPr>
        <w:widowControl/>
        <w:ind w:left="105" w:leftChars="50" w:right="105" w:rightChars="50"/>
        <w:jc w:val="center"/>
        <w:rPr>
          <w:rFonts w:eastAsia="黑体"/>
          <w:sz w:val="48"/>
          <w:szCs w:val="48"/>
        </w:rPr>
      </w:pPr>
    </w:p>
    <w:p>
      <w:pPr>
        <w:widowControl/>
        <w:ind w:left="105" w:leftChars="50" w:right="105" w:rightChars="50"/>
        <w:jc w:val="center"/>
        <w:rPr>
          <w:rFonts w:eastAsia="黑体"/>
          <w:sz w:val="48"/>
          <w:szCs w:val="48"/>
        </w:rPr>
      </w:pPr>
    </w:p>
    <w:p>
      <w:pPr>
        <w:widowControl/>
        <w:ind w:left="105" w:leftChars="50" w:right="105" w:rightChars="50"/>
        <w:jc w:val="center"/>
        <w:rPr>
          <w:rFonts w:eastAsia="黑体"/>
          <w:sz w:val="48"/>
          <w:szCs w:val="48"/>
        </w:rPr>
      </w:pPr>
    </w:p>
    <w:p>
      <w:pPr>
        <w:widowControl/>
        <w:ind w:left="105" w:leftChars="50" w:right="105" w:rightChars="50"/>
        <w:jc w:val="center"/>
        <w:rPr>
          <w:rFonts w:eastAsia="黑体"/>
          <w:sz w:val="48"/>
          <w:szCs w:val="48"/>
        </w:rPr>
      </w:pPr>
    </w:p>
    <w:p>
      <w:pPr>
        <w:widowControl/>
        <w:ind w:left="105" w:leftChars="50" w:right="105" w:rightChars="50"/>
        <w:jc w:val="center"/>
        <w:rPr>
          <w:rFonts w:eastAsia="黑体"/>
          <w:sz w:val="48"/>
          <w:szCs w:val="48"/>
        </w:rPr>
      </w:pPr>
    </w:p>
    <w:p>
      <w:pPr>
        <w:widowControl/>
        <w:ind w:left="105" w:leftChars="50" w:right="105" w:rightChars="50"/>
        <w:jc w:val="center"/>
        <w:rPr>
          <w:rFonts w:eastAsia="黑体"/>
          <w:sz w:val="48"/>
          <w:szCs w:val="48"/>
        </w:rPr>
      </w:pPr>
    </w:p>
    <w:p>
      <w:pPr>
        <w:widowControl/>
        <w:ind w:left="105" w:leftChars="50" w:right="105" w:rightChars="50"/>
        <w:jc w:val="center"/>
        <w:rPr>
          <w:rFonts w:eastAsia="黑体"/>
          <w:sz w:val="48"/>
          <w:szCs w:val="48"/>
        </w:rPr>
      </w:pPr>
    </w:p>
    <w:p>
      <w:pPr>
        <w:widowControl/>
        <w:ind w:left="105" w:leftChars="50" w:right="105" w:rightChars="50"/>
        <w:jc w:val="center"/>
        <w:rPr>
          <w:rFonts w:eastAsia="黑体"/>
          <w:sz w:val="48"/>
          <w:szCs w:val="48"/>
        </w:rPr>
      </w:pPr>
    </w:p>
    <w:p>
      <w:pPr>
        <w:pStyle w:val="2"/>
        <w:rPr>
          <w:rFonts w:eastAsia="黑体"/>
          <w:sz w:val="48"/>
          <w:szCs w:val="48"/>
        </w:rPr>
      </w:pPr>
    </w:p>
    <w:p>
      <w:pPr>
        <w:pStyle w:val="3"/>
        <w:rPr>
          <w:rFonts w:eastAsia="黑体"/>
          <w:sz w:val="48"/>
          <w:szCs w:val="48"/>
        </w:rPr>
      </w:pPr>
    </w:p>
    <w:p/>
    <w:p>
      <w:pPr>
        <w:widowControl/>
        <w:ind w:left="105" w:leftChars="50" w:right="105" w:rightChars="50"/>
        <w:jc w:val="center"/>
        <w:rPr>
          <w:rFonts w:eastAsia="黑体"/>
          <w:sz w:val="48"/>
          <w:szCs w:val="48"/>
        </w:rPr>
      </w:pPr>
    </w:p>
    <w:p>
      <w:pPr>
        <w:widowControl/>
        <w:ind w:left="105" w:leftChars="50" w:right="105" w:rightChars="50"/>
        <w:jc w:val="center"/>
        <w:rPr>
          <w:rFonts w:eastAsia="黑体"/>
          <w:sz w:val="48"/>
          <w:szCs w:val="48"/>
        </w:rPr>
      </w:pPr>
    </w:p>
    <w:p>
      <w:pPr>
        <w:widowControl/>
        <w:ind w:left="105" w:leftChars="50" w:right="105" w:rightChars="50"/>
        <w:jc w:val="center"/>
        <w:rPr>
          <w:rFonts w:eastAsia="黑体"/>
          <w:sz w:val="48"/>
          <w:szCs w:val="48"/>
        </w:rPr>
      </w:pPr>
    </w:p>
    <w:p>
      <w:pPr>
        <w:pStyle w:val="2"/>
      </w:pPr>
    </w:p>
    <w:p>
      <w:pPr>
        <w:widowControl/>
        <w:ind w:left="105" w:leftChars="50" w:right="105" w:rightChars="50"/>
        <w:jc w:val="center"/>
        <w:rPr>
          <w:rFonts w:eastAsia="黑体"/>
          <w:sz w:val="48"/>
          <w:szCs w:val="48"/>
        </w:rPr>
      </w:pPr>
    </w:p>
    <w:p>
      <w:pPr>
        <w:widowControl/>
        <w:ind w:left="105" w:leftChars="50" w:right="105" w:rightChars="50"/>
        <w:jc w:val="center"/>
        <w:rPr>
          <w:rFonts w:eastAsia="黑体"/>
          <w:sz w:val="48"/>
          <w:szCs w:val="48"/>
        </w:rPr>
      </w:pPr>
      <w:r>
        <w:rPr>
          <w:rFonts w:hint="eastAsia" w:eastAsia="黑体"/>
          <w:sz w:val="48"/>
          <w:szCs w:val="48"/>
        </w:rPr>
        <w:t>目录</w:t>
      </w:r>
      <w:bookmarkStart w:id="31" w:name="_GoBack"/>
      <w:bookmarkEnd w:id="31"/>
    </w:p>
    <w:p>
      <w:pPr>
        <w:widowControl/>
        <w:ind w:left="105" w:leftChars="50" w:right="105" w:rightChars="50"/>
        <w:jc w:val="center"/>
        <w:rPr>
          <w:rFonts w:eastAsia="黑体" w:cstheme="minorBidi"/>
          <w:sz w:val="28"/>
          <w:szCs w:val="28"/>
        </w:rPr>
      </w:pPr>
    </w:p>
    <w:p>
      <w:pPr>
        <w:pStyle w:val="13"/>
        <w:ind w:left="105" w:leftChars="50" w:right="105" w:rightChars="50"/>
        <w:rPr>
          <w:rFonts w:ascii="Times New Roman" w:hAnsi="Times New Roman" w:eastAsia="仿宋_GB2312" w:cs="仿宋_GB2312"/>
          <w:sz w:val="32"/>
          <w:szCs w:val="32"/>
        </w:rPr>
      </w:pPr>
      <w:r>
        <w:rPr>
          <w:rFonts w:hint="eastAsia" w:ascii="Times New Roman" w:hAnsi="Times New Roman" w:eastAsia="仿宋_GB2312" w:cs="仿宋_GB2312"/>
          <w:sz w:val="32"/>
          <w:szCs w:val="32"/>
        </w:rPr>
        <w:t>公开时间：202</w:t>
      </w:r>
      <w:r>
        <w:rPr>
          <w:rFonts w:hint="eastAsia" w:ascii="Times New Roman" w:hAnsi="Times New Roman" w:eastAsia="仿宋_GB2312" w:cs="仿宋_GB2312"/>
          <w:sz w:val="32"/>
          <w:szCs w:val="32"/>
          <w:lang w:val="en-US" w:eastAsia="zh-CN"/>
        </w:rPr>
        <w:t>6</w:t>
      </w:r>
      <w:r>
        <w:rPr>
          <w:rFonts w:hint="eastAsia" w:ascii="Times New Roman" w:hAnsi="Times New Roman" w:eastAsia="仿宋_GB2312" w:cs="仿宋_GB2312"/>
          <w:sz w:val="32"/>
          <w:szCs w:val="32"/>
        </w:rPr>
        <w:t>年</w:t>
      </w:r>
      <w:r>
        <w:rPr>
          <w:rFonts w:hint="eastAsia" w:ascii="Times New Roman" w:hAnsi="Times New Roman" w:eastAsia="仿宋_GB2312" w:cs="仿宋_GB2312"/>
          <w:sz w:val="32"/>
          <w:szCs w:val="32"/>
          <w:lang w:val="en-US" w:eastAsia="zh-CN"/>
        </w:rPr>
        <w:t>9</w:t>
      </w:r>
      <w:r>
        <w:rPr>
          <w:rFonts w:hint="eastAsia" w:ascii="Times New Roman" w:hAnsi="Times New Roman" w:eastAsia="仿宋_GB2312" w:cs="仿宋_GB2312"/>
          <w:sz w:val="32"/>
          <w:szCs w:val="32"/>
        </w:rPr>
        <w:t xml:space="preserve">月 </w:t>
      </w:r>
      <w:r>
        <w:rPr>
          <w:rFonts w:hint="eastAsia" w:ascii="Times New Roman" w:hAnsi="Times New Roman" w:eastAsia="仿宋_GB2312" w:cs="仿宋_GB2312"/>
          <w:sz w:val="32"/>
          <w:szCs w:val="32"/>
          <w:lang w:val="en-US" w:eastAsia="zh-CN"/>
        </w:rPr>
        <w:t>15</w:t>
      </w:r>
      <w:r>
        <w:rPr>
          <w:rFonts w:hint="eastAsia" w:ascii="Times New Roman" w:hAnsi="Times New Roman" w:eastAsia="仿宋_GB2312" w:cs="仿宋_GB2312"/>
          <w:sz w:val="32"/>
          <w:szCs w:val="32"/>
        </w:rPr>
        <w:t>日</w:t>
      </w:r>
    </w:p>
    <w:p>
      <w:pPr>
        <w:ind w:left="105" w:leftChars="50" w:right="105" w:rightChars="50"/>
      </w:pPr>
    </w:p>
    <w:sdt>
      <w:sdtPr>
        <w:rPr>
          <w:lang w:val="zh-CN"/>
        </w:rPr>
        <w:id w:val="-296912262"/>
        <w:docPartObj>
          <w:docPartGallery w:val="Table of Contents"/>
          <w:docPartUnique/>
        </w:docPartObj>
      </w:sdtPr>
      <w:sdtEndPr>
        <w:rPr>
          <w:rFonts w:ascii="Times New Roman" w:hAnsi="Times New Roman" w:eastAsia="宋体" w:cs="Times New Roman"/>
          <w:b/>
          <w:bCs/>
          <w:color w:val="auto"/>
          <w:kern w:val="2"/>
          <w:sz w:val="21"/>
          <w:szCs w:val="24"/>
          <w:lang w:val="zh-CN"/>
        </w:rPr>
      </w:sdtEndPr>
      <w:sdtContent>
        <w:p>
          <w:pPr>
            <w:pStyle w:val="35"/>
            <w:rPr>
              <w:rFonts w:hint="eastAsia"/>
            </w:rPr>
          </w:pPr>
        </w:p>
        <w:p>
          <w:pPr>
            <w:pStyle w:val="13"/>
            <w:rPr>
              <w:rFonts w:hint="eastAsia" w:asciiTheme="majorEastAsia" w:hAnsiTheme="majorEastAsia" w:eastAsiaTheme="majorEastAsia" w:cstheme="minorBidi"/>
              <w:sz w:val="32"/>
              <w:szCs w:val="32"/>
              <w14:ligatures w14:val="standardContextual"/>
            </w:rPr>
          </w:pPr>
          <w:r>
            <w:fldChar w:fldCharType="begin"/>
          </w:r>
          <w:r>
            <w:instrText xml:space="preserve"> TOC \o "1-3" \h \z \u </w:instrText>
          </w:r>
          <w:r>
            <w:rPr>
              <w:rFonts w:hint="eastAsia"/>
            </w:rPr>
            <w:fldChar w:fldCharType="separate"/>
          </w:r>
        </w:p>
        <w:p>
          <w:pPr>
            <w:pStyle w:val="13"/>
            <w:rPr>
              <w:rFonts w:hint="eastAsia" w:asciiTheme="majorEastAsia" w:hAnsiTheme="majorEastAsia" w:eastAsiaTheme="majorEastAsia" w:cstheme="minorBidi"/>
              <w:b/>
              <w:bCs/>
              <w:sz w:val="32"/>
              <w:szCs w:val="32"/>
              <w14:ligatures w14:val="standardContextual"/>
            </w:rPr>
          </w:pPr>
          <w:r>
            <w:fldChar w:fldCharType="begin"/>
          </w:r>
          <w:r>
            <w:instrText xml:space="preserve"> HYPERLINK \l "_Toc208391982" </w:instrText>
          </w:r>
          <w:r>
            <w:fldChar w:fldCharType="separate"/>
          </w:r>
          <w:r>
            <w:rPr>
              <w:rStyle w:val="18"/>
              <w:rFonts w:hint="eastAsia" w:asciiTheme="majorEastAsia" w:hAnsiTheme="majorEastAsia" w:eastAsiaTheme="majorEastAsia"/>
              <w:b/>
              <w:bCs/>
              <w:sz w:val="32"/>
              <w:szCs w:val="32"/>
            </w:rPr>
            <w:t>第一部分  部门概况</w:t>
          </w:r>
          <w:r>
            <w:rPr>
              <w:rFonts w:hint="eastAsia" w:asciiTheme="majorEastAsia" w:hAnsiTheme="majorEastAsia" w:eastAsiaTheme="majorEastAsia"/>
              <w:b/>
              <w:bCs/>
              <w:sz w:val="32"/>
              <w:szCs w:val="32"/>
            </w:rPr>
            <w:tab/>
          </w:r>
          <w:r>
            <w:rPr>
              <w:rFonts w:hint="eastAsia" w:asciiTheme="majorEastAsia" w:hAnsiTheme="majorEastAsia" w:eastAsiaTheme="majorEastAsia"/>
              <w:b/>
              <w:bCs/>
              <w:sz w:val="32"/>
              <w:szCs w:val="32"/>
            </w:rPr>
            <w:fldChar w:fldCharType="begin"/>
          </w:r>
          <w:r>
            <w:rPr>
              <w:rFonts w:hint="eastAsia" w:asciiTheme="majorEastAsia" w:hAnsiTheme="majorEastAsia" w:eastAsiaTheme="majorEastAsia"/>
              <w:b/>
              <w:bCs/>
              <w:sz w:val="32"/>
              <w:szCs w:val="32"/>
            </w:rPr>
            <w:instrText xml:space="preserve"> </w:instrText>
          </w:r>
          <w:r>
            <w:rPr>
              <w:rFonts w:asciiTheme="majorEastAsia" w:hAnsiTheme="majorEastAsia" w:eastAsiaTheme="majorEastAsia"/>
              <w:b/>
              <w:bCs/>
              <w:sz w:val="32"/>
              <w:szCs w:val="32"/>
            </w:rPr>
            <w:instrText xml:space="preserve">PAGEREF _Toc208391982 \h</w:instrText>
          </w:r>
          <w:r>
            <w:rPr>
              <w:rFonts w:hint="eastAsia" w:asciiTheme="majorEastAsia" w:hAnsiTheme="majorEastAsia" w:eastAsiaTheme="majorEastAsia"/>
              <w:b/>
              <w:bCs/>
              <w:sz w:val="32"/>
              <w:szCs w:val="32"/>
            </w:rPr>
            <w:instrText xml:space="preserve"> </w:instrText>
          </w:r>
          <w:r>
            <w:rPr>
              <w:rFonts w:hint="eastAsia" w:asciiTheme="majorEastAsia" w:hAnsiTheme="majorEastAsia" w:eastAsiaTheme="majorEastAsia"/>
              <w:b/>
              <w:bCs/>
              <w:sz w:val="32"/>
              <w:szCs w:val="32"/>
            </w:rPr>
            <w:fldChar w:fldCharType="separate"/>
          </w:r>
          <w:r>
            <w:rPr>
              <w:rFonts w:asciiTheme="majorEastAsia" w:hAnsiTheme="majorEastAsia" w:eastAsiaTheme="majorEastAsia"/>
              <w:b/>
              <w:bCs/>
              <w:sz w:val="32"/>
              <w:szCs w:val="32"/>
            </w:rPr>
            <w:t>1</w:t>
          </w:r>
          <w:r>
            <w:rPr>
              <w:rFonts w:hint="eastAsia" w:asciiTheme="majorEastAsia" w:hAnsiTheme="majorEastAsia" w:eastAsiaTheme="majorEastAsia"/>
              <w:b/>
              <w:bCs/>
              <w:sz w:val="32"/>
              <w:szCs w:val="32"/>
            </w:rPr>
            <w:fldChar w:fldCharType="end"/>
          </w:r>
          <w:r>
            <w:rPr>
              <w:rFonts w:hint="eastAsia" w:asciiTheme="majorEastAsia" w:hAnsiTheme="majorEastAsia" w:eastAsiaTheme="majorEastAsia"/>
              <w:b/>
              <w:bCs/>
              <w:sz w:val="32"/>
              <w:szCs w:val="32"/>
            </w:rPr>
            <w:fldChar w:fldCharType="end"/>
          </w:r>
        </w:p>
        <w:p>
          <w:pPr>
            <w:pStyle w:val="14"/>
            <w:rPr>
              <w:rFonts w:hint="eastAsia" w:asciiTheme="majorEastAsia" w:hAnsiTheme="majorEastAsia" w:eastAsiaTheme="majorEastAsia" w:cstheme="minorBidi"/>
              <w:sz w:val="32"/>
              <w:szCs w:val="32"/>
              <w14:ligatures w14:val="standardContextual"/>
            </w:rPr>
          </w:pPr>
          <w:r>
            <w:fldChar w:fldCharType="begin"/>
          </w:r>
          <w:r>
            <w:instrText xml:space="preserve"> HYPERLINK \l "_Toc208391983" </w:instrText>
          </w:r>
          <w:r>
            <w:fldChar w:fldCharType="separate"/>
          </w:r>
          <w:r>
            <w:rPr>
              <w:rStyle w:val="18"/>
              <w:rFonts w:hint="eastAsia" w:asciiTheme="majorEastAsia" w:hAnsiTheme="majorEastAsia" w:eastAsiaTheme="majorEastAsia"/>
              <w:sz w:val="32"/>
              <w:szCs w:val="32"/>
            </w:rPr>
            <w:t>一、部门职责</w:t>
          </w:r>
          <w:r>
            <w:rPr>
              <w:rFonts w:hint="eastAsia" w:asciiTheme="majorEastAsia" w:hAnsiTheme="majorEastAsia" w:eastAsiaTheme="majorEastAsia"/>
              <w:sz w:val="32"/>
              <w:szCs w:val="32"/>
            </w:rPr>
            <w:tab/>
          </w:r>
          <w:r>
            <w:rPr>
              <w:rFonts w:hint="eastAsia" w:asciiTheme="majorEastAsia" w:hAnsiTheme="majorEastAsia" w:eastAsiaTheme="majorEastAsia"/>
              <w:sz w:val="32"/>
              <w:szCs w:val="32"/>
            </w:rPr>
            <w:fldChar w:fldCharType="begin"/>
          </w:r>
          <w:r>
            <w:rPr>
              <w:rFonts w:hint="eastAsia" w:asciiTheme="majorEastAsia" w:hAnsiTheme="majorEastAsia" w:eastAsiaTheme="majorEastAsia"/>
              <w:sz w:val="32"/>
              <w:szCs w:val="32"/>
            </w:rPr>
            <w:instrText xml:space="preserve"> </w:instrText>
          </w:r>
          <w:r>
            <w:rPr>
              <w:rFonts w:asciiTheme="majorEastAsia" w:hAnsiTheme="majorEastAsia" w:eastAsiaTheme="majorEastAsia"/>
              <w:sz w:val="32"/>
              <w:szCs w:val="32"/>
            </w:rPr>
            <w:instrText xml:space="preserve">PAGEREF _Toc208391983 \h</w:instrText>
          </w:r>
          <w:r>
            <w:rPr>
              <w:rFonts w:hint="eastAsia" w:asciiTheme="majorEastAsia" w:hAnsiTheme="majorEastAsia" w:eastAsiaTheme="majorEastAsia"/>
              <w:sz w:val="32"/>
              <w:szCs w:val="32"/>
            </w:rPr>
            <w:instrText xml:space="preserve"> </w:instrText>
          </w:r>
          <w:r>
            <w:rPr>
              <w:rFonts w:hint="eastAsia" w:asciiTheme="majorEastAsia" w:hAnsiTheme="majorEastAsia" w:eastAsiaTheme="majorEastAsia"/>
              <w:sz w:val="32"/>
              <w:szCs w:val="32"/>
            </w:rPr>
            <w:fldChar w:fldCharType="separate"/>
          </w:r>
          <w:r>
            <w:rPr>
              <w:rFonts w:asciiTheme="majorEastAsia" w:hAnsiTheme="majorEastAsia" w:eastAsiaTheme="majorEastAsia"/>
              <w:sz w:val="32"/>
              <w:szCs w:val="32"/>
            </w:rPr>
            <w:t>1</w:t>
          </w:r>
          <w:r>
            <w:rPr>
              <w:rFonts w:hint="eastAsia" w:asciiTheme="majorEastAsia" w:hAnsiTheme="majorEastAsia" w:eastAsiaTheme="majorEastAsia"/>
              <w:sz w:val="32"/>
              <w:szCs w:val="32"/>
            </w:rPr>
            <w:fldChar w:fldCharType="end"/>
          </w:r>
          <w:r>
            <w:rPr>
              <w:rFonts w:hint="eastAsia" w:asciiTheme="majorEastAsia" w:hAnsiTheme="majorEastAsia" w:eastAsiaTheme="majorEastAsia"/>
              <w:sz w:val="32"/>
              <w:szCs w:val="32"/>
            </w:rPr>
            <w:fldChar w:fldCharType="end"/>
          </w:r>
        </w:p>
        <w:p>
          <w:pPr>
            <w:pStyle w:val="14"/>
            <w:rPr>
              <w:rFonts w:hint="eastAsia" w:asciiTheme="majorEastAsia" w:hAnsiTheme="majorEastAsia" w:eastAsiaTheme="majorEastAsia" w:cstheme="minorBidi"/>
              <w:sz w:val="32"/>
              <w:szCs w:val="32"/>
              <w14:ligatures w14:val="standardContextual"/>
            </w:rPr>
          </w:pPr>
          <w:r>
            <w:fldChar w:fldCharType="begin"/>
          </w:r>
          <w:r>
            <w:instrText xml:space="preserve"> HYPERLINK \l "_Toc208391985" </w:instrText>
          </w:r>
          <w:r>
            <w:fldChar w:fldCharType="separate"/>
          </w:r>
          <w:r>
            <w:rPr>
              <w:rStyle w:val="18"/>
              <w:rFonts w:hint="eastAsia" w:asciiTheme="majorEastAsia" w:hAnsiTheme="majorEastAsia" w:eastAsiaTheme="majorEastAsia"/>
              <w:sz w:val="32"/>
              <w:szCs w:val="32"/>
            </w:rPr>
            <w:t>二、机构设置</w:t>
          </w:r>
          <w:r>
            <w:rPr>
              <w:rFonts w:hint="eastAsia" w:asciiTheme="majorEastAsia" w:hAnsiTheme="majorEastAsia" w:eastAsiaTheme="majorEastAsia"/>
              <w:sz w:val="32"/>
              <w:szCs w:val="32"/>
            </w:rPr>
            <w:tab/>
          </w:r>
          <w:r>
            <w:rPr>
              <w:rFonts w:hint="eastAsia" w:asciiTheme="majorEastAsia" w:hAnsiTheme="majorEastAsia" w:eastAsiaTheme="majorEastAsia"/>
              <w:sz w:val="32"/>
              <w:szCs w:val="32"/>
            </w:rPr>
            <w:fldChar w:fldCharType="begin"/>
          </w:r>
          <w:r>
            <w:rPr>
              <w:rFonts w:hint="eastAsia" w:asciiTheme="majorEastAsia" w:hAnsiTheme="majorEastAsia" w:eastAsiaTheme="majorEastAsia"/>
              <w:sz w:val="32"/>
              <w:szCs w:val="32"/>
            </w:rPr>
            <w:instrText xml:space="preserve"> </w:instrText>
          </w:r>
          <w:r>
            <w:rPr>
              <w:rFonts w:asciiTheme="majorEastAsia" w:hAnsiTheme="majorEastAsia" w:eastAsiaTheme="majorEastAsia"/>
              <w:sz w:val="32"/>
              <w:szCs w:val="32"/>
            </w:rPr>
            <w:instrText xml:space="preserve">PAGEREF _Toc208391985 \h</w:instrText>
          </w:r>
          <w:r>
            <w:rPr>
              <w:rFonts w:hint="eastAsia" w:asciiTheme="majorEastAsia" w:hAnsiTheme="majorEastAsia" w:eastAsiaTheme="majorEastAsia"/>
              <w:sz w:val="32"/>
              <w:szCs w:val="32"/>
            </w:rPr>
            <w:instrText xml:space="preserve"> </w:instrText>
          </w:r>
          <w:r>
            <w:rPr>
              <w:rFonts w:hint="eastAsia" w:asciiTheme="majorEastAsia" w:hAnsiTheme="majorEastAsia" w:eastAsiaTheme="majorEastAsia"/>
              <w:sz w:val="32"/>
              <w:szCs w:val="32"/>
            </w:rPr>
            <w:fldChar w:fldCharType="separate"/>
          </w:r>
          <w:r>
            <w:rPr>
              <w:rFonts w:asciiTheme="majorEastAsia" w:hAnsiTheme="majorEastAsia" w:eastAsiaTheme="majorEastAsia"/>
              <w:sz w:val="32"/>
              <w:szCs w:val="32"/>
            </w:rPr>
            <w:t>1</w:t>
          </w:r>
          <w:r>
            <w:rPr>
              <w:rFonts w:hint="eastAsia" w:asciiTheme="majorEastAsia" w:hAnsiTheme="majorEastAsia" w:eastAsiaTheme="majorEastAsia"/>
              <w:sz w:val="32"/>
              <w:szCs w:val="32"/>
            </w:rPr>
            <w:fldChar w:fldCharType="end"/>
          </w:r>
          <w:r>
            <w:rPr>
              <w:rFonts w:hint="eastAsia" w:asciiTheme="majorEastAsia" w:hAnsiTheme="majorEastAsia" w:eastAsiaTheme="majorEastAsia"/>
              <w:sz w:val="32"/>
              <w:szCs w:val="32"/>
            </w:rPr>
            <w:fldChar w:fldCharType="end"/>
          </w:r>
        </w:p>
        <w:p>
          <w:pPr>
            <w:pStyle w:val="13"/>
            <w:rPr>
              <w:rFonts w:hint="eastAsia" w:asciiTheme="majorEastAsia" w:hAnsiTheme="majorEastAsia" w:eastAsiaTheme="majorEastAsia" w:cstheme="minorBidi"/>
              <w:b/>
              <w:bCs/>
              <w:sz w:val="32"/>
              <w:szCs w:val="32"/>
              <w14:ligatures w14:val="standardContextual"/>
            </w:rPr>
          </w:pPr>
          <w:r>
            <w:fldChar w:fldCharType="begin"/>
          </w:r>
          <w:r>
            <w:instrText xml:space="preserve"> HYPERLINK \l "_Toc208391987" </w:instrText>
          </w:r>
          <w:r>
            <w:fldChar w:fldCharType="separate"/>
          </w:r>
          <w:r>
            <w:rPr>
              <w:rStyle w:val="18"/>
              <w:rFonts w:hint="eastAsia" w:asciiTheme="majorEastAsia" w:hAnsiTheme="majorEastAsia" w:eastAsiaTheme="majorEastAsia"/>
              <w:b/>
              <w:bCs/>
              <w:sz w:val="32"/>
              <w:szCs w:val="32"/>
            </w:rPr>
            <w:t>第二部分  202</w:t>
          </w:r>
          <w:r>
            <w:rPr>
              <w:rStyle w:val="18"/>
              <w:rFonts w:hint="eastAsia" w:asciiTheme="majorEastAsia" w:hAnsiTheme="majorEastAsia" w:eastAsiaTheme="majorEastAsia"/>
              <w:b/>
              <w:bCs/>
              <w:sz w:val="32"/>
              <w:szCs w:val="32"/>
              <w:lang w:val="en-US" w:eastAsia="zh-CN"/>
            </w:rPr>
            <w:t>5</w:t>
          </w:r>
          <w:r>
            <w:rPr>
              <w:rStyle w:val="18"/>
              <w:rFonts w:hint="eastAsia" w:asciiTheme="majorEastAsia" w:hAnsiTheme="majorEastAsia" w:eastAsiaTheme="majorEastAsia"/>
              <w:b/>
              <w:bCs/>
              <w:sz w:val="32"/>
              <w:szCs w:val="32"/>
            </w:rPr>
            <w:t>年度部门决算情况说明</w:t>
          </w:r>
          <w:r>
            <w:rPr>
              <w:rFonts w:hint="eastAsia" w:asciiTheme="majorEastAsia" w:hAnsiTheme="majorEastAsia" w:eastAsiaTheme="majorEastAsia"/>
              <w:b/>
              <w:bCs/>
              <w:sz w:val="32"/>
              <w:szCs w:val="32"/>
            </w:rPr>
            <w:tab/>
          </w:r>
          <w:r>
            <w:rPr>
              <w:rFonts w:hint="eastAsia" w:asciiTheme="majorEastAsia" w:hAnsiTheme="majorEastAsia" w:eastAsiaTheme="majorEastAsia"/>
              <w:b/>
              <w:bCs/>
              <w:sz w:val="32"/>
              <w:szCs w:val="32"/>
            </w:rPr>
            <w:fldChar w:fldCharType="begin"/>
          </w:r>
          <w:r>
            <w:rPr>
              <w:rFonts w:hint="eastAsia" w:asciiTheme="majorEastAsia" w:hAnsiTheme="majorEastAsia" w:eastAsiaTheme="majorEastAsia"/>
              <w:b/>
              <w:bCs/>
              <w:sz w:val="32"/>
              <w:szCs w:val="32"/>
            </w:rPr>
            <w:instrText xml:space="preserve"> </w:instrText>
          </w:r>
          <w:r>
            <w:rPr>
              <w:rFonts w:asciiTheme="majorEastAsia" w:hAnsiTheme="majorEastAsia" w:eastAsiaTheme="majorEastAsia"/>
              <w:b/>
              <w:bCs/>
              <w:sz w:val="32"/>
              <w:szCs w:val="32"/>
            </w:rPr>
            <w:instrText xml:space="preserve">PAGEREF _Toc208391987 \h</w:instrText>
          </w:r>
          <w:r>
            <w:rPr>
              <w:rFonts w:hint="eastAsia" w:asciiTheme="majorEastAsia" w:hAnsiTheme="majorEastAsia" w:eastAsiaTheme="majorEastAsia"/>
              <w:b/>
              <w:bCs/>
              <w:sz w:val="32"/>
              <w:szCs w:val="32"/>
            </w:rPr>
            <w:instrText xml:space="preserve"> </w:instrText>
          </w:r>
          <w:r>
            <w:rPr>
              <w:rFonts w:hint="eastAsia" w:asciiTheme="majorEastAsia" w:hAnsiTheme="majorEastAsia" w:eastAsiaTheme="majorEastAsia"/>
              <w:b/>
              <w:bCs/>
              <w:sz w:val="32"/>
              <w:szCs w:val="32"/>
            </w:rPr>
            <w:fldChar w:fldCharType="separate"/>
          </w:r>
          <w:r>
            <w:rPr>
              <w:rFonts w:asciiTheme="majorEastAsia" w:hAnsiTheme="majorEastAsia" w:eastAsiaTheme="majorEastAsia"/>
              <w:b/>
              <w:bCs/>
              <w:sz w:val="32"/>
              <w:szCs w:val="32"/>
            </w:rPr>
            <w:t>2</w:t>
          </w:r>
          <w:r>
            <w:rPr>
              <w:rFonts w:hint="eastAsia" w:asciiTheme="majorEastAsia" w:hAnsiTheme="majorEastAsia" w:eastAsiaTheme="majorEastAsia"/>
              <w:b/>
              <w:bCs/>
              <w:sz w:val="32"/>
              <w:szCs w:val="32"/>
            </w:rPr>
            <w:fldChar w:fldCharType="end"/>
          </w:r>
          <w:r>
            <w:rPr>
              <w:rFonts w:hint="eastAsia" w:asciiTheme="majorEastAsia" w:hAnsiTheme="majorEastAsia" w:eastAsiaTheme="majorEastAsia"/>
              <w:b/>
              <w:bCs/>
              <w:sz w:val="32"/>
              <w:szCs w:val="32"/>
            </w:rPr>
            <w:fldChar w:fldCharType="end"/>
          </w:r>
        </w:p>
        <w:p>
          <w:pPr>
            <w:pStyle w:val="14"/>
            <w:rPr>
              <w:rFonts w:hint="eastAsia" w:asciiTheme="majorEastAsia" w:hAnsiTheme="majorEastAsia" w:eastAsiaTheme="majorEastAsia" w:cstheme="minorBidi"/>
              <w:sz w:val="32"/>
              <w:szCs w:val="32"/>
              <w14:ligatures w14:val="standardContextual"/>
            </w:rPr>
          </w:pPr>
          <w:r>
            <w:fldChar w:fldCharType="begin"/>
          </w:r>
          <w:r>
            <w:instrText xml:space="preserve"> HYPERLINK \l "_Toc208391988" </w:instrText>
          </w:r>
          <w:r>
            <w:fldChar w:fldCharType="separate"/>
          </w:r>
          <w:r>
            <w:rPr>
              <w:rStyle w:val="18"/>
              <w:rFonts w:hint="eastAsia" w:asciiTheme="majorEastAsia" w:hAnsiTheme="majorEastAsia" w:eastAsiaTheme="majorEastAsia"/>
              <w:sz w:val="32"/>
              <w:szCs w:val="32"/>
            </w:rPr>
            <w:t>一、收入支出决算总体情况说明</w:t>
          </w:r>
          <w:r>
            <w:rPr>
              <w:rFonts w:hint="eastAsia" w:asciiTheme="majorEastAsia" w:hAnsiTheme="majorEastAsia" w:eastAsiaTheme="majorEastAsia"/>
              <w:sz w:val="32"/>
              <w:szCs w:val="32"/>
            </w:rPr>
            <w:tab/>
          </w:r>
          <w:r>
            <w:rPr>
              <w:rFonts w:hint="eastAsia" w:asciiTheme="majorEastAsia" w:hAnsiTheme="majorEastAsia" w:eastAsiaTheme="majorEastAsia"/>
              <w:sz w:val="32"/>
              <w:szCs w:val="32"/>
            </w:rPr>
            <w:fldChar w:fldCharType="begin"/>
          </w:r>
          <w:r>
            <w:rPr>
              <w:rFonts w:hint="eastAsia" w:asciiTheme="majorEastAsia" w:hAnsiTheme="majorEastAsia" w:eastAsiaTheme="majorEastAsia"/>
              <w:sz w:val="32"/>
              <w:szCs w:val="32"/>
            </w:rPr>
            <w:instrText xml:space="preserve"> </w:instrText>
          </w:r>
          <w:r>
            <w:rPr>
              <w:rFonts w:asciiTheme="majorEastAsia" w:hAnsiTheme="majorEastAsia" w:eastAsiaTheme="majorEastAsia"/>
              <w:sz w:val="32"/>
              <w:szCs w:val="32"/>
            </w:rPr>
            <w:instrText xml:space="preserve">PAGEREF _Toc208391988 \h</w:instrText>
          </w:r>
          <w:r>
            <w:rPr>
              <w:rFonts w:hint="eastAsia" w:asciiTheme="majorEastAsia" w:hAnsiTheme="majorEastAsia" w:eastAsiaTheme="majorEastAsia"/>
              <w:sz w:val="32"/>
              <w:szCs w:val="32"/>
            </w:rPr>
            <w:instrText xml:space="preserve"> </w:instrText>
          </w:r>
          <w:r>
            <w:rPr>
              <w:rFonts w:hint="eastAsia" w:asciiTheme="majorEastAsia" w:hAnsiTheme="majorEastAsia" w:eastAsiaTheme="majorEastAsia"/>
              <w:sz w:val="32"/>
              <w:szCs w:val="32"/>
            </w:rPr>
            <w:fldChar w:fldCharType="separate"/>
          </w:r>
          <w:r>
            <w:rPr>
              <w:rFonts w:asciiTheme="majorEastAsia" w:hAnsiTheme="majorEastAsia" w:eastAsiaTheme="majorEastAsia"/>
              <w:sz w:val="32"/>
              <w:szCs w:val="32"/>
            </w:rPr>
            <w:t>2</w:t>
          </w:r>
          <w:r>
            <w:rPr>
              <w:rFonts w:hint="eastAsia" w:asciiTheme="majorEastAsia" w:hAnsiTheme="majorEastAsia" w:eastAsiaTheme="majorEastAsia"/>
              <w:sz w:val="32"/>
              <w:szCs w:val="32"/>
            </w:rPr>
            <w:fldChar w:fldCharType="end"/>
          </w:r>
          <w:r>
            <w:rPr>
              <w:rFonts w:hint="eastAsia" w:asciiTheme="majorEastAsia" w:hAnsiTheme="majorEastAsia" w:eastAsiaTheme="majorEastAsia"/>
              <w:sz w:val="32"/>
              <w:szCs w:val="32"/>
            </w:rPr>
            <w:fldChar w:fldCharType="end"/>
          </w:r>
        </w:p>
        <w:p>
          <w:pPr>
            <w:pStyle w:val="14"/>
            <w:rPr>
              <w:rFonts w:hint="eastAsia" w:asciiTheme="majorEastAsia" w:hAnsiTheme="majorEastAsia" w:eastAsiaTheme="majorEastAsia" w:cstheme="minorBidi"/>
              <w:sz w:val="32"/>
              <w:szCs w:val="32"/>
              <w14:ligatures w14:val="standardContextual"/>
            </w:rPr>
          </w:pPr>
          <w:r>
            <w:fldChar w:fldCharType="begin"/>
          </w:r>
          <w:r>
            <w:instrText xml:space="preserve"> HYPERLINK \l "_Toc208391990" </w:instrText>
          </w:r>
          <w:r>
            <w:fldChar w:fldCharType="separate"/>
          </w:r>
          <w:r>
            <w:rPr>
              <w:rStyle w:val="18"/>
              <w:rFonts w:hint="eastAsia" w:asciiTheme="majorEastAsia" w:hAnsiTheme="majorEastAsia" w:eastAsiaTheme="majorEastAsia"/>
              <w:sz w:val="32"/>
              <w:szCs w:val="32"/>
            </w:rPr>
            <w:t>二、收入决算情况说明</w:t>
          </w:r>
          <w:r>
            <w:rPr>
              <w:rFonts w:hint="eastAsia" w:asciiTheme="majorEastAsia" w:hAnsiTheme="majorEastAsia" w:eastAsiaTheme="majorEastAsia"/>
              <w:sz w:val="32"/>
              <w:szCs w:val="32"/>
            </w:rPr>
            <w:tab/>
          </w:r>
          <w:r>
            <w:rPr>
              <w:rFonts w:hint="eastAsia" w:asciiTheme="majorEastAsia" w:hAnsiTheme="majorEastAsia" w:eastAsiaTheme="majorEastAsia"/>
              <w:sz w:val="32"/>
              <w:szCs w:val="32"/>
              <w:lang w:val="en-US" w:eastAsia="zh-CN"/>
            </w:rPr>
            <w:t>2</w:t>
          </w:r>
          <w:r>
            <w:rPr>
              <w:rFonts w:hint="eastAsia" w:asciiTheme="majorEastAsia" w:hAnsiTheme="majorEastAsia" w:eastAsiaTheme="majorEastAsia"/>
              <w:sz w:val="32"/>
              <w:szCs w:val="32"/>
            </w:rPr>
            <w:fldChar w:fldCharType="end"/>
          </w:r>
        </w:p>
        <w:p>
          <w:pPr>
            <w:pStyle w:val="14"/>
            <w:rPr>
              <w:rFonts w:hint="eastAsia" w:asciiTheme="majorEastAsia" w:hAnsiTheme="majorEastAsia" w:eastAsiaTheme="majorEastAsia" w:cstheme="minorBidi"/>
              <w:sz w:val="32"/>
              <w:szCs w:val="32"/>
              <w14:ligatures w14:val="standardContextual"/>
            </w:rPr>
          </w:pPr>
          <w:r>
            <w:fldChar w:fldCharType="begin"/>
          </w:r>
          <w:r>
            <w:instrText xml:space="preserve"> HYPERLINK \l "_Toc208391992" </w:instrText>
          </w:r>
          <w:r>
            <w:fldChar w:fldCharType="separate"/>
          </w:r>
          <w:r>
            <w:rPr>
              <w:rStyle w:val="18"/>
              <w:rFonts w:hint="eastAsia" w:asciiTheme="majorEastAsia" w:hAnsiTheme="majorEastAsia" w:eastAsiaTheme="majorEastAsia"/>
              <w:sz w:val="32"/>
              <w:szCs w:val="32"/>
            </w:rPr>
            <w:t>三、支出决算情况说明</w:t>
          </w:r>
          <w:r>
            <w:rPr>
              <w:rFonts w:hint="eastAsia" w:asciiTheme="majorEastAsia" w:hAnsiTheme="majorEastAsia" w:eastAsiaTheme="majorEastAsia"/>
              <w:sz w:val="32"/>
              <w:szCs w:val="32"/>
            </w:rPr>
            <w:tab/>
          </w:r>
          <w:r>
            <w:rPr>
              <w:rFonts w:hint="eastAsia" w:asciiTheme="majorEastAsia" w:hAnsiTheme="majorEastAsia" w:eastAsiaTheme="majorEastAsia"/>
              <w:sz w:val="32"/>
              <w:szCs w:val="32"/>
            </w:rPr>
            <w:fldChar w:fldCharType="begin"/>
          </w:r>
          <w:r>
            <w:rPr>
              <w:rFonts w:hint="eastAsia" w:asciiTheme="majorEastAsia" w:hAnsiTheme="majorEastAsia" w:eastAsiaTheme="majorEastAsia"/>
              <w:sz w:val="32"/>
              <w:szCs w:val="32"/>
            </w:rPr>
            <w:instrText xml:space="preserve"> </w:instrText>
          </w:r>
          <w:r>
            <w:rPr>
              <w:rFonts w:asciiTheme="majorEastAsia" w:hAnsiTheme="majorEastAsia" w:eastAsiaTheme="majorEastAsia"/>
              <w:sz w:val="32"/>
              <w:szCs w:val="32"/>
            </w:rPr>
            <w:instrText xml:space="preserve">PAGEREF _Toc208391992 \h</w:instrText>
          </w:r>
          <w:r>
            <w:rPr>
              <w:rFonts w:hint="eastAsia" w:asciiTheme="majorEastAsia" w:hAnsiTheme="majorEastAsia" w:eastAsiaTheme="majorEastAsia"/>
              <w:sz w:val="32"/>
              <w:szCs w:val="32"/>
            </w:rPr>
            <w:instrText xml:space="preserve"> </w:instrText>
          </w:r>
          <w:r>
            <w:rPr>
              <w:rFonts w:hint="eastAsia" w:asciiTheme="majorEastAsia" w:hAnsiTheme="majorEastAsia" w:eastAsiaTheme="majorEastAsia"/>
              <w:sz w:val="32"/>
              <w:szCs w:val="32"/>
            </w:rPr>
            <w:fldChar w:fldCharType="separate"/>
          </w:r>
          <w:r>
            <w:rPr>
              <w:rFonts w:asciiTheme="majorEastAsia" w:hAnsiTheme="majorEastAsia" w:eastAsiaTheme="majorEastAsia"/>
              <w:sz w:val="32"/>
              <w:szCs w:val="32"/>
            </w:rPr>
            <w:t>3</w:t>
          </w:r>
          <w:r>
            <w:rPr>
              <w:rFonts w:hint="eastAsia" w:asciiTheme="majorEastAsia" w:hAnsiTheme="majorEastAsia" w:eastAsiaTheme="majorEastAsia"/>
              <w:sz w:val="32"/>
              <w:szCs w:val="32"/>
            </w:rPr>
            <w:fldChar w:fldCharType="end"/>
          </w:r>
          <w:r>
            <w:rPr>
              <w:rFonts w:hint="eastAsia" w:asciiTheme="majorEastAsia" w:hAnsiTheme="majorEastAsia" w:eastAsiaTheme="majorEastAsia"/>
              <w:sz w:val="32"/>
              <w:szCs w:val="32"/>
            </w:rPr>
            <w:fldChar w:fldCharType="end"/>
          </w:r>
        </w:p>
        <w:p>
          <w:pPr>
            <w:pStyle w:val="14"/>
            <w:rPr>
              <w:rFonts w:hint="eastAsia" w:asciiTheme="majorEastAsia" w:hAnsiTheme="majorEastAsia" w:eastAsiaTheme="majorEastAsia" w:cstheme="minorBidi"/>
              <w:sz w:val="32"/>
              <w:szCs w:val="32"/>
              <w14:ligatures w14:val="standardContextual"/>
            </w:rPr>
          </w:pPr>
          <w:r>
            <w:fldChar w:fldCharType="begin"/>
          </w:r>
          <w:r>
            <w:instrText xml:space="preserve"> HYPERLINK \l "_Toc208391994" </w:instrText>
          </w:r>
          <w:r>
            <w:fldChar w:fldCharType="separate"/>
          </w:r>
          <w:r>
            <w:rPr>
              <w:rStyle w:val="18"/>
              <w:rFonts w:hint="eastAsia" w:asciiTheme="majorEastAsia" w:hAnsiTheme="majorEastAsia" w:eastAsiaTheme="majorEastAsia"/>
              <w:sz w:val="32"/>
              <w:szCs w:val="32"/>
            </w:rPr>
            <w:t>四、财政拨款收入支出决算总体情况说明</w:t>
          </w:r>
          <w:r>
            <w:rPr>
              <w:rFonts w:hint="eastAsia" w:asciiTheme="majorEastAsia" w:hAnsiTheme="majorEastAsia" w:eastAsiaTheme="majorEastAsia"/>
              <w:sz w:val="32"/>
              <w:szCs w:val="32"/>
            </w:rPr>
            <w:tab/>
          </w:r>
          <w:r>
            <w:rPr>
              <w:rFonts w:hint="eastAsia" w:asciiTheme="majorEastAsia" w:hAnsiTheme="majorEastAsia" w:eastAsiaTheme="majorEastAsia"/>
              <w:sz w:val="32"/>
              <w:szCs w:val="32"/>
              <w:lang w:val="en-US" w:eastAsia="zh-CN"/>
            </w:rPr>
            <w:t>3</w:t>
          </w:r>
          <w:r>
            <w:rPr>
              <w:rFonts w:hint="eastAsia" w:asciiTheme="majorEastAsia" w:hAnsiTheme="majorEastAsia" w:eastAsiaTheme="majorEastAsia"/>
              <w:sz w:val="32"/>
              <w:szCs w:val="32"/>
            </w:rPr>
            <w:fldChar w:fldCharType="end"/>
          </w:r>
        </w:p>
        <w:p>
          <w:pPr>
            <w:pStyle w:val="14"/>
            <w:rPr>
              <w:rFonts w:hint="eastAsia" w:asciiTheme="majorEastAsia" w:hAnsiTheme="majorEastAsia" w:eastAsiaTheme="majorEastAsia" w:cstheme="minorBidi"/>
              <w:sz w:val="32"/>
              <w:szCs w:val="32"/>
              <w14:ligatures w14:val="standardContextual"/>
            </w:rPr>
          </w:pPr>
          <w:r>
            <w:fldChar w:fldCharType="begin"/>
          </w:r>
          <w:r>
            <w:instrText xml:space="preserve"> HYPERLINK \l "_Toc208391995" </w:instrText>
          </w:r>
          <w:r>
            <w:fldChar w:fldCharType="separate"/>
          </w:r>
          <w:r>
            <w:rPr>
              <w:rStyle w:val="18"/>
              <w:rFonts w:hint="eastAsia" w:asciiTheme="majorEastAsia" w:hAnsiTheme="majorEastAsia" w:eastAsiaTheme="majorEastAsia"/>
              <w:sz w:val="32"/>
              <w:szCs w:val="32"/>
            </w:rPr>
            <w:t>五、一般公共预算财政拨款支出决算情况说明</w:t>
          </w:r>
          <w:r>
            <w:rPr>
              <w:rFonts w:hint="eastAsia" w:asciiTheme="majorEastAsia" w:hAnsiTheme="majorEastAsia" w:eastAsiaTheme="majorEastAsia"/>
              <w:sz w:val="32"/>
              <w:szCs w:val="32"/>
            </w:rPr>
            <w:tab/>
          </w:r>
          <w:r>
            <w:rPr>
              <w:rFonts w:hint="eastAsia" w:asciiTheme="majorEastAsia" w:hAnsiTheme="majorEastAsia" w:eastAsiaTheme="majorEastAsia"/>
              <w:sz w:val="32"/>
              <w:szCs w:val="32"/>
              <w:lang w:val="en-US" w:eastAsia="zh-CN"/>
            </w:rPr>
            <w:t>4</w:t>
          </w:r>
          <w:r>
            <w:rPr>
              <w:rFonts w:hint="eastAsia" w:asciiTheme="majorEastAsia" w:hAnsiTheme="majorEastAsia" w:eastAsiaTheme="majorEastAsia"/>
              <w:sz w:val="32"/>
              <w:szCs w:val="32"/>
            </w:rPr>
            <w:fldChar w:fldCharType="end"/>
          </w:r>
        </w:p>
        <w:p>
          <w:pPr>
            <w:pStyle w:val="14"/>
            <w:rPr>
              <w:rFonts w:hint="eastAsia" w:asciiTheme="majorEastAsia" w:hAnsiTheme="majorEastAsia" w:eastAsiaTheme="majorEastAsia" w:cstheme="minorBidi"/>
              <w:sz w:val="32"/>
              <w:szCs w:val="32"/>
              <w14:ligatures w14:val="standardContextual"/>
            </w:rPr>
          </w:pPr>
          <w:r>
            <w:fldChar w:fldCharType="begin"/>
          </w:r>
          <w:r>
            <w:instrText xml:space="preserve"> HYPERLINK \l "_Toc208392000" </w:instrText>
          </w:r>
          <w:r>
            <w:fldChar w:fldCharType="separate"/>
          </w:r>
          <w:r>
            <w:rPr>
              <w:rStyle w:val="18"/>
              <w:rFonts w:hint="eastAsia" w:asciiTheme="majorEastAsia" w:hAnsiTheme="majorEastAsia" w:eastAsiaTheme="majorEastAsia"/>
              <w:sz w:val="32"/>
              <w:szCs w:val="32"/>
            </w:rPr>
            <w:t>六</w:t>
          </w:r>
          <w:r>
            <w:rPr>
              <w:rStyle w:val="18"/>
              <w:rFonts w:hint="eastAsia" w:asciiTheme="majorEastAsia" w:hAnsiTheme="majorEastAsia" w:eastAsiaTheme="majorEastAsia"/>
              <w:b/>
              <w:sz w:val="32"/>
              <w:szCs w:val="32"/>
            </w:rPr>
            <w:t>、一</w:t>
          </w:r>
          <w:r>
            <w:rPr>
              <w:rStyle w:val="18"/>
              <w:rFonts w:hint="eastAsia" w:asciiTheme="majorEastAsia" w:hAnsiTheme="majorEastAsia" w:eastAsiaTheme="majorEastAsia" w:cstheme="majorBidi"/>
              <w:bCs/>
              <w:sz w:val="32"/>
              <w:szCs w:val="32"/>
            </w:rPr>
            <w:t>般公共预算财政拨款基本支出决算情况说明</w:t>
          </w:r>
          <w:r>
            <w:rPr>
              <w:rFonts w:hint="eastAsia" w:asciiTheme="majorEastAsia" w:hAnsiTheme="majorEastAsia" w:eastAsiaTheme="majorEastAsia"/>
              <w:sz w:val="32"/>
              <w:szCs w:val="32"/>
            </w:rPr>
            <w:tab/>
          </w:r>
          <w:r>
            <w:rPr>
              <w:rFonts w:hint="eastAsia" w:asciiTheme="majorEastAsia" w:hAnsiTheme="majorEastAsia" w:eastAsiaTheme="majorEastAsia"/>
              <w:sz w:val="32"/>
              <w:szCs w:val="32"/>
              <w:lang w:val="en-US" w:eastAsia="zh-CN"/>
            </w:rPr>
            <w:t>8</w:t>
          </w:r>
          <w:r>
            <w:rPr>
              <w:rFonts w:hint="eastAsia" w:asciiTheme="majorEastAsia" w:hAnsiTheme="majorEastAsia" w:eastAsiaTheme="majorEastAsia"/>
              <w:sz w:val="32"/>
              <w:szCs w:val="32"/>
            </w:rPr>
            <w:fldChar w:fldCharType="end"/>
          </w:r>
        </w:p>
        <w:p>
          <w:pPr>
            <w:pStyle w:val="14"/>
            <w:rPr>
              <w:rFonts w:hint="eastAsia" w:asciiTheme="majorEastAsia" w:hAnsiTheme="majorEastAsia" w:eastAsiaTheme="majorEastAsia" w:cstheme="minorBidi"/>
              <w:sz w:val="32"/>
              <w:szCs w:val="32"/>
              <w14:ligatures w14:val="standardContextual"/>
            </w:rPr>
          </w:pPr>
          <w:r>
            <w:fldChar w:fldCharType="begin"/>
          </w:r>
          <w:r>
            <w:instrText xml:space="preserve"> HYPERLINK \l "_Toc208392001" </w:instrText>
          </w:r>
          <w:r>
            <w:fldChar w:fldCharType="separate"/>
          </w:r>
          <w:r>
            <w:rPr>
              <w:rStyle w:val="18"/>
              <w:rFonts w:hint="eastAsia" w:asciiTheme="majorEastAsia" w:hAnsiTheme="majorEastAsia" w:eastAsiaTheme="majorEastAsia"/>
              <w:sz w:val="32"/>
              <w:szCs w:val="32"/>
            </w:rPr>
            <w:t>七、财政拨款“三公”经费支出决算情况说明</w:t>
          </w:r>
          <w:r>
            <w:rPr>
              <w:rFonts w:hint="eastAsia" w:asciiTheme="majorEastAsia" w:hAnsiTheme="majorEastAsia" w:eastAsiaTheme="majorEastAsia"/>
              <w:sz w:val="32"/>
              <w:szCs w:val="32"/>
            </w:rPr>
            <w:tab/>
          </w:r>
          <w:r>
            <w:rPr>
              <w:rFonts w:hint="eastAsia" w:asciiTheme="majorEastAsia" w:hAnsiTheme="majorEastAsia" w:eastAsiaTheme="majorEastAsia"/>
              <w:sz w:val="32"/>
              <w:szCs w:val="32"/>
              <w:lang w:val="en-US" w:eastAsia="zh-CN"/>
            </w:rPr>
            <w:t>8</w:t>
          </w:r>
          <w:r>
            <w:rPr>
              <w:rFonts w:hint="eastAsia" w:asciiTheme="majorEastAsia" w:hAnsiTheme="majorEastAsia" w:eastAsiaTheme="majorEastAsia"/>
              <w:sz w:val="32"/>
              <w:szCs w:val="32"/>
            </w:rPr>
            <w:fldChar w:fldCharType="end"/>
          </w:r>
        </w:p>
        <w:p>
          <w:pPr>
            <w:pStyle w:val="14"/>
            <w:rPr>
              <w:rFonts w:hint="eastAsia" w:asciiTheme="majorEastAsia" w:hAnsiTheme="majorEastAsia" w:eastAsiaTheme="majorEastAsia" w:cstheme="minorBidi"/>
              <w:sz w:val="32"/>
              <w:szCs w:val="32"/>
              <w14:ligatures w14:val="standardContextual"/>
            </w:rPr>
          </w:pPr>
          <w:r>
            <w:fldChar w:fldCharType="begin"/>
          </w:r>
          <w:r>
            <w:instrText xml:space="preserve"> HYPERLINK \l "_Toc208392004" </w:instrText>
          </w:r>
          <w:r>
            <w:fldChar w:fldCharType="separate"/>
          </w:r>
          <w:r>
            <w:rPr>
              <w:rStyle w:val="18"/>
              <w:rFonts w:hint="eastAsia" w:asciiTheme="majorEastAsia" w:hAnsiTheme="majorEastAsia" w:eastAsiaTheme="majorEastAsia"/>
              <w:sz w:val="32"/>
              <w:szCs w:val="32"/>
            </w:rPr>
            <w:t>八、</w:t>
          </w:r>
          <w:r>
            <w:rPr>
              <w:rStyle w:val="18"/>
              <w:rFonts w:hint="eastAsia" w:asciiTheme="majorEastAsia" w:hAnsiTheme="majorEastAsia" w:eastAsiaTheme="majorEastAsia" w:cstheme="majorBidi"/>
              <w:bCs/>
              <w:sz w:val="32"/>
              <w:szCs w:val="32"/>
            </w:rPr>
            <w:t>政府性基金预算支出决算情况说明</w:t>
          </w:r>
          <w:r>
            <w:rPr>
              <w:rFonts w:hint="eastAsia" w:asciiTheme="majorEastAsia" w:hAnsiTheme="majorEastAsia" w:eastAsiaTheme="majorEastAsia"/>
              <w:sz w:val="32"/>
              <w:szCs w:val="32"/>
            </w:rPr>
            <w:tab/>
          </w:r>
          <w:r>
            <w:rPr>
              <w:rFonts w:hint="eastAsia" w:asciiTheme="majorEastAsia" w:hAnsiTheme="majorEastAsia" w:eastAsiaTheme="majorEastAsia"/>
              <w:sz w:val="32"/>
              <w:szCs w:val="32"/>
            </w:rPr>
            <w:fldChar w:fldCharType="begin"/>
          </w:r>
          <w:r>
            <w:rPr>
              <w:rFonts w:hint="eastAsia" w:asciiTheme="majorEastAsia" w:hAnsiTheme="majorEastAsia" w:eastAsiaTheme="majorEastAsia"/>
              <w:sz w:val="32"/>
              <w:szCs w:val="32"/>
            </w:rPr>
            <w:instrText xml:space="preserve"> </w:instrText>
          </w:r>
          <w:r>
            <w:rPr>
              <w:rFonts w:asciiTheme="majorEastAsia" w:hAnsiTheme="majorEastAsia" w:eastAsiaTheme="majorEastAsia"/>
              <w:sz w:val="32"/>
              <w:szCs w:val="32"/>
            </w:rPr>
            <w:instrText xml:space="preserve">PAGEREF _Toc208392004 \h</w:instrText>
          </w:r>
          <w:r>
            <w:rPr>
              <w:rFonts w:hint="eastAsia" w:asciiTheme="majorEastAsia" w:hAnsiTheme="majorEastAsia" w:eastAsiaTheme="majorEastAsia"/>
              <w:sz w:val="32"/>
              <w:szCs w:val="32"/>
            </w:rPr>
            <w:instrText xml:space="preserve"> </w:instrText>
          </w:r>
          <w:r>
            <w:rPr>
              <w:rFonts w:hint="eastAsia" w:asciiTheme="majorEastAsia" w:hAnsiTheme="majorEastAsia" w:eastAsiaTheme="majorEastAsia"/>
              <w:sz w:val="32"/>
              <w:szCs w:val="32"/>
            </w:rPr>
            <w:fldChar w:fldCharType="separate"/>
          </w:r>
          <w:r>
            <w:rPr>
              <w:rFonts w:asciiTheme="majorEastAsia" w:hAnsiTheme="majorEastAsia" w:eastAsiaTheme="majorEastAsia"/>
              <w:sz w:val="32"/>
              <w:szCs w:val="32"/>
            </w:rPr>
            <w:t>1</w:t>
          </w:r>
          <w:r>
            <w:rPr>
              <w:rFonts w:hint="eastAsia" w:asciiTheme="majorEastAsia" w:hAnsiTheme="majorEastAsia" w:eastAsiaTheme="majorEastAsia"/>
              <w:sz w:val="32"/>
              <w:szCs w:val="32"/>
              <w:lang w:val="en-US" w:eastAsia="zh-CN"/>
            </w:rPr>
            <w:t>0</w:t>
          </w:r>
          <w:r>
            <w:rPr>
              <w:rFonts w:hint="eastAsia" w:asciiTheme="majorEastAsia" w:hAnsiTheme="majorEastAsia" w:eastAsiaTheme="majorEastAsia"/>
              <w:sz w:val="32"/>
              <w:szCs w:val="32"/>
            </w:rPr>
            <w:fldChar w:fldCharType="end"/>
          </w:r>
          <w:r>
            <w:rPr>
              <w:rFonts w:hint="eastAsia" w:asciiTheme="majorEastAsia" w:hAnsiTheme="majorEastAsia" w:eastAsiaTheme="majorEastAsia"/>
              <w:sz w:val="32"/>
              <w:szCs w:val="32"/>
            </w:rPr>
            <w:fldChar w:fldCharType="end"/>
          </w:r>
        </w:p>
        <w:p>
          <w:pPr>
            <w:pStyle w:val="14"/>
            <w:rPr>
              <w:rFonts w:hint="eastAsia" w:asciiTheme="majorEastAsia" w:hAnsiTheme="majorEastAsia" w:eastAsiaTheme="majorEastAsia" w:cstheme="minorBidi"/>
              <w:sz w:val="32"/>
              <w:szCs w:val="32"/>
              <w14:ligatures w14:val="standardContextual"/>
            </w:rPr>
          </w:pPr>
          <w:r>
            <w:fldChar w:fldCharType="begin"/>
          </w:r>
          <w:r>
            <w:instrText xml:space="preserve"> HYPERLINK \l "_Toc208392005" </w:instrText>
          </w:r>
          <w:r>
            <w:fldChar w:fldCharType="separate"/>
          </w:r>
          <w:r>
            <w:rPr>
              <w:rStyle w:val="18"/>
              <w:rFonts w:hint="eastAsia" w:asciiTheme="majorEastAsia" w:hAnsiTheme="majorEastAsia" w:eastAsiaTheme="majorEastAsia"/>
              <w:sz w:val="32"/>
              <w:szCs w:val="32"/>
            </w:rPr>
            <w:t>九、国有资本经营预算支出决算情况说明</w:t>
          </w:r>
          <w:r>
            <w:rPr>
              <w:rFonts w:hint="eastAsia" w:asciiTheme="majorEastAsia" w:hAnsiTheme="majorEastAsia" w:eastAsiaTheme="majorEastAsia"/>
              <w:sz w:val="32"/>
              <w:szCs w:val="32"/>
            </w:rPr>
            <w:tab/>
          </w:r>
          <w:r>
            <w:rPr>
              <w:rFonts w:hint="eastAsia" w:asciiTheme="majorEastAsia" w:hAnsiTheme="majorEastAsia" w:eastAsiaTheme="majorEastAsia"/>
              <w:sz w:val="32"/>
              <w:szCs w:val="32"/>
            </w:rPr>
            <w:fldChar w:fldCharType="begin"/>
          </w:r>
          <w:r>
            <w:rPr>
              <w:rFonts w:hint="eastAsia" w:asciiTheme="majorEastAsia" w:hAnsiTheme="majorEastAsia" w:eastAsiaTheme="majorEastAsia"/>
              <w:sz w:val="32"/>
              <w:szCs w:val="32"/>
            </w:rPr>
            <w:instrText xml:space="preserve"> </w:instrText>
          </w:r>
          <w:r>
            <w:rPr>
              <w:rFonts w:asciiTheme="majorEastAsia" w:hAnsiTheme="majorEastAsia" w:eastAsiaTheme="majorEastAsia"/>
              <w:sz w:val="32"/>
              <w:szCs w:val="32"/>
            </w:rPr>
            <w:instrText xml:space="preserve">PAGEREF _Toc208392005 \h</w:instrText>
          </w:r>
          <w:r>
            <w:rPr>
              <w:rFonts w:hint="eastAsia" w:asciiTheme="majorEastAsia" w:hAnsiTheme="majorEastAsia" w:eastAsiaTheme="majorEastAsia"/>
              <w:sz w:val="32"/>
              <w:szCs w:val="32"/>
            </w:rPr>
            <w:instrText xml:space="preserve"> </w:instrText>
          </w:r>
          <w:r>
            <w:rPr>
              <w:rFonts w:hint="eastAsia" w:asciiTheme="majorEastAsia" w:hAnsiTheme="majorEastAsia" w:eastAsiaTheme="majorEastAsia"/>
              <w:sz w:val="32"/>
              <w:szCs w:val="32"/>
            </w:rPr>
            <w:fldChar w:fldCharType="separate"/>
          </w:r>
          <w:r>
            <w:rPr>
              <w:rFonts w:asciiTheme="majorEastAsia" w:hAnsiTheme="majorEastAsia" w:eastAsiaTheme="majorEastAsia"/>
              <w:sz w:val="32"/>
              <w:szCs w:val="32"/>
            </w:rPr>
            <w:t>1</w:t>
          </w:r>
          <w:r>
            <w:rPr>
              <w:rFonts w:hint="eastAsia" w:asciiTheme="majorEastAsia" w:hAnsiTheme="majorEastAsia" w:eastAsiaTheme="majorEastAsia"/>
              <w:sz w:val="32"/>
              <w:szCs w:val="32"/>
              <w:lang w:val="en-US" w:eastAsia="zh-CN"/>
            </w:rPr>
            <w:t>0</w:t>
          </w:r>
          <w:r>
            <w:rPr>
              <w:rFonts w:hint="eastAsia" w:asciiTheme="majorEastAsia" w:hAnsiTheme="majorEastAsia" w:eastAsiaTheme="majorEastAsia"/>
              <w:sz w:val="32"/>
              <w:szCs w:val="32"/>
            </w:rPr>
            <w:fldChar w:fldCharType="end"/>
          </w:r>
          <w:r>
            <w:rPr>
              <w:rFonts w:hint="eastAsia" w:asciiTheme="majorEastAsia" w:hAnsiTheme="majorEastAsia" w:eastAsiaTheme="majorEastAsia"/>
              <w:sz w:val="32"/>
              <w:szCs w:val="32"/>
            </w:rPr>
            <w:fldChar w:fldCharType="end"/>
          </w:r>
        </w:p>
        <w:p>
          <w:pPr>
            <w:pStyle w:val="14"/>
            <w:rPr>
              <w:rFonts w:hint="eastAsia" w:asciiTheme="majorEastAsia" w:hAnsiTheme="majorEastAsia" w:eastAsiaTheme="majorEastAsia" w:cstheme="minorBidi"/>
              <w:sz w:val="32"/>
              <w:szCs w:val="32"/>
              <w14:ligatures w14:val="standardContextual"/>
            </w:rPr>
          </w:pPr>
          <w:r>
            <w:fldChar w:fldCharType="begin"/>
          </w:r>
          <w:r>
            <w:instrText xml:space="preserve"> HYPERLINK \l "_Toc208392006" </w:instrText>
          </w:r>
          <w:r>
            <w:fldChar w:fldCharType="separate"/>
          </w:r>
          <w:r>
            <w:rPr>
              <w:rStyle w:val="18"/>
              <w:rFonts w:hint="eastAsia" w:asciiTheme="majorEastAsia" w:hAnsiTheme="majorEastAsia" w:eastAsiaTheme="majorEastAsia"/>
              <w:sz w:val="32"/>
              <w:szCs w:val="32"/>
            </w:rPr>
            <w:t>十、其他重要事项的情况说明</w:t>
          </w:r>
          <w:r>
            <w:rPr>
              <w:rFonts w:hint="eastAsia" w:asciiTheme="majorEastAsia" w:hAnsiTheme="majorEastAsia" w:eastAsiaTheme="majorEastAsia"/>
              <w:sz w:val="32"/>
              <w:szCs w:val="32"/>
            </w:rPr>
            <w:tab/>
          </w:r>
          <w:r>
            <w:rPr>
              <w:rFonts w:hint="eastAsia" w:asciiTheme="majorEastAsia" w:hAnsiTheme="majorEastAsia" w:eastAsiaTheme="majorEastAsia"/>
              <w:sz w:val="32"/>
              <w:szCs w:val="32"/>
            </w:rPr>
            <w:fldChar w:fldCharType="begin"/>
          </w:r>
          <w:r>
            <w:rPr>
              <w:rFonts w:hint="eastAsia" w:asciiTheme="majorEastAsia" w:hAnsiTheme="majorEastAsia" w:eastAsiaTheme="majorEastAsia"/>
              <w:sz w:val="32"/>
              <w:szCs w:val="32"/>
            </w:rPr>
            <w:instrText xml:space="preserve"> </w:instrText>
          </w:r>
          <w:r>
            <w:rPr>
              <w:rFonts w:asciiTheme="majorEastAsia" w:hAnsiTheme="majorEastAsia" w:eastAsiaTheme="majorEastAsia"/>
              <w:sz w:val="32"/>
              <w:szCs w:val="32"/>
            </w:rPr>
            <w:instrText xml:space="preserve">PAGEREF _Toc208392006 \h</w:instrText>
          </w:r>
          <w:r>
            <w:rPr>
              <w:rFonts w:hint="eastAsia" w:asciiTheme="majorEastAsia" w:hAnsiTheme="majorEastAsia" w:eastAsiaTheme="majorEastAsia"/>
              <w:sz w:val="32"/>
              <w:szCs w:val="32"/>
            </w:rPr>
            <w:instrText xml:space="preserve"> </w:instrText>
          </w:r>
          <w:r>
            <w:rPr>
              <w:rFonts w:hint="eastAsia" w:asciiTheme="majorEastAsia" w:hAnsiTheme="majorEastAsia" w:eastAsiaTheme="majorEastAsia"/>
              <w:sz w:val="32"/>
              <w:szCs w:val="32"/>
            </w:rPr>
            <w:fldChar w:fldCharType="separate"/>
          </w:r>
          <w:r>
            <w:rPr>
              <w:rFonts w:asciiTheme="majorEastAsia" w:hAnsiTheme="majorEastAsia" w:eastAsiaTheme="majorEastAsia"/>
              <w:sz w:val="32"/>
              <w:szCs w:val="32"/>
            </w:rPr>
            <w:t>1</w:t>
          </w:r>
          <w:r>
            <w:rPr>
              <w:rFonts w:hint="eastAsia" w:asciiTheme="majorEastAsia" w:hAnsiTheme="majorEastAsia" w:eastAsiaTheme="majorEastAsia"/>
              <w:sz w:val="32"/>
              <w:szCs w:val="32"/>
              <w:lang w:val="en-US" w:eastAsia="zh-CN"/>
            </w:rPr>
            <w:t>0</w:t>
          </w:r>
          <w:r>
            <w:rPr>
              <w:rFonts w:hint="eastAsia" w:asciiTheme="majorEastAsia" w:hAnsiTheme="majorEastAsia" w:eastAsiaTheme="majorEastAsia"/>
              <w:sz w:val="32"/>
              <w:szCs w:val="32"/>
            </w:rPr>
            <w:fldChar w:fldCharType="end"/>
          </w:r>
          <w:r>
            <w:rPr>
              <w:rFonts w:hint="eastAsia" w:asciiTheme="majorEastAsia" w:hAnsiTheme="majorEastAsia" w:eastAsiaTheme="majorEastAsia"/>
              <w:sz w:val="32"/>
              <w:szCs w:val="32"/>
            </w:rPr>
            <w:fldChar w:fldCharType="end"/>
          </w:r>
        </w:p>
        <w:p>
          <w:pPr>
            <w:pStyle w:val="13"/>
            <w:rPr>
              <w:rFonts w:hint="eastAsia" w:asciiTheme="majorEastAsia" w:hAnsiTheme="majorEastAsia" w:eastAsiaTheme="majorEastAsia" w:cstheme="minorBidi"/>
              <w:b/>
              <w:bCs/>
              <w:sz w:val="32"/>
              <w:szCs w:val="32"/>
              <w14:ligatures w14:val="standardContextual"/>
            </w:rPr>
          </w:pPr>
          <w:r>
            <w:fldChar w:fldCharType="begin"/>
          </w:r>
          <w:r>
            <w:instrText xml:space="preserve"> HYPERLINK \l "_Toc208392011" </w:instrText>
          </w:r>
          <w:r>
            <w:fldChar w:fldCharType="separate"/>
          </w:r>
          <w:r>
            <w:rPr>
              <w:rStyle w:val="18"/>
              <w:rFonts w:hint="eastAsia" w:asciiTheme="majorEastAsia" w:hAnsiTheme="majorEastAsia" w:eastAsiaTheme="majorEastAsia"/>
              <w:b/>
              <w:bCs/>
              <w:sz w:val="32"/>
              <w:szCs w:val="32"/>
            </w:rPr>
            <w:t>第三部分  名词解释</w:t>
          </w:r>
          <w:r>
            <w:rPr>
              <w:rFonts w:hint="eastAsia" w:asciiTheme="majorEastAsia" w:hAnsiTheme="majorEastAsia" w:eastAsiaTheme="majorEastAsia"/>
              <w:b/>
              <w:bCs/>
              <w:sz w:val="32"/>
              <w:szCs w:val="32"/>
            </w:rPr>
            <w:tab/>
          </w:r>
          <w:r>
            <w:rPr>
              <w:rFonts w:hint="eastAsia" w:asciiTheme="majorEastAsia" w:hAnsiTheme="majorEastAsia" w:eastAsiaTheme="majorEastAsia"/>
              <w:b/>
              <w:bCs/>
              <w:sz w:val="32"/>
              <w:szCs w:val="32"/>
            </w:rPr>
            <w:fldChar w:fldCharType="begin"/>
          </w:r>
          <w:r>
            <w:rPr>
              <w:rFonts w:hint="eastAsia" w:asciiTheme="majorEastAsia" w:hAnsiTheme="majorEastAsia" w:eastAsiaTheme="majorEastAsia"/>
              <w:b/>
              <w:bCs/>
              <w:sz w:val="32"/>
              <w:szCs w:val="32"/>
            </w:rPr>
            <w:instrText xml:space="preserve"> </w:instrText>
          </w:r>
          <w:r>
            <w:rPr>
              <w:rFonts w:asciiTheme="majorEastAsia" w:hAnsiTheme="majorEastAsia" w:eastAsiaTheme="majorEastAsia"/>
              <w:b/>
              <w:bCs/>
              <w:sz w:val="32"/>
              <w:szCs w:val="32"/>
            </w:rPr>
            <w:instrText xml:space="preserve">PAGEREF _Toc208392011 \h</w:instrText>
          </w:r>
          <w:r>
            <w:rPr>
              <w:rFonts w:hint="eastAsia" w:asciiTheme="majorEastAsia" w:hAnsiTheme="majorEastAsia" w:eastAsiaTheme="majorEastAsia"/>
              <w:b/>
              <w:bCs/>
              <w:sz w:val="32"/>
              <w:szCs w:val="32"/>
            </w:rPr>
            <w:instrText xml:space="preserve"> </w:instrText>
          </w:r>
          <w:r>
            <w:rPr>
              <w:rFonts w:hint="eastAsia" w:asciiTheme="majorEastAsia" w:hAnsiTheme="majorEastAsia" w:eastAsiaTheme="majorEastAsia"/>
              <w:b/>
              <w:bCs/>
              <w:sz w:val="32"/>
              <w:szCs w:val="32"/>
            </w:rPr>
            <w:fldChar w:fldCharType="separate"/>
          </w:r>
          <w:r>
            <w:rPr>
              <w:rFonts w:asciiTheme="majorEastAsia" w:hAnsiTheme="majorEastAsia" w:eastAsiaTheme="majorEastAsia"/>
              <w:b/>
              <w:bCs/>
              <w:sz w:val="32"/>
              <w:szCs w:val="32"/>
            </w:rPr>
            <w:t>1</w:t>
          </w:r>
          <w:r>
            <w:rPr>
              <w:rFonts w:hint="eastAsia" w:asciiTheme="majorEastAsia" w:hAnsiTheme="majorEastAsia" w:eastAsiaTheme="majorEastAsia"/>
              <w:b/>
              <w:bCs/>
              <w:sz w:val="32"/>
              <w:szCs w:val="32"/>
              <w:lang w:val="en-US" w:eastAsia="zh-CN"/>
            </w:rPr>
            <w:t>3</w:t>
          </w:r>
          <w:r>
            <w:rPr>
              <w:rFonts w:hint="eastAsia" w:asciiTheme="majorEastAsia" w:hAnsiTheme="majorEastAsia" w:eastAsiaTheme="majorEastAsia"/>
              <w:b/>
              <w:bCs/>
              <w:sz w:val="32"/>
              <w:szCs w:val="32"/>
            </w:rPr>
            <w:fldChar w:fldCharType="end"/>
          </w:r>
          <w:r>
            <w:rPr>
              <w:rFonts w:hint="eastAsia" w:asciiTheme="majorEastAsia" w:hAnsiTheme="majorEastAsia" w:eastAsiaTheme="majorEastAsia"/>
              <w:b/>
              <w:bCs/>
              <w:sz w:val="32"/>
              <w:szCs w:val="32"/>
            </w:rPr>
            <w:fldChar w:fldCharType="end"/>
          </w:r>
        </w:p>
        <w:p>
          <w:pPr>
            <w:pStyle w:val="13"/>
            <w:rPr>
              <w:rFonts w:hint="eastAsia" w:asciiTheme="majorEastAsia" w:hAnsiTheme="majorEastAsia" w:eastAsiaTheme="majorEastAsia" w:cstheme="minorBidi"/>
              <w:b/>
              <w:bCs/>
              <w:sz w:val="32"/>
              <w:szCs w:val="32"/>
              <w14:ligatures w14:val="standardContextual"/>
            </w:rPr>
          </w:pPr>
          <w:r>
            <w:fldChar w:fldCharType="begin"/>
          </w:r>
          <w:r>
            <w:instrText xml:space="preserve"> HYPERLINK \l "_Toc208392012" </w:instrText>
          </w:r>
          <w:r>
            <w:fldChar w:fldCharType="separate"/>
          </w:r>
          <w:r>
            <w:rPr>
              <w:rStyle w:val="18"/>
              <w:rFonts w:hint="eastAsia" w:asciiTheme="majorEastAsia" w:hAnsiTheme="majorEastAsia" w:eastAsiaTheme="majorEastAsia"/>
              <w:b/>
              <w:bCs/>
              <w:sz w:val="32"/>
              <w:szCs w:val="32"/>
            </w:rPr>
            <w:t>第四部分  附件</w:t>
          </w:r>
          <w:r>
            <w:rPr>
              <w:rFonts w:hint="eastAsia" w:asciiTheme="majorEastAsia" w:hAnsiTheme="majorEastAsia" w:eastAsiaTheme="majorEastAsia"/>
              <w:b/>
              <w:bCs/>
              <w:sz w:val="32"/>
              <w:szCs w:val="32"/>
            </w:rPr>
            <w:tab/>
          </w:r>
          <w:r>
            <w:rPr>
              <w:rFonts w:hint="eastAsia" w:asciiTheme="majorEastAsia" w:hAnsiTheme="majorEastAsia" w:eastAsiaTheme="majorEastAsia"/>
              <w:b/>
              <w:bCs/>
              <w:sz w:val="32"/>
              <w:szCs w:val="32"/>
            </w:rPr>
            <w:fldChar w:fldCharType="begin"/>
          </w:r>
          <w:r>
            <w:rPr>
              <w:rFonts w:hint="eastAsia" w:asciiTheme="majorEastAsia" w:hAnsiTheme="majorEastAsia" w:eastAsiaTheme="majorEastAsia"/>
              <w:b/>
              <w:bCs/>
              <w:sz w:val="32"/>
              <w:szCs w:val="32"/>
            </w:rPr>
            <w:instrText xml:space="preserve"> </w:instrText>
          </w:r>
          <w:r>
            <w:rPr>
              <w:rFonts w:asciiTheme="majorEastAsia" w:hAnsiTheme="majorEastAsia" w:eastAsiaTheme="majorEastAsia"/>
              <w:b/>
              <w:bCs/>
              <w:sz w:val="32"/>
              <w:szCs w:val="32"/>
            </w:rPr>
            <w:instrText xml:space="preserve">PAGEREF _Toc208392012 \h</w:instrText>
          </w:r>
          <w:r>
            <w:rPr>
              <w:rFonts w:hint="eastAsia" w:asciiTheme="majorEastAsia" w:hAnsiTheme="majorEastAsia" w:eastAsiaTheme="majorEastAsia"/>
              <w:b/>
              <w:bCs/>
              <w:sz w:val="32"/>
              <w:szCs w:val="32"/>
            </w:rPr>
            <w:instrText xml:space="preserve"> </w:instrText>
          </w:r>
          <w:r>
            <w:rPr>
              <w:rFonts w:hint="eastAsia" w:asciiTheme="majorEastAsia" w:hAnsiTheme="majorEastAsia" w:eastAsiaTheme="majorEastAsia"/>
              <w:b/>
              <w:bCs/>
              <w:sz w:val="32"/>
              <w:szCs w:val="32"/>
            </w:rPr>
            <w:fldChar w:fldCharType="separate"/>
          </w:r>
          <w:r>
            <w:rPr>
              <w:rFonts w:asciiTheme="majorEastAsia" w:hAnsiTheme="majorEastAsia" w:eastAsiaTheme="majorEastAsia"/>
              <w:b/>
              <w:bCs/>
              <w:sz w:val="32"/>
              <w:szCs w:val="32"/>
            </w:rPr>
            <w:t>1</w:t>
          </w:r>
          <w:r>
            <w:rPr>
              <w:rFonts w:hint="eastAsia" w:asciiTheme="majorEastAsia" w:hAnsiTheme="majorEastAsia" w:eastAsiaTheme="majorEastAsia"/>
              <w:b/>
              <w:bCs/>
              <w:sz w:val="32"/>
              <w:szCs w:val="32"/>
              <w:lang w:val="en-US" w:eastAsia="zh-CN"/>
            </w:rPr>
            <w:t>7</w:t>
          </w:r>
          <w:r>
            <w:rPr>
              <w:rFonts w:hint="eastAsia" w:asciiTheme="majorEastAsia" w:hAnsiTheme="majorEastAsia" w:eastAsiaTheme="majorEastAsia"/>
              <w:b/>
              <w:bCs/>
              <w:sz w:val="32"/>
              <w:szCs w:val="32"/>
            </w:rPr>
            <w:fldChar w:fldCharType="end"/>
          </w:r>
          <w:r>
            <w:rPr>
              <w:rFonts w:hint="eastAsia" w:asciiTheme="majorEastAsia" w:hAnsiTheme="majorEastAsia" w:eastAsiaTheme="majorEastAsia"/>
              <w:b/>
              <w:bCs/>
              <w:sz w:val="32"/>
              <w:szCs w:val="32"/>
            </w:rPr>
            <w:fldChar w:fldCharType="end"/>
          </w:r>
        </w:p>
        <w:p>
          <w:pPr>
            <w:pStyle w:val="13"/>
            <w:rPr>
              <w:rFonts w:hint="eastAsia" w:asciiTheme="majorEastAsia" w:hAnsiTheme="majorEastAsia" w:eastAsiaTheme="majorEastAsia" w:cstheme="minorBidi"/>
              <w:b/>
              <w:bCs/>
              <w:sz w:val="32"/>
              <w:szCs w:val="32"/>
              <w14:ligatures w14:val="standardContextual"/>
            </w:rPr>
          </w:pPr>
          <w:r>
            <w:fldChar w:fldCharType="begin"/>
          </w:r>
          <w:r>
            <w:instrText xml:space="preserve"> HYPERLINK \l "_Toc208392014" </w:instrText>
          </w:r>
          <w:r>
            <w:fldChar w:fldCharType="separate"/>
          </w:r>
          <w:r>
            <w:rPr>
              <w:rStyle w:val="18"/>
              <w:rFonts w:hint="eastAsia" w:asciiTheme="majorEastAsia" w:hAnsiTheme="majorEastAsia" w:eastAsiaTheme="majorEastAsia"/>
              <w:b/>
              <w:bCs/>
              <w:sz w:val="32"/>
              <w:szCs w:val="32"/>
            </w:rPr>
            <w:t>第五部分 附表</w:t>
          </w:r>
          <w:r>
            <w:rPr>
              <w:rFonts w:hint="eastAsia" w:asciiTheme="majorEastAsia" w:hAnsiTheme="majorEastAsia" w:eastAsiaTheme="majorEastAsia"/>
              <w:b/>
              <w:bCs/>
              <w:sz w:val="32"/>
              <w:szCs w:val="32"/>
            </w:rPr>
            <w:tab/>
          </w:r>
          <w:r>
            <w:rPr>
              <w:rFonts w:hint="eastAsia" w:asciiTheme="majorEastAsia" w:hAnsiTheme="majorEastAsia" w:eastAsiaTheme="majorEastAsia"/>
              <w:b/>
              <w:bCs/>
              <w:sz w:val="32"/>
              <w:szCs w:val="32"/>
            </w:rPr>
            <w:fldChar w:fldCharType="begin"/>
          </w:r>
          <w:r>
            <w:rPr>
              <w:rFonts w:hint="eastAsia" w:asciiTheme="majorEastAsia" w:hAnsiTheme="majorEastAsia" w:eastAsiaTheme="majorEastAsia"/>
              <w:b/>
              <w:bCs/>
              <w:sz w:val="32"/>
              <w:szCs w:val="32"/>
            </w:rPr>
            <w:instrText xml:space="preserve"> </w:instrText>
          </w:r>
          <w:r>
            <w:rPr>
              <w:rFonts w:asciiTheme="majorEastAsia" w:hAnsiTheme="majorEastAsia" w:eastAsiaTheme="majorEastAsia"/>
              <w:b/>
              <w:bCs/>
              <w:sz w:val="32"/>
              <w:szCs w:val="32"/>
            </w:rPr>
            <w:instrText xml:space="preserve">PAGEREF _Toc208392014 \h</w:instrText>
          </w:r>
          <w:r>
            <w:rPr>
              <w:rFonts w:hint="eastAsia" w:asciiTheme="majorEastAsia" w:hAnsiTheme="majorEastAsia" w:eastAsiaTheme="majorEastAsia"/>
              <w:b/>
              <w:bCs/>
              <w:sz w:val="32"/>
              <w:szCs w:val="32"/>
            </w:rPr>
            <w:instrText xml:space="preserve"> </w:instrText>
          </w:r>
          <w:r>
            <w:rPr>
              <w:rFonts w:hint="eastAsia" w:asciiTheme="majorEastAsia" w:hAnsiTheme="majorEastAsia" w:eastAsiaTheme="majorEastAsia"/>
              <w:b/>
              <w:bCs/>
              <w:sz w:val="32"/>
              <w:szCs w:val="32"/>
            </w:rPr>
            <w:fldChar w:fldCharType="separate"/>
          </w:r>
          <w:r>
            <w:rPr>
              <w:rFonts w:asciiTheme="majorEastAsia" w:hAnsiTheme="majorEastAsia" w:eastAsiaTheme="majorEastAsia"/>
              <w:b/>
              <w:bCs/>
              <w:sz w:val="32"/>
              <w:szCs w:val="32"/>
            </w:rPr>
            <w:t>1</w:t>
          </w:r>
          <w:r>
            <w:rPr>
              <w:rFonts w:hint="eastAsia" w:asciiTheme="majorEastAsia" w:hAnsiTheme="majorEastAsia" w:eastAsiaTheme="majorEastAsia"/>
              <w:b/>
              <w:bCs/>
              <w:sz w:val="32"/>
              <w:szCs w:val="32"/>
              <w:lang w:val="en-US" w:eastAsia="zh-CN"/>
            </w:rPr>
            <w:t>8</w:t>
          </w:r>
          <w:r>
            <w:rPr>
              <w:rFonts w:hint="eastAsia" w:asciiTheme="majorEastAsia" w:hAnsiTheme="majorEastAsia" w:eastAsiaTheme="majorEastAsia"/>
              <w:b/>
              <w:bCs/>
              <w:sz w:val="32"/>
              <w:szCs w:val="32"/>
            </w:rPr>
            <w:fldChar w:fldCharType="end"/>
          </w:r>
          <w:r>
            <w:rPr>
              <w:rFonts w:hint="eastAsia" w:asciiTheme="majorEastAsia" w:hAnsiTheme="majorEastAsia" w:eastAsiaTheme="majorEastAsia"/>
              <w:b/>
              <w:bCs/>
              <w:sz w:val="32"/>
              <w:szCs w:val="32"/>
            </w:rPr>
            <w:fldChar w:fldCharType="end"/>
          </w:r>
        </w:p>
        <w:p>
          <w:pPr>
            <w:pStyle w:val="14"/>
            <w:rPr>
              <w:rFonts w:hint="eastAsia" w:asciiTheme="majorEastAsia" w:hAnsiTheme="majorEastAsia" w:eastAsiaTheme="majorEastAsia" w:cstheme="minorBidi"/>
              <w:sz w:val="32"/>
              <w:szCs w:val="32"/>
              <w14:ligatures w14:val="standardContextual"/>
            </w:rPr>
          </w:pPr>
          <w:r>
            <w:fldChar w:fldCharType="begin"/>
          </w:r>
          <w:r>
            <w:instrText xml:space="preserve"> HYPERLINK \l "_Toc208392015" </w:instrText>
          </w:r>
          <w:r>
            <w:fldChar w:fldCharType="separate"/>
          </w:r>
          <w:r>
            <w:rPr>
              <w:rStyle w:val="18"/>
              <w:rFonts w:hint="eastAsia" w:asciiTheme="majorEastAsia" w:hAnsiTheme="majorEastAsia" w:eastAsiaTheme="majorEastAsia"/>
              <w:sz w:val="32"/>
              <w:szCs w:val="32"/>
            </w:rPr>
            <w:t>一、收入支出决算总表</w:t>
          </w:r>
          <w:r>
            <w:rPr>
              <w:rFonts w:hint="eastAsia" w:asciiTheme="majorEastAsia" w:hAnsiTheme="majorEastAsia" w:eastAsiaTheme="majorEastAsia"/>
              <w:sz w:val="32"/>
              <w:szCs w:val="32"/>
            </w:rPr>
            <w:tab/>
          </w:r>
          <w:r>
            <w:rPr>
              <w:rFonts w:hint="eastAsia" w:asciiTheme="majorEastAsia" w:hAnsiTheme="majorEastAsia" w:eastAsiaTheme="majorEastAsia"/>
              <w:sz w:val="32"/>
              <w:szCs w:val="32"/>
            </w:rPr>
            <w:fldChar w:fldCharType="begin"/>
          </w:r>
          <w:r>
            <w:rPr>
              <w:rFonts w:hint="eastAsia" w:asciiTheme="majorEastAsia" w:hAnsiTheme="majorEastAsia" w:eastAsiaTheme="majorEastAsia"/>
              <w:sz w:val="32"/>
              <w:szCs w:val="32"/>
            </w:rPr>
            <w:instrText xml:space="preserve"> </w:instrText>
          </w:r>
          <w:r>
            <w:rPr>
              <w:rFonts w:asciiTheme="majorEastAsia" w:hAnsiTheme="majorEastAsia" w:eastAsiaTheme="majorEastAsia"/>
              <w:sz w:val="32"/>
              <w:szCs w:val="32"/>
            </w:rPr>
            <w:instrText xml:space="preserve">PAGEREF _Toc208392015 \h</w:instrText>
          </w:r>
          <w:r>
            <w:rPr>
              <w:rFonts w:hint="eastAsia" w:asciiTheme="majorEastAsia" w:hAnsiTheme="majorEastAsia" w:eastAsiaTheme="majorEastAsia"/>
              <w:sz w:val="32"/>
              <w:szCs w:val="32"/>
            </w:rPr>
            <w:instrText xml:space="preserve"> </w:instrText>
          </w:r>
          <w:r>
            <w:rPr>
              <w:rFonts w:hint="eastAsia" w:asciiTheme="majorEastAsia" w:hAnsiTheme="majorEastAsia" w:eastAsiaTheme="majorEastAsia"/>
              <w:sz w:val="32"/>
              <w:szCs w:val="32"/>
            </w:rPr>
            <w:fldChar w:fldCharType="separate"/>
          </w:r>
          <w:r>
            <w:rPr>
              <w:rFonts w:asciiTheme="majorEastAsia" w:hAnsiTheme="majorEastAsia" w:eastAsiaTheme="majorEastAsia"/>
              <w:sz w:val="32"/>
              <w:szCs w:val="32"/>
            </w:rPr>
            <w:t>1</w:t>
          </w:r>
          <w:r>
            <w:rPr>
              <w:rFonts w:hint="eastAsia" w:asciiTheme="majorEastAsia" w:hAnsiTheme="majorEastAsia" w:eastAsiaTheme="majorEastAsia"/>
              <w:sz w:val="32"/>
              <w:szCs w:val="32"/>
              <w:lang w:val="en-US" w:eastAsia="zh-CN"/>
            </w:rPr>
            <w:t>8</w:t>
          </w:r>
          <w:r>
            <w:rPr>
              <w:rFonts w:hint="eastAsia" w:asciiTheme="majorEastAsia" w:hAnsiTheme="majorEastAsia" w:eastAsiaTheme="majorEastAsia"/>
              <w:sz w:val="32"/>
              <w:szCs w:val="32"/>
            </w:rPr>
            <w:fldChar w:fldCharType="end"/>
          </w:r>
          <w:r>
            <w:rPr>
              <w:rFonts w:hint="eastAsia" w:asciiTheme="majorEastAsia" w:hAnsiTheme="majorEastAsia" w:eastAsiaTheme="majorEastAsia"/>
              <w:sz w:val="32"/>
              <w:szCs w:val="32"/>
            </w:rPr>
            <w:fldChar w:fldCharType="end"/>
          </w:r>
        </w:p>
        <w:p>
          <w:pPr>
            <w:pStyle w:val="14"/>
            <w:rPr>
              <w:rFonts w:hint="eastAsia" w:asciiTheme="majorEastAsia" w:hAnsiTheme="majorEastAsia" w:eastAsiaTheme="majorEastAsia" w:cstheme="minorBidi"/>
              <w:sz w:val="32"/>
              <w:szCs w:val="32"/>
              <w14:ligatures w14:val="standardContextual"/>
            </w:rPr>
          </w:pPr>
          <w:r>
            <w:fldChar w:fldCharType="begin"/>
          </w:r>
          <w:r>
            <w:instrText xml:space="preserve"> HYPERLINK \l "_Toc208392016" </w:instrText>
          </w:r>
          <w:r>
            <w:fldChar w:fldCharType="separate"/>
          </w:r>
          <w:r>
            <w:rPr>
              <w:rStyle w:val="18"/>
              <w:rFonts w:hint="eastAsia" w:asciiTheme="majorEastAsia" w:hAnsiTheme="majorEastAsia" w:eastAsiaTheme="majorEastAsia"/>
              <w:sz w:val="32"/>
              <w:szCs w:val="32"/>
            </w:rPr>
            <w:t>二、收入决算表</w:t>
          </w:r>
          <w:r>
            <w:rPr>
              <w:rFonts w:hint="eastAsia" w:asciiTheme="majorEastAsia" w:hAnsiTheme="majorEastAsia" w:eastAsiaTheme="majorEastAsia"/>
              <w:sz w:val="32"/>
              <w:szCs w:val="32"/>
            </w:rPr>
            <w:tab/>
          </w:r>
          <w:r>
            <w:rPr>
              <w:rFonts w:hint="eastAsia" w:asciiTheme="majorEastAsia" w:hAnsiTheme="majorEastAsia" w:eastAsiaTheme="majorEastAsia"/>
              <w:sz w:val="32"/>
              <w:szCs w:val="32"/>
            </w:rPr>
            <w:fldChar w:fldCharType="begin"/>
          </w:r>
          <w:r>
            <w:rPr>
              <w:rFonts w:hint="eastAsia" w:asciiTheme="majorEastAsia" w:hAnsiTheme="majorEastAsia" w:eastAsiaTheme="majorEastAsia"/>
              <w:sz w:val="32"/>
              <w:szCs w:val="32"/>
            </w:rPr>
            <w:instrText xml:space="preserve"> </w:instrText>
          </w:r>
          <w:r>
            <w:rPr>
              <w:rFonts w:asciiTheme="majorEastAsia" w:hAnsiTheme="majorEastAsia" w:eastAsiaTheme="majorEastAsia"/>
              <w:sz w:val="32"/>
              <w:szCs w:val="32"/>
            </w:rPr>
            <w:instrText xml:space="preserve">PAGEREF _Toc208392016 \h</w:instrText>
          </w:r>
          <w:r>
            <w:rPr>
              <w:rFonts w:hint="eastAsia" w:asciiTheme="majorEastAsia" w:hAnsiTheme="majorEastAsia" w:eastAsiaTheme="majorEastAsia"/>
              <w:sz w:val="32"/>
              <w:szCs w:val="32"/>
            </w:rPr>
            <w:instrText xml:space="preserve"> </w:instrText>
          </w:r>
          <w:r>
            <w:rPr>
              <w:rFonts w:hint="eastAsia" w:asciiTheme="majorEastAsia" w:hAnsiTheme="majorEastAsia" w:eastAsiaTheme="majorEastAsia"/>
              <w:sz w:val="32"/>
              <w:szCs w:val="32"/>
            </w:rPr>
            <w:fldChar w:fldCharType="separate"/>
          </w:r>
          <w:r>
            <w:rPr>
              <w:rFonts w:asciiTheme="majorEastAsia" w:hAnsiTheme="majorEastAsia" w:eastAsiaTheme="majorEastAsia"/>
              <w:sz w:val="32"/>
              <w:szCs w:val="32"/>
            </w:rPr>
            <w:t>1</w:t>
          </w:r>
          <w:r>
            <w:rPr>
              <w:rFonts w:hint="eastAsia" w:asciiTheme="majorEastAsia" w:hAnsiTheme="majorEastAsia" w:eastAsiaTheme="majorEastAsia"/>
              <w:sz w:val="32"/>
              <w:szCs w:val="32"/>
              <w:lang w:val="en-US" w:eastAsia="zh-CN"/>
            </w:rPr>
            <w:t>8</w:t>
          </w:r>
          <w:r>
            <w:rPr>
              <w:rFonts w:hint="eastAsia" w:asciiTheme="majorEastAsia" w:hAnsiTheme="majorEastAsia" w:eastAsiaTheme="majorEastAsia"/>
              <w:sz w:val="32"/>
              <w:szCs w:val="32"/>
            </w:rPr>
            <w:fldChar w:fldCharType="end"/>
          </w:r>
          <w:r>
            <w:rPr>
              <w:rFonts w:hint="eastAsia" w:asciiTheme="majorEastAsia" w:hAnsiTheme="majorEastAsia" w:eastAsiaTheme="majorEastAsia"/>
              <w:sz w:val="32"/>
              <w:szCs w:val="32"/>
            </w:rPr>
            <w:fldChar w:fldCharType="end"/>
          </w:r>
        </w:p>
        <w:p>
          <w:pPr>
            <w:pStyle w:val="14"/>
            <w:rPr>
              <w:rFonts w:hint="eastAsia" w:asciiTheme="majorEastAsia" w:hAnsiTheme="majorEastAsia" w:eastAsiaTheme="majorEastAsia" w:cstheme="minorBidi"/>
              <w:sz w:val="32"/>
              <w:szCs w:val="32"/>
              <w14:ligatures w14:val="standardContextual"/>
            </w:rPr>
          </w:pPr>
          <w:r>
            <w:fldChar w:fldCharType="begin"/>
          </w:r>
          <w:r>
            <w:instrText xml:space="preserve"> HYPERLINK \l "_Toc208392017" </w:instrText>
          </w:r>
          <w:r>
            <w:fldChar w:fldCharType="separate"/>
          </w:r>
          <w:r>
            <w:rPr>
              <w:rStyle w:val="18"/>
              <w:rFonts w:hint="eastAsia" w:asciiTheme="majorEastAsia" w:hAnsiTheme="majorEastAsia" w:eastAsiaTheme="majorEastAsia"/>
              <w:sz w:val="32"/>
              <w:szCs w:val="32"/>
            </w:rPr>
            <w:t>三、支出决算表</w:t>
          </w:r>
          <w:r>
            <w:rPr>
              <w:rFonts w:hint="eastAsia" w:asciiTheme="majorEastAsia" w:hAnsiTheme="majorEastAsia" w:eastAsiaTheme="majorEastAsia"/>
              <w:sz w:val="32"/>
              <w:szCs w:val="32"/>
            </w:rPr>
            <w:tab/>
          </w:r>
          <w:r>
            <w:rPr>
              <w:rFonts w:hint="eastAsia" w:asciiTheme="majorEastAsia" w:hAnsiTheme="majorEastAsia" w:eastAsiaTheme="majorEastAsia"/>
              <w:sz w:val="32"/>
              <w:szCs w:val="32"/>
            </w:rPr>
            <w:fldChar w:fldCharType="begin"/>
          </w:r>
          <w:r>
            <w:rPr>
              <w:rFonts w:hint="eastAsia" w:asciiTheme="majorEastAsia" w:hAnsiTheme="majorEastAsia" w:eastAsiaTheme="majorEastAsia"/>
              <w:sz w:val="32"/>
              <w:szCs w:val="32"/>
            </w:rPr>
            <w:instrText xml:space="preserve"> </w:instrText>
          </w:r>
          <w:r>
            <w:rPr>
              <w:rFonts w:asciiTheme="majorEastAsia" w:hAnsiTheme="majorEastAsia" w:eastAsiaTheme="majorEastAsia"/>
              <w:sz w:val="32"/>
              <w:szCs w:val="32"/>
            </w:rPr>
            <w:instrText xml:space="preserve">PAGEREF _Toc208392017 \h</w:instrText>
          </w:r>
          <w:r>
            <w:rPr>
              <w:rFonts w:hint="eastAsia" w:asciiTheme="majorEastAsia" w:hAnsiTheme="majorEastAsia" w:eastAsiaTheme="majorEastAsia"/>
              <w:sz w:val="32"/>
              <w:szCs w:val="32"/>
            </w:rPr>
            <w:instrText xml:space="preserve"> </w:instrText>
          </w:r>
          <w:r>
            <w:rPr>
              <w:rFonts w:hint="eastAsia" w:asciiTheme="majorEastAsia" w:hAnsiTheme="majorEastAsia" w:eastAsiaTheme="majorEastAsia"/>
              <w:sz w:val="32"/>
              <w:szCs w:val="32"/>
            </w:rPr>
            <w:fldChar w:fldCharType="separate"/>
          </w:r>
          <w:r>
            <w:rPr>
              <w:rFonts w:asciiTheme="majorEastAsia" w:hAnsiTheme="majorEastAsia" w:eastAsiaTheme="majorEastAsia"/>
              <w:sz w:val="32"/>
              <w:szCs w:val="32"/>
            </w:rPr>
            <w:t>1</w:t>
          </w:r>
          <w:r>
            <w:rPr>
              <w:rFonts w:hint="eastAsia" w:asciiTheme="majorEastAsia" w:hAnsiTheme="majorEastAsia" w:eastAsiaTheme="majorEastAsia"/>
              <w:sz w:val="32"/>
              <w:szCs w:val="32"/>
              <w:lang w:val="en-US" w:eastAsia="zh-CN"/>
            </w:rPr>
            <w:t>8</w:t>
          </w:r>
          <w:r>
            <w:rPr>
              <w:rFonts w:hint="eastAsia" w:asciiTheme="majorEastAsia" w:hAnsiTheme="majorEastAsia" w:eastAsiaTheme="majorEastAsia"/>
              <w:sz w:val="32"/>
              <w:szCs w:val="32"/>
            </w:rPr>
            <w:fldChar w:fldCharType="end"/>
          </w:r>
          <w:r>
            <w:rPr>
              <w:rFonts w:hint="eastAsia" w:asciiTheme="majorEastAsia" w:hAnsiTheme="majorEastAsia" w:eastAsiaTheme="majorEastAsia"/>
              <w:sz w:val="32"/>
              <w:szCs w:val="32"/>
            </w:rPr>
            <w:fldChar w:fldCharType="end"/>
          </w:r>
        </w:p>
        <w:p>
          <w:pPr>
            <w:pStyle w:val="14"/>
            <w:rPr>
              <w:rFonts w:hint="eastAsia" w:asciiTheme="majorEastAsia" w:hAnsiTheme="majorEastAsia" w:eastAsiaTheme="majorEastAsia" w:cstheme="minorBidi"/>
              <w:sz w:val="32"/>
              <w:szCs w:val="32"/>
              <w14:ligatures w14:val="standardContextual"/>
            </w:rPr>
          </w:pPr>
          <w:r>
            <w:fldChar w:fldCharType="begin"/>
          </w:r>
          <w:r>
            <w:instrText xml:space="preserve"> HYPERLINK \l "_Toc208392018" </w:instrText>
          </w:r>
          <w:r>
            <w:fldChar w:fldCharType="separate"/>
          </w:r>
          <w:r>
            <w:rPr>
              <w:rStyle w:val="18"/>
              <w:rFonts w:hint="eastAsia" w:asciiTheme="majorEastAsia" w:hAnsiTheme="majorEastAsia" w:eastAsiaTheme="majorEastAsia"/>
              <w:sz w:val="32"/>
              <w:szCs w:val="32"/>
            </w:rPr>
            <w:t>四、财政拨款收入支出决算总表</w:t>
          </w:r>
          <w:r>
            <w:rPr>
              <w:rFonts w:hint="eastAsia" w:asciiTheme="majorEastAsia" w:hAnsiTheme="majorEastAsia" w:eastAsiaTheme="majorEastAsia"/>
              <w:sz w:val="32"/>
              <w:szCs w:val="32"/>
            </w:rPr>
            <w:tab/>
          </w:r>
          <w:r>
            <w:rPr>
              <w:rFonts w:hint="eastAsia" w:asciiTheme="majorEastAsia" w:hAnsiTheme="majorEastAsia" w:eastAsiaTheme="majorEastAsia"/>
              <w:sz w:val="32"/>
              <w:szCs w:val="32"/>
            </w:rPr>
            <w:fldChar w:fldCharType="begin"/>
          </w:r>
          <w:r>
            <w:rPr>
              <w:rFonts w:hint="eastAsia" w:asciiTheme="majorEastAsia" w:hAnsiTheme="majorEastAsia" w:eastAsiaTheme="majorEastAsia"/>
              <w:sz w:val="32"/>
              <w:szCs w:val="32"/>
            </w:rPr>
            <w:instrText xml:space="preserve"> </w:instrText>
          </w:r>
          <w:r>
            <w:rPr>
              <w:rFonts w:asciiTheme="majorEastAsia" w:hAnsiTheme="majorEastAsia" w:eastAsiaTheme="majorEastAsia"/>
              <w:sz w:val="32"/>
              <w:szCs w:val="32"/>
            </w:rPr>
            <w:instrText xml:space="preserve">PAGEREF _Toc208392018 \h</w:instrText>
          </w:r>
          <w:r>
            <w:rPr>
              <w:rFonts w:hint="eastAsia" w:asciiTheme="majorEastAsia" w:hAnsiTheme="majorEastAsia" w:eastAsiaTheme="majorEastAsia"/>
              <w:sz w:val="32"/>
              <w:szCs w:val="32"/>
            </w:rPr>
            <w:instrText xml:space="preserve"> </w:instrText>
          </w:r>
          <w:r>
            <w:rPr>
              <w:rFonts w:hint="eastAsia" w:asciiTheme="majorEastAsia" w:hAnsiTheme="majorEastAsia" w:eastAsiaTheme="majorEastAsia"/>
              <w:sz w:val="32"/>
              <w:szCs w:val="32"/>
            </w:rPr>
            <w:fldChar w:fldCharType="separate"/>
          </w:r>
          <w:r>
            <w:rPr>
              <w:rFonts w:asciiTheme="majorEastAsia" w:hAnsiTheme="majorEastAsia" w:eastAsiaTheme="majorEastAsia"/>
              <w:sz w:val="32"/>
              <w:szCs w:val="32"/>
            </w:rPr>
            <w:t>1</w:t>
          </w:r>
          <w:r>
            <w:rPr>
              <w:rFonts w:hint="eastAsia" w:asciiTheme="majorEastAsia" w:hAnsiTheme="majorEastAsia" w:eastAsiaTheme="majorEastAsia"/>
              <w:sz w:val="32"/>
              <w:szCs w:val="32"/>
              <w:lang w:val="en-US" w:eastAsia="zh-CN"/>
            </w:rPr>
            <w:t>8</w:t>
          </w:r>
          <w:r>
            <w:rPr>
              <w:rFonts w:hint="eastAsia" w:asciiTheme="majorEastAsia" w:hAnsiTheme="majorEastAsia" w:eastAsiaTheme="majorEastAsia"/>
              <w:sz w:val="32"/>
              <w:szCs w:val="32"/>
            </w:rPr>
            <w:fldChar w:fldCharType="end"/>
          </w:r>
          <w:r>
            <w:rPr>
              <w:rFonts w:hint="eastAsia" w:asciiTheme="majorEastAsia" w:hAnsiTheme="majorEastAsia" w:eastAsiaTheme="majorEastAsia"/>
              <w:sz w:val="32"/>
              <w:szCs w:val="32"/>
            </w:rPr>
            <w:fldChar w:fldCharType="end"/>
          </w:r>
        </w:p>
        <w:p>
          <w:pPr>
            <w:pStyle w:val="14"/>
            <w:rPr>
              <w:rFonts w:hint="eastAsia" w:asciiTheme="majorEastAsia" w:hAnsiTheme="majorEastAsia" w:eastAsiaTheme="majorEastAsia" w:cstheme="minorBidi"/>
              <w:sz w:val="32"/>
              <w:szCs w:val="32"/>
              <w14:ligatures w14:val="standardContextual"/>
            </w:rPr>
          </w:pPr>
          <w:r>
            <w:fldChar w:fldCharType="begin"/>
          </w:r>
          <w:r>
            <w:instrText xml:space="preserve"> HYPERLINK \l "_Toc208392019" </w:instrText>
          </w:r>
          <w:r>
            <w:fldChar w:fldCharType="separate"/>
          </w:r>
          <w:r>
            <w:rPr>
              <w:rStyle w:val="18"/>
              <w:rFonts w:hint="eastAsia" w:asciiTheme="majorEastAsia" w:hAnsiTheme="majorEastAsia" w:eastAsiaTheme="majorEastAsia"/>
              <w:sz w:val="32"/>
              <w:szCs w:val="32"/>
            </w:rPr>
            <w:t>五、财政拨款支出决算明细表</w:t>
          </w:r>
          <w:r>
            <w:rPr>
              <w:rFonts w:hint="eastAsia" w:asciiTheme="majorEastAsia" w:hAnsiTheme="majorEastAsia" w:eastAsiaTheme="majorEastAsia"/>
              <w:sz w:val="32"/>
              <w:szCs w:val="32"/>
            </w:rPr>
            <w:tab/>
          </w:r>
          <w:r>
            <w:rPr>
              <w:rFonts w:hint="eastAsia" w:asciiTheme="majorEastAsia" w:hAnsiTheme="majorEastAsia" w:eastAsiaTheme="majorEastAsia"/>
              <w:sz w:val="32"/>
              <w:szCs w:val="32"/>
            </w:rPr>
            <w:fldChar w:fldCharType="begin"/>
          </w:r>
          <w:r>
            <w:rPr>
              <w:rFonts w:hint="eastAsia" w:asciiTheme="majorEastAsia" w:hAnsiTheme="majorEastAsia" w:eastAsiaTheme="majorEastAsia"/>
              <w:sz w:val="32"/>
              <w:szCs w:val="32"/>
            </w:rPr>
            <w:instrText xml:space="preserve"> </w:instrText>
          </w:r>
          <w:r>
            <w:rPr>
              <w:rFonts w:asciiTheme="majorEastAsia" w:hAnsiTheme="majorEastAsia" w:eastAsiaTheme="majorEastAsia"/>
              <w:sz w:val="32"/>
              <w:szCs w:val="32"/>
            </w:rPr>
            <w:instrText xml:space="preserve">PAGEREF _Toc208392019 \h</w:instrText>
          </w:r>
          <w:r>
            <w:rPr>
              <w:rFonts w:hint="eastAsia" w:asciiTheme="majorEastAsia" w:hAnsiTheme="majorEastAsia" w:eastAsiaTheme="majorEastAsia"/>
              <w:sz w:val="32"/>
              <w:szCs w:val="32"/>
            </w:rPr>
            <w:instrText xml:space="preserve"> </w:instrText>
          </w:r>
          <w:r>
            <w:rPr>
              <w:rFonts w:hint="eastAsia" w:asciiTheme="majorEastAsia" w:hAnsiTheme="majorEastAsia" w:eastAsiaTheme="majorEastAsia"/>
              <w:sz w:val="32"/>
              <w:szCs w:val="32"/>
            </w:rPr>
            <w:fldChar w:fldCharType="separate"/>
          </w:r>
          <w:r>
            <w:rPr>
              <w:rFonts w:asciiTheme="majorEastAsia" w:hAnsiTheme="majorEastAsia" w:eastAsiaTheme="majorEastAsia"/>
              <w:sz w:val="32"/>
              <w:szCs w:val="32"/>
            </w:rPr>
            <w:t>1</w:t>
          </w:r>
          <w:r>
            <w:rPr>
              <w:rFonts w:hint="eastAsia" w:asciiTheme="majorEastAsia" w:hAnsiTheme="majorEastAsia" w:eastAsiaTheme="majorEastAsia"/>
              <w:sz w:val="32"/>
              <w:szCs w:val="32"/>
              <w:lang w:val="en-US" w:eastAsia="zh-CN"/>
            </w:rPr>
            <w:t>8</w:t>
          </w:r>
          <w:r>
            <w:rPr>
              <w:rFonts w:hint="eastAsia" w:asciiTheme="majorEastAsia" w:hAnsiTheme="majorEastAsia" w:eastAsiaTheme="majorEastAsia"/>
              <w:sz w:val="32"/>
              <w:szCs w:val="32"/>
            </w:rPr>
            <w:fldChar w:fldCharType="end"/>
          </w:r>
          <w:r>
            <w:rPr>
              <w:rFonts w:hint="eastAsia" w:asciiTheme="majorEastAsia" w:hAnsiTheme="majorEastAsia" w:eastAsiaTheme="majorEastAsia"/>
              <w:sz w:val="32"/>
              <w:szCs w:val="32"/>
            </w:rPr>
            <w:fldChar w:fldCharType="end"/>
          </w:r>
        </w:p>
        <w:p>
          <w:pPr>
            <w:pStyle w:val="14"/>
            <w:rPr>
              <w:rFonts w:hint="eastAsia" w:asciiTheme="majorEastAsia" w:hAnsiTheme="majorEastAsia" w:eastAsiaTheme="majorEastAsia" w:cstheme="minorBidi"/>
              <w:sz w:val="32"/>
              <w:szCs w:val="32"/>
              <w14:ligatures w14:val="standardContextual"/>
            </w:rPr>
          </w:pPr>
          <w:r>
            <w:fldChar w:fldCharType="begin"/>
          </w:r>
          <w:r>
            <w:instrText xml:space="preserve"> HYPERLINK \l "_Toc208392020" </w:instrText>
          </w:r>
          <w:r>
            <w:fldChar w:fldCharType="separate"/>
          </w:r>
          <w:r>
            <w:rPr>
              <w:rStyle w:val="18"/>
              <w:rFonts w:hint="eastAsia" w:asciiTheme="majorEastAsia" w:hAnsiTheme="majorEastAsia" w:eastAsiaTheme="majorEastAsia"/>
              <w:sz w:val="32"/>
              <w:szCs w:val="32"/>
            </w:rPr>
            <w:t>六、一般公共预算财政拨款支出决算表</w:t>
          </w:r>
          <w:r>
            <w:rPr>
              <w:rFonts w:hint="eastAsia" w:asciiTheme="majorEastAsia" w:hAnsiTheme="majorEastAsia" w:eastAsiaTheme="majorEastAsia"/>
              <w:sz w:val="32"/>
              <w:szCs w:val="32"/>
            </w:rPr>
            <w:tab/>
          </w:r>
          <w:r>
            <w:rPr>
              <w:rFonts w:hint="eastAsia" w:asciiTheme="majorEastAsia" w:hAnsiTheme="majorEastAsia" w:eastAsiaTheme="majorEastAsia"/>
              <w:sz w:val="32"/>
              <w:szCs w:val="32"/>
            </w:rPr>
            <w:fldChar w:fldCharType="begin"/>
          </w:r>
          <w:r>
            <w:rPr>
              <w:rFonts w:hint="eastAsia" w:asciiTheme="majorEastAsia" w:hAnsiTheme="majorEastAsia" w:eastAsiaTheme="majorEastAsia"/>
              <w:sz w:val="32"/>
              <w:szCs w:val="32"/>
            </w:rPr>
            <w:instrText xml:space="preserve"> </w:instrText>
          </w:r>
          <w:r>
            <w:rPr>
              <w:rFonts w:asciiTheme="majorEastAsia" w:hAnsiTheme="majorEastAsia" w:eastAsiaTheme="majorEastAsia"/>
              <w:sz w:val="32"/>
              <w:szCs w:val="32"/>
            </w:rPr>
            <w:instrText xml:space="preserve">PAGEREF _Toc208392020 \h</w:instrText>
          </w:r>
          <w:r>
            <w:rPr>
              <w:rFonts w:hint="eastAsia" w:asciiTheme="majorEastAsia" w:hAnsiTheme="majorEastAsia" w:eastAsiaTheme="majorEastAsia"/>
              <w:sz w:val="32"/>
              <w:szCs w:val="32"/>
            </w:rPr>
            <w:instrText xml:space="preserve"> </w:instrText>
          </w:r>
          <w:r>
            <w:rPr>
              <w:rFonts w:hint="eastAsia" w:asciiTheme="majorEastAsia" w:hAnsiTheme="majorEastAsia" w:eastAsiaTheme="majorEastAsia"/>
              <w:sz w:val="32"/>
              <w:szCs w:val="32"/>
            </w:rPr>
            <w:fldChar w:fldCharType="separate"/>
          </w:r>
          <w:r>
            <w:rPr>
              <w:rFonts w:asciiTheme="majorEastAsia" w:hAnsiTheme="majorEastAsia" w:eastAsiaTheme="majorEastAsia"/>
              <w:sz w:val="32"/>
              <w:szCs w:val="32"/>
            </w:rPr>
            <w:t>1</w:t>
          </w:r>
          <w:r>
            <w:rPr>
              <w:rFonts w:hint="eastAsia" w:asciiTheme="majorEastAsia" w:hAnsiTheme="majorEastAsia" w:eastAsiaTheme="majorEastAsia"/>
              <w:sz w:val="32"/>
              <w:szCs w:val="32"/>
              <w:lang w:val="en-US" w:eastAsia="zh-CN"/>
            </w:rPr>
            <w:t>8</w:t>
          </w:r>
          <w:r>
            <w:rPr>
              <w:rFonts w:hint="eastAsia" w:asciiTheme="majorEastAsia" w:hAnsiTheme="majorEastAsia" w:eastAsiaTheme="majorEastAsia"/>
              <w:sz w:val="32"/>
              <w:szCs w:val="32"/>
            </w:rPr>
            <w:fldChar w:fldCharType="end"/>
          </w:r>
          <w:r>
            <w:rPr>
              <w:rFonts w:hint="eastAsia" w:asciiTheme="majorEastAsia" w:hAnsiTheme="majorEastAsia" w:eastAsiaTheme="majorEastAsia"/>
              <w:sz w:val="32"/>
              <w:szCs w:val="32"/>
            </w:rPr>
            <w:fldChar w:fldCharType="end"/>
          </w:r>
        </w:p>
        <w:p>
          <w:pPr>
            <w:pStyle w:val="14"/>
            <w:rPr>
              <w:rFonts w:hint="eastAsia" w:asciiTheme="majorEastAsia" w:hAnsiTheme="majorEastAsia" w:eastAsiaTheme="majorEastAsia" w:cstheme="minorBidi"/>
              <w:sz w:val="32"/>
              <w:szCs w:val="32"/>
              <w14:ligatures w14:val="standardContextual"/>
            </w:rPr>
          </w:pPr>
          <w:r>
            <w:fldChar w:fldCharType="begin"/>
          </w:r>
          <w:r>
            <w:instrText xml:space="preserve"> HYPERLINK \l "_Toc208392021" </w:instrText>
          </w:r>
          <w:r>
            <w:fldChar w:fldCharType="separate"/>
          </w:r>
          <w:r>
            <w:rPr>
              <w:rStyle w:val="18"/>
              <w:rFonts w:hint="eastAsia" w:asciiTheme="majorEastAsia" w:hAnsiTheme="majorEastAsia" w:eastAsiaTheme="majorEastAsia"/>
              <w:sz w:val="32"/>
              <w:szCs w:val="32"/>
            </w:rPr>
            <w:t>七、一般公共预算财政拨款支出决算明细表</w:t>
          </w:r>
          <w:r>
            <w:rPr>
              <w:rFonts w:hint="eastAsia" w:asciiTheme="majorEastAsia" w:hAnsiTheme="majorEastAsia" w:eastAsiaTheme="majorEastAsia"/>
              <w:sz w:val="32"/>
              <w:szCs w:val="32"/>
            </w:rPr>
            <w:tab/>
          </w:r>
          <w:r>
            <w:rPr>
              <w:rFonts w:hint="eastAsia" w:asciiTheme="majorEastAsia" w:hAnsiTheme="majorEastAsia" w:eastAsiaTheme="majorEastAsia"/>
              <w:sz w:val="32"/>
              <w:szCs w:val="32"/>
            </w:rPr>
            <w:fldChar w:fldCharType="begin"/>
          </w:r>
          <w:r>
            <w:rPr>
              <w:rFonts w:hint="eastAsia" w:asciiTheme="majorEastAsia" w:hAnsiTheme="majorEastAsia" w:eastAsiaTheme="majorEastAsia"/>
              <w:sz w:val="32"/>
              <w:szCs w:val="32"/>
            </w:rPr>
            <w:instrText xml:space="preserve"> </w:instrText>
          </w:r>
          <w:r>
            <w:rPr>
              <w:rFonts w:asciiTheme="majorEastAsia" w:hAnsiTheme="majorEastAsia" w:eastAsiaTheme="majorEastAsia"/>
              <w:sz w:val="32"/>
              <w:szCs w:val="32"/>
            </w:rPr>
            <w:instrText xml:space="preserve">PAGEREF _Toc208392021 \h</w:instrText>
          </w:r>
          <w:r>
            <w:rPr>
              <w:rFonts w:hint="eastAsia" w:asciiTheme="majorEastAsia" w:hAnsiTheme="majorEastAsia" w:eastAsiaTheme="majorEastAsia"/>
              <w:sz w:val="32"/>
              <w:szCs w:val="32"/>
            </w:rPr>
            <w:instrText xml:space="preserve"> </w:instrText>
          </w:r>
          <w:r>
            <w:rPr>
              <w:rFonts w:hint="eastAsia" w:asciiTheme="majorEastAsia" w:hAnsiTheme="majorEastAsia" w:eastAsiaTheme="majorEastAsia"/>
              <w:sz w:val="32"/>
              <w:szCs w:val="32"/>
            </w:rPr>
            <w:fldChar w:fldCharType="separate"/>
          </w:r>
          <w:r>
            <w:rPr>
              <w:rFonts w:asciiTheme="majorEastAsia" w:hAnsiTheme="majorEastAsia" w:eastAsiaTheme="majorEastAsia"/>
              <w:sz w:val="32"/>
              <w:szCs w:val="32"/>
            </w:rPr>
            <w:t>1</w:t>
          </w:r>
          <w:r>
            <w:rPr>
              <w:rFonts w:hint="eastAsia" w:asciiTheme="majorEastAsia" w:hAnsiTheme="majorEastAsia" w:eastAsiaTheme="majorEastAsia"/>
              <w:sz w:val="32"/>
              <w:szCs w:val="32"/>
              <w:lang w:val="en-US" w:eastAsia="zh-CN"/>
            </w:rPr>
            <w:t>8</w:t>
          </w:r>
          <w:r>
            <w:rPr>
              <w:rFonts w:hint="eastAsia" w:asciiTheme="majorEastAsia" w:hAnsiTheme="majorEastAsia" w:eastAsiaTheme="majorEastAsia"/>
              <w:sz w:val="32"/>
              <w:szCs w:val="32"/>
            </w:rPr>
            <w:fldChar w:fldCharType="end"/>
          </w:r>
          <w:r>
            <w:rPr>
              <w:rFonts w:hint="eastAsia" w:asciiTheme="majorEastAsia" w:hAnsiTheme="majorEastAsia" w:eastAsiaTheme="majorEastAsia"/>
              <w:sz w:val="32"/>
              <w:szCs w:val="32"/>
            </w:rPr>
            <w:fldChar w:fldCharType="end"/>
          </w:r>
        </w:p>
        <w:p>
          <w:pPr>
            <w:pStyle w:val="14"/>
            <w:rPr>
              <w:rFonts w:hint="eastAsia" w:asciiTheme="majorEastAsia" w:hAnsiTheme="majorEastAsia" w:eastAsiaTheme="majorEastAsia" w:cstheme="minorBidi"/>
              <w:sz w:val="32"/>
              <w:szCs w:val="32"/>
              <w14:ligatures w14:val="standardContextual"/>
            </w:rPr>
          </w:pPr>
          <w:r>
            <w:fldChar w:fldCharType="begin"/>
          </w:r>
          <w:r>
            <w:instrText xml:space="preserve"> HYPERLINK \l "_Toc208392022" </w:instrText>
          </w:r>
          <w:r>
            <w:fldChar w:fldCharType="separate"/>
          </w:r>
          <w:r>
            <w:rPr>
              <w:rStyle w:val="18"/>
              <w:rFonts w:hint="eastAsia" w:asciiTheme="majorEastAsia" w:hAnsiTheme="majorEastAsia" w:eastAsiaTheme="majorEastAsia"/>
              <w:sz w:val="32"/>
              <w:szCs w:val="32"/>
            </w:rPr>
            <w:t>八、一般公共预算财政拨款基本支出决算表</w:t>
          </w:r>
          <w:r>
            <w:rPr>
              <w:rFonts w:hint="eastAsia" w:asciiTheme="majorEastAsia" w:hAnsiTheme="majorEastAsia" w:eastAsiaTheme="majorEastAsia"/>
              <w:sz w:val="32"/>
              <w:szCs w:val="32"/>
            </w:rPr>
            <w:tab/>
          </w:r>
          <w:r>
            <w:rPr>
              <w:rFonts w:hint="eastAsia" w:asciiTheme="majorEastAsia" w:hAnsiTheme="majorEastAsia" w:eastAsiaTheme="majorEastAsia"/>
              <w:sz w:val="32"/>
              <w:szCs w:val="32"/>
            </w:rPr>
            <w:fldChar w:fldCharType="begin"/>
          </w:r>
          <w:r>
            <w:rPr>
              <w:rFonts w:hint="eastAsia" w:asciiTheme="majorEastAsia" w:hAnsiTheme="majorEastAsia" w:eastAsiaTheme="majorEastAsia"/>
              <w:sz w:val="32"/>
              <w:szCs w:val="32"/>
            </w:rPr>
            <w:instrText xml:space="preserve"> </w:instrText>
          </w:r>
          <w:r>
            <w:rPr>
              <w:rFonts w:asciiTheme="majorEastAsia" w:hAnsiTheme="majorEastAsia" w:eastAsiaTheme="majorEastAsia"/>
              <w:sz w:val="32"/>
              <w:szCs w:val="32"/>
            </w:rPr>
            <w:instrText xml:space="preserve">PAGEREF _Toc208392022 \h</w:instrText>
          </w:r>
          <w:r>
            <w:rPr>
              <w:rFonts w:hint="eastAsia" w:asciiTheme="majorEastAsia" w:hAnsiTheme="majorEastAsia" w:eastAsiaTheme="majorEastAsia"/>
              <w:sz w:val="32"/>
              <w:szCs w:val="32"/>
            </w:rPr>
            <w:instrText xml:space="preserve"> </w:instrText>
          </w:r>
          <w:r>
            <w:rPr>
              <w:rFonts w:hint="eastAsia" w:asciiTheme="majorEastAsia" w:hAnsiTheme="majorEastAsia" w:eastAsiaTheme="majorEastAsia"/>
              <w:sz w:val="32"/>
              <w:szCs w:val="32"/>
            </w:rPr>
            <w:fldChar w:fldCharType="separate"/>
          </w:r>
          <w:r>
            <w:rPr>
              <w:rFonts w:asciiTheme="majorEastAsia" w:hAnsiTheme="majorEastAsia" w:eastAsiaTheme="majorEastAsia"/>
              <w:sz w:val="32"/>
              <w:szCs w:val="32"/>
            </w:rPr>
            <w:t>1</w:t>
          </w:r>
          <w:r>
            <w:rPr>
              <w:rFonts w:hint="eastAsia" w:asciiTheme="majorEastAsia" w:hAnsiTheme="majorEastAsia" w:eastAsiaTheme="majorEastAsia"/>
              <w:sz w:val="32"/>
              <w:szCs w:val="32"/>
              <w:lang w:val="en-US" w:eastAsia="zh-CN"/>
            </w:rPr>
            <w:t>8</w:t>
          </w:r>
          <w:r>
            <w:rPr>
              <w:rFonts w:hint="eastAsia" w:asciiTheme="majorEastAsia" w:hAnsiTheme="majorEastAsia" w:eastAsiaTheme="majorEastAsia"/>
              <w:sz w:val="32"/>
              <w:szCs w:val="32"/>
            </w:rPr>
            <w:fldChar w:fldCharType="end"/>
          </w:r>
          <w:r>
            <w:rPr>
              <w:rFonts w:hint="eastAsia" w:asciiTheme="majorEastAsia" w:hAnsiTheme="majorEastAsia" w:eastAsiaTheme="majorEastAsia"/>
              <w:sz w:val="32"/>
              <w:szCs w:val="32"/>
            </w:rPr>
            <w:fldChar w:fldCharType="end"/>
          </w:r>
        </w:p>
        <w:p>
          <w:pPr>
            <w:pStyle w:val="14"/>
            <w:rPr>
              <w:rFonts w:hint="eastAsia" w:asciiTheme="majorEastAsia" w:hAnsiTheme="majorEastAsia" w:eastAsiaTheme="majorEastAsia" w:cstheme="minorBidi"/>
              <w:sz w:val="32"/>
              <w:szCs w:val="32"/>
              <w14:ligatures w14:val="standardContextual"/>
            </w:rPr>
          </w:pPr>
          <w:r>
            <w:fldChar w:fldCharType="begin"/>
          </w:r>
          <w:r>
            <w:instrText xml:space="preserve"> HYPERLINK \l "_Toc208392023" </w:instrText>
          </w:r>
          <w:r>
            <w:fldChar w:fldCharType="separate"/>
          </w:r>
          <w:r>
            <w:rPr>
              <w:rStyle w:val="18"/>
              <w:rFonts w:hint="eastAsia" w:asciiTheme="majorEastAsia" w:hAnsiTheme="majorEastAsia" w:eastAsiaTheme="majorEastAsia"/>
              <w:sz w:val="32"/>
              <w:szCs w:val="32"/>
            </w:rPr>
            <w:t>九、一般公共预算财政拨款项目支出决算表</w:t>
          </w:r>
          <w:r>
            <w:rPr>
              <w:rFonts w:hint="eastAsia" w:asciiTheme="majorEastAsia" w:hAnsiTheme="majorEastAsia" w:eastAsiaTheme="majorEastAsia"/>
              <w:sz w:val="32"/>
              <w:szCs w:val="32"/>
            </w:rPr>
            <w:tab/>
          </w:r>
          <w:r>
            <w:rPr>
              <w:rFonts w:hint="eastAsia" w:asciiTheme="majorEastAsia" w:hAnsiTheme="majorEastAsia" w:eastAsiaTheme="majorEastAsia"/>
              <w:sz w:val="32"/>
              <w:szCs w:val="32"/>
            </w:rPr>
            <w:fldChar w:fldCharType="begin"/>
          </w:r>
          <w:r>
            <w:rPr>
              <w:rFonts w:hint="eastAsia" w:asciiTheme="majorEastAsia" w:hAnsiTheme="majorEastAsia" w:eastAsiaTheme="majorEastAsia"/>
              <w:sz w:val="32"/>
              <w:szCs w:val="32"/>
            </w:rPr>
            <w:instrText xml:space="preserve"> </w:instrText>
          </w:r>
          <w:r>
            <w:rPr>
              <w:rFonts w:asciiTheme="majorEastAsia" w:hAnsiTheme="majorEastAsia" w:eastAsiaTheme="majorEastAsia"/>
              <w:sz w:val="32"/>
              <w:szCs w:val="32"/>
            </w:rPr>
            <w:instrText xml:space="preserve">PAGEREF _Toc208392023 \h</w:instrText>
          </w:r>
          <w:r>
            <w:rPr>
              <w:rFonts w:hint="eastAsia" w:asciiTheme="majorEastAsia" w:hAnsiTheme="majorEastAsia" w:eastAsiaTheme="majorEastAsia"/>
              <w:sz w:val="32"/>
              <w:szCs w:val="32"/>
            </w:rPr>
            <w:instrText xml:space="preserve"> </w:instrText>
          </w:r>
          <w:r>
            <w:rPr>
              <w:rFonts w:hint="eastAsia" w:asciiTheme="majorEastAsia" w:hAnsiTheme="majorEastAsia" w:eastAsiaTheme="majorEastAsia"/>
              <w:sz w:val="32"/>
              <w:szCs w:val="32"/>
            </w:rPr>
            <w:fldChar w:fldCharType="separate"/>
          </w:r>
          <w:r>
            <w:rPr>
              <w:rFonts w:asciiTheme="majorEastAsia" w:hAnsiTheme="majorEastAsia" w:eastAsiaTheme="majorEastAsia"/>
              <w:sz w:val="32"/>
              <w:szCs w:val="32"/>
            </w:rPr>
            <w:t>1</w:t>
          </w:r>
          <w:r>
            <w:rPr>
              <w:rFonts w:hint="eastAsia" w:asciiTheme="majorEastAsia" w:hAnsiTheme="majorEastAsia" w:eastAsiaTheme="majorEastAsia"/>
              <w:sz w:val="32"/>
              <w:szCs w:val="32"/>
              <w:lang w:val="en-US" w:eastAsia="zh-CN"/>
            </w:rPr>
            <w:t>8</w:t>
          </w:r>
          <w:r>
            <w:rPr>
              <w:rFonts w:hint="eastAsia" w:asciiTheme="majorEastAsia" w:hAnsiTheme="majorEastAsia" w:eastAsiaTheme="majorEastAsia"/>
              <w:sz w:val="32"/>
              <w:szCs w:val="32"/>
            </w:rPr>
            <w:fldChar w:fldCharType="end"/>
          </w:r>
          <w:r>
            <w:rPr>
              <w:rFonts w:hint="eastAsia" w:asciiTheme="majorEastAsia" w:hAnsiTheme="majorEastAsia" w:eastAsiaTheme="majorEastAsia"/>
              <w:sz w:val="32"/>
              <w:szCs w:val="32"/>
            </w:rPr>
            <w:fldChar w:fldCharType="end"/>
          </w:r>
        </w:p>
        <w:p>
          <w:pPr>
            <w:pStyle w:val="14"/>
            <w:rPr>
              <w:rFonts w:hint="eastAsia" w:asciiTheme="majorEastAsia" w:hAnsiTheme="majorEastAsia" w:eastAsiaTheme="majorEastAsia" w:cstheme="minorBidi"/>
              <w:sz w:val="32"/>
              <w:szCs w:val="32"/>
              <w14:ligatures w14:val="standardContextual"/>
            </w:rPr>
          </w:pPr>
          <w:r>
            <w:fldChar w:fldCharType="begin"/>
          </w:r>
          <w:r>
            <w:instrText xml:space="preserve"> HYPERLINK \l "_Toc208392024" </w:instrText>
          </w:r>
          <w:r>
            <w:fldChar w:fldCharType="separate"/>
          </w:r>
          <w:r>
            <w:rPr>
              <w:rStyle w:val="18"/>
              <w:rFonts w:hint="eastAsia" w:asciiTheme="majorEastAsia" w:hAnsiTheme="majorEastAsia" w:eastAsiaTheme="majorEastAsia"/>
              <w:sz w:val="32"/>
              <w:szCs w:val="32"/>
            </w:rPr>
            <w:t>十、政府性基金预算财政拨款收入支出决算表</w:t>
          </w:r>
          <w:r>
            <w:rPr>
              <w:rFonts w:hint="eastAsia" w:asciiTheme="majorEastAsia" w:hAnsiTheme="majorEastAsia" w:eastAsiaTheme="majorEastAsia"/>
              <w:sz w:val="32"/>
              <w:szCs w:val="32"/>
            </w:rPr>
            <w:tab/>
          </w:r>
          <w:r>
            <w:rPr>
              <w:rFonts w:hint="eastAsia" w:asciiTheme="majorEastAsia" w:hAnsiTheme="majorEastAsia" w:eastAsiaTheme="majorEastAsia"/>
              <w:sz w:val="32"/>
              <w:szCs w:val="32"/>
            </w:rPr>
            <w:fldChar w:fldCharType="begin"/>
          </w:r>
          <w:r>
            <w:rPr>
              <w:rFonts w:hint="eastAsia" w:asciiTheme="majorEastAsia" w:hAnsiTheme="majorEastAsia" w:eastAsiaTheme="majorEastAsia"/>
              <w:sz w:val="32"/>
              <w:szCs w:val="32"/>
            </w:rPr>
            <w:instrText xml:space="preserve"> </w:instrText>
          </w:r>
          <w:r>
            <w:rPr>
              <w:rFonts w:asciiTheme="majorEastAsia" w:hAnsiTheme="majorEastAsia" w:eastAsiaTheme="majorEastAsia"/>
              <w:sz w:val="32"/>
              <w:szCs w:val="32"/>
            </w:rPr>
            <w:instrText xml:space="preserve">PAGEREF _Toc208392024 \h</w:instrText>
          </w:r>
          <w:r>
            <w:rPr>
              <w:rFonts w:hint="eastAsia" w:asciiTheme="majorEastAsia" w:hAnsiTheme="majorEastAsia" w:eastAsiaTheme="majorEastAsia"/>
              <w:sz w:val="32"/>
              <w:szCs w:val="32"/>
            </w:rPr>
            <w:instrText xml:space="preserve"> </w:instrText>
          </w:r>
          <w:r>
            <w:rPr>
              <w:rFonts w:hint="eastAsia" w:asciiTheme="majorEastAsia" w:hAnsiTheme="majorEastAsia" w:eastAsiaTheme="majorEastAsia"/>
              <w:sz w:val="32"/>
              <w:szCs w:val="32"/>
            </w:rPr>
            <w:fldChar w:fldCharType="separate"/>
          </w:r>
          <w:r>
            <w:rPr>
              <w:rFonts w:asciiTheme="majorEastAsia" w:hAnsiTheme="majorEastAsia" w:eastAsiaTheme="majorEastAsia"/>
              <w:sz w:val="32"/>
              <w:szCs w:val="32"/>
            </w:rPr>
            <w:t>1</w:t>
          </w:r>
          <w:r>
            <w:rPr>
              <w:rFonts w:hint="eastAsia" w:asciiTheme="majorEastAsia" w:hAnsiTheme="majorEastAsia" w:eastAsiaTheme="majorEastAsia"/>
              <w:sz w:val="32"/>
              <w:szCs w:val="32"/>
              <w:lang w:val="en-US" w:eastAsia="zh-CN"/>
            </w:rPr>
            <w:t>8</w:t>
          </w:r>
          <w:r>
            <w:rPr>
              <w:rFonts w:hint="eastAsia" w:asciiTheme="majorEastAsia" w:hAnsiTheme="majorEastAsia" w:eastAsiaTheme="majorEastAsia"/>
              <w:sz w:val="32"/>
              <w:szCs w:val="32"/>
            </w:rPr>
            <w:fldChar w:fldCharType="end"/>
          </w:r>
          <w:r>
            <w:rPr>
              <w:rFonts w:hint="eastAsia" w:asciiTheme="majorEastAsia" w:hAnsiTheme="majorEastAsia" w:eastAsiaTheme="majorEastAsia"/>
              <w:sz w:val="32"/>
              <w:szCs w:val="32"/>
            </w:rPr>
            <w:fldChar w:fldCharType="end"/>
          </w:r>
        </w:p>
        <w:p>
          <w:pPr>
            <w:pStyle w:val="14"/>
            <w:rPr>
              <w:rFonts w:hint="eastAsia" w:asciiTheme="majorEastAsia" w:hAnsiTheme="majorEastAsia" w:eastAsiaTheme="majorEastAsia" w:cstheme="minorBidi"/>
              <w:sz w:val="32"/>
              <w:szCs w:val="32"/>
              <w14:ligatures w14:val="standardContextual"/>
            </w:rPr>
          </w:pPr>
          <w:r>
            <w:fldChar w:fldCharType="begin"/>
          </w:r>
          <w:r>
            <w:instrText xml:space="preserve"> HYPERLINK \l "_Toc208392025" </w:instrText>
          </w:r>
          <w:r>
            <w:fldChar w:fldCharType="separate"/>
          </w:r>
          <w:r>
            <w:rPr>
              <w:rStyle w:val="18"/>
              <w:rFonts w:hint="eastAsia" w:asciiTheme="majorEastAsia" w:hAnsiTheme="majorEastAsia" w:eastAsiaTheme="majorEastAsia"/>
              <w:sz w:val="32"/>
              <w:szCs w:val="32"/>
            </w:rPr>
            <w:t>十一、国有资本经营预算财政拨款收入支出决算表</w:t>
          </w:r>
          <w:r>
            <w:rPr>
              <w:rFonts w:hint="eastAsia" w:asciiTheme="majorEastAsia" w:hAnsiTheme="majorEastAsia" w:eastAsiaTheme="majorEastAsia"/>
              <w:sz w:val="32"/>
              <w:szCs w:val="32"/>
            </w:rPr>
            <w:tab/>
          </w:r>
          <w:r>
            <w:rPr>
              <w:rFonts w:hint="eastAsia" w:asciiTheme="majorEastAsia" w:hAnsiTheme="majorEastAsia" w:eastAsiaTheme="majorEastAsia"/>
              <w:sz w:val="32"/>
              <w:szCs w:val="32"/>
            </w:rPr>
            <w:fldChar w:fldCharType="begin"/>
          </w:r>
          <w:r>
            <w:rPr>
              <w:rFonts w:hint="eastAsia" w:asciiTheme="majorEastAsia" w:hAnsiTheme="majorEastAsia" w:eastAsiaTheme="majorEastAsia"/>
              <w:sz w:val="32"/>
              <w:szCs w:val="32"/>
            </w:rPr>
            <w:instrText xml:space="preserve"> </w:instrText>
          </w:r>
          <w:r>
            <w:rPr>
              <w:rFonts w:asciiTheme="majorEastAsia" w:hAnsiTheme="majorEastAsia" w:eastAsiaTheme="majorEastAsia"/>
              <w:sz w:val="32"/>
              <w:szCs w:val="32"/>
            </w:rPr>
            <w:instrText xml:space="preserve">PAGEREF _Toc208392025 \h</w:instrText>
          </w:r>
          <w:r>
            <w:rPr>
              <w:rFonts w:hint="eastAsia" w:asciiTheme="majorEastAsia" w:hAnsiTheme="majorEastAsia" w:eastAsiaTheme="majorEastAsia"/>
              <w:sz w:val="32"/>
              <w:szCs w:val="32"/>
            </w:rPr>
            <w:instrText xml:space="preserve"> </w:instrText>
          </w:r>
          <w:r>
            <w:rPr>
              <w:rFonts w:hint="eastAsia" w:asciiTheme="majorEastAsia" w:hAnsiTheme="majorEastAsia" w:eastAsiaTheme="majorEastAsia"/>
              <w:sz w:val="32"/>
              <w:szCs w:val="32"/>
            </w:rPr>
            <w:fldChar w:fldCharType="separate"/>
          </w:r>
          <w:r>
            <w:rPr>
              <w:rFonts w:asciiTheme="majorEastAsia" w:hAnsiTheme="majorEastAsia" w:eastAsiaTheme="majorEastAsia"/>
              <w:sz w:val="32"/>
              <w:szCs w:val="32"/>
            </w:rPr>
            <w:t>1</w:t>
          </w:r>
          <w:r>
            <w:rPr>
              <w:rFonts w:hint="eastAsia" w:asciiTheme="majorEastAsia" w:hAnsiTheme="majorEastAsia" w:eastAsiaTheme="majorEastAsia"/>
              <w:sz w:val="32"/>
              <w:szCs w:val="32"/>
              <w:lang w:val="en-US" w:eastAsia="zh-CN"/>
            </w:rPr>
            <w:t>8</w:t>
          </w:r>
          <w:r>
            <w:rPr>
              <w:rFonts w:hint="eastAsia" w:asciiTheme="majorEastAsia" w:hAnsiTheme="majorEastAsia" w:eastAsiaTheme="majorEastAsia"/>
              <w:sz w:val="32"/>
              <w:szCs w:val="32"/>
            </w:rPr>
            <w:fldChar w:fldCharType="end"/>
          </w:r>
          <w:r>
            <w:rPr>
              <w:rFonts w:hint="eastAsia" w:asciiTheme="majorEastAsia" w:hAnsiTheme="majorEastAsia" w:eastAsiaTheme="majorEastAsia"/>
              <w:sz w:val="32"/>
              <w:szCs w:val="32"/>
            </w:rPr>
            <w:fldChar w:fldCharType="end"/>
          </w:r>
        </w:p>
        <w:p>
          <w:pPr>
            <w:pStyle w:val="14"/>
            <w:rPr>
              <w:rFonts w:hint="eastAsia" w:asciiTheme="majorEastAsia" w:hAnsiTheme="majorEastAsia" w:eastAsiaTheme="majorEastAsia" w:cstheme="minorBidi"/>
              <w:sz w:val="32"/>
              <w:szCs w:val="32"/>
              <w14:ligatures w14:val="standardContextual"/>
            </w:rPr>
          </w:pPr>
          <w:r>
            <w:fldChar w:fldCharType="begin"/>
          </w:r>
          <w:r>
            <w:instrText xml:space="preserve"> HYPERLINK \l "_Toc208392026" </w:instrText>
          </w:r>
          <w:r>
            <w:fldChar w:fldCharType="separate"/>
          </w:r>
          <w:r>
            <w:rPr>
              <w:rStyle w:val="18"/>
              <w:rFonts w:hint="eastAsia" w:asciiTheme="majorEastAsia" w:hAnsiTheme="majorEastAsia" w:eastAsiaTheme="majorEastAsia"/>
              <w:sz w:val="32"/>
              <w:szCs w:val="32"/>
            </w:rPr>
            <w:t>十二、国有资本经营预算财政拨款支出决算表</w:t>
          </w:r>
          <w:r>
            <w:rPr>
              <w:rFonts w:hint="eastAsia" w:asciiTheme="majorEastAsia" w:hAnsiTheme="majorEastAsia" w:eastAsiaTheme="majorEastAsia"/>
              <w:sz w:val="32"/>
              <w:szCs w:val="32"/>
            </w:rPr>
            <w:tab/>
          </w:r>
          <w:r>
            <w:rPr>
              <w:rFonts w:hint="eastAsia" w:asciiTheme="majorEastAsia" w:hAnsiTheme="majorEastAsia" w:eastAsiaTheme="majorEastAsia"/>
              <w:sz w:val="32"/>
              <w:szCs w:val="32"/>
            </w:rPr>
            <w:fldChar w:fldCharType="begin"/>
          </w:r>
          <w:r>
            <w:rPr>
              <w:rFonts w:hint="eastAsia" w:asciiTheme="majorEastAsia" w:hAnsiTheme="majorEastAsia" w:eastAsiaTheme="majorEastAsia"/>
              <w:sz w:val="32"/>
              <w:szCs w:val="32"/>
            </w:rPr>
            <w:instrText xml:space="preserve"> </w:instrText>
          </w:r>
          <w:r>
            <w:rPr>
              <w:rFonts w:asciiTheme="majorEastAsia" w:hAnsiTheme="majorEastAsia" w:eastAsiaTheme="majorEastAsia"/>
              <w:sz w:val="32"/>
              <w:szCs w:val="32"/>
            </w:rPr>
            <w:instrText xml:space="preserve">PAGEREF _Toc208392026 \h</w:instrText>
          </w:r>
          <w:r>
            <w:rPr>
              <w:rFonts w:hint="eastAsia" w:asciiTheme="majorEastAsia" w:hAnsiTheme="majorEastAsia" w:eastAsiaTheme="majorEastAsia"/>
              <w:sz w:val="32"/>
              <w:szCs w:val="32"/>
            </w:rPr>
            <w:instrText xml:space="preserve"> </w:instrText>
          </w:r>
          <w:r>
            <w:rPr>
              <w:rFonts w:hint="eastAsia" w:asciiTheme="majorEastAsia" w:hAnsiTheme="majorEastAsia" w:eastAsiaTheme="majorEastAsia"/>
              <w:sz w:val="32"/>
              <w:szCs w:val="32"/>
            </w:rPr>
            <w:fldChar w:fldCharType="separate"/>
          </w:r>
          <w:r>
            <w:rPr>
              <w:rFonts w:asciiTheme="majorEastAsia" w:hAnsiTheme="majorEastAsia" w:eastAsiaTheme="majorEastAsia"/>
              <w:sz w:val="32"/>
              <w:szCs w:val="32"/>
            </w:rPr>
            <w:t>1</w:t>
          </w:r>
          <w:r>
            <w:rPr>
              <w:rFonts w:hint="eastAsia" w:asciiTheme="majorEastAsia" w:hAnsiTheme="majorEastAsia" w:eastAsiaTheme="majorEastAsia"/>
              <w:sz w:val="32"/>
              <w:szCs w:val="32"/>
              <w:lang w:val="en-US" w:eastAsia="zh-CN"/>
            </w:rPr>
            <w:t>8</w:t>
          </w:r>
          <w:r>
            <w:rPr>
              <w:rFonts w:hint="eastAsia" w:asciiTheme="majorEastAsia" w:hAnsiTheme="majorEastAsia" w:eastAsiaTheme="majorEastAsia"/>
              <w:sz w:val="32"/>
              <w:szCs w:val="32"/>
            </w:rPr>
            <w:fldChar w:fldCharType="end"/>
          </w:r>
          <w:r>
            <w:rPr>
              <w:rFonts w:hint="eastAsia" w:asciiTheme="majorEastAsia" w:hAnsiTheme="majorEastAsia" w:eastAsiaTheme="majorEastAsia"/>
              <w:sz w:val="32"/>
              <w:szCs w:val="32"/>
            </w:rPr>
            <w:fldChar w:fldCharType="end"/>
          </w:r>
        </w:p>
        <w:p>
          <w:pPr>
            <w:pStyle w:val="14"/>
            <w:rPr>
              <w:rFonts w:hint="eastAsia" w:asciiTheme="minorHAnsi" w:hAnsiTheme="minorHAnsi" w:eastAsiaTheme="minorEastAsia" w:cstheme="minorBidi"/>
              <w:sz w:val="22"/>
              <w14:ligatures w14:val="standardContextual"/>
            </w:rPr>
          </w:pPr>
          <w:r>
            <w:fldChar w:fldCharType="begin"/>
          </w:r>
          <w:r>
            <w:instrText xml:space="preserve"> HYPERLINK \l "_Toc208392027" </w:instrText>
          </w:r>
          <w:r>
            <w:fldChar w:fldCharType="separate"/>
          </w:r>
          <w:r>
            <w:rPr>
              <w:rStyle w:val="18"/>
              <w:rFonts w:hint="eastAsia" w:asciiTheme="majorEastAsia" w:hAnsiTheme="majorEastAsia" w:eastAsiaTheme="majorEastAsia"/>
              <w:sz w:val="32"/>
              <w:szCs w:val="32"/>
            </w:rPr>
            <w:t>十三、财政拨款“三公”经费支出决算表</w:t>
          </w:r>
          <w:r>
            <w:rPr>
              <w:rFonts w:hint="eastAsia" w:asciiTheme="majorEastAsia" w:hAnsiTheme="majorEastAsia" w:eastAsiaTheme="majorEastAsia"/>
              <w:sz w:val="32"/>
              <w:szCs w:val="32"/>
            </w:rPr>
            <w:tab/>
          </w:r>
          <w:r>
            <w:rPr>
              <w:rFonts w:hint="eastAsia" w:asciiTheme="majorEastAsia" w:hAnsiTheme="majorEastAsia" w:eastAsiaTheme="majorEastAsia"/>
              <w:sz w:val="32"/>
              <w:szCs w:val="32"/>
            </w:rPr>
            <w:fldChar w:fldCharType="begin"/>
          </w:r>
          <w:r>
            <w:rPr>
              <w:rFonts w:hint="eastAsia" w:asciiTheme="majorEastAsia" w:hAnsiTheme="majorEastAsia" w:eastAsiaTheme="majorEastAsia"/>
              <w:sz w:val="32"/>
              <w:szCs w:val="32"/>
            </w:rPr>
            <w:instrText xml:space="preserve"> </w:instrText>
          </w:r>
          <w:r>
            <w:rPr>
              <w:rFonts w:asciiTheme="majorEastAsia" w:hAnsiTheme="majorEastAsia" w:eastAsiaTheme="majorEastAsia"/>
              <w:sz w:val="32"/>
              <w:szCs w:val="32"/>
            </w:rPr>
            <w:instrText xml:space="preserve">PAGEREF _Toc208392027 \h</w:instrText>
          </w:r>
          <w:r>
            <w:rPr>
              <w:rFonts w:hint="eastAsia" w:asciiTheme="majorEastAsia" w:hAnsiTheme="majorEastAsia" w:eastAsiaTheme="majorEastAsia"/>
              <w:sz w:val="32"/>
              <w:szCs w:val="32"/>
            </w:rPr>
            <w:instrText xml:space="preserve"> </w:instrText>
          </w:r>
          <w:r>
            <w:rPr>
              <w:rFonts w:hint="eastAsia" w:asciiTheme="majorEastAsia" w:hAnsiTheme="majorEastAsia" w:eastAsiaTheme="majorEastAsia"/>
              <w:sz w:val="32"/>
              <w:szCs w:val="32"/>
            </w:rPr>
            <w:fldChar w:fldCharType="separate"/>
          </w:r>
          <w:r>
            <w:rPr>
              <w:rFonts w:asciiTheme="majorEastAsia" w:hAnsiTheme="majorEastAsia" w:eastAsiaTheme="majorEastAsia"/>
              <w:sz w:val="32"/>
              <w:szCs w:val="32"/>
            </w:rPr>
            <w:t>1</w:t>
          </w:r>
          <w:r>
            <w:rPr>
              <w:rFonts w:hint="eastAsia" w:asciiTheme="majorEastAsia" w:hAnsiTheme="majorEastAsia" w:eastAsiaTheme="majorEastAsia"/>
              <w:sz w:val="32"/>
              <w:szCs w:val="32"/>
              <w:lang w:val="en-US" w:eastAsia="zh-CN"/>
            </w:rPr>
            <w:t>8</w:t>
          </w:r>
          <w:r>
            <w:rPr>
              <w:rFonts w:hint="eastAsia" w:asciiTheme="majorEastAsia" w:hAnsiTheme="majorEastAsia" w:eastAsiaTheme="majorEastAsia"/>
              <w:sz w:val="32"/>
              <w:szCs w:val="32"/>
            </w:rPr>
            <w:fldChar w:fldCharType="end"/>
          </w:r>
          <w:r>
            <w:rPr>
              <w:rFonts w:hint="eastAsia" w:asciiTheme="majorEastAsia" w:hAnsiTheme="majorEastAsia" w:eastAsiaTheme="majorEastAsia"/>
              <w:sz w:val="32"/>
              <w:szCs w:val="32"/>
            </w:rPr>
            <w:fldChar w:fldCharType="end"/>
          </w:r>
        </w:p>
        <w:p>
          <w:pPr>
            <w:rPr>
              <w:rFonts w:hint="eastAsia"/>
            </w:rPr>
          </w:pPr>
          <w:r>
            <w:rPr>
              <w:b/>
              <w:bCs/>
              <w:lang w:val="zh-CN"/>
            </w:rPr>
            <w:fldChar w:fldCharType="end"/>
          </w:r>
        </w:p>
      </w:sdtContent>
    </w:sdt>
    <w:p>
      <w:pPr>
        <w:pStyle w:val="2"/>
        <w:sectPr>
          <w:footerReference r:id="rId6" w:type="first"/>
          <w:footerReference r:id="rId5" w:type="default"/>
          <w:pgSz w:w="11906" w:h="16838"/>
          <w:pgMar w:top="1440" w:right="1800" w:bottom="1440" w:left="1800" w:header="851" w:footer="992" w:gutter="0"/>
          <w:pgNumType w:fmt="numberInDash" w:start="1"/>
          <w:cols w:space="425" w:num="1"/>
          <w:titlePg/>
          <w:docGrid w:type="lines" w:linePitch="312" w:charSpace="0"/>
        </w:sectPr>
      </w:pPr>
    </w:p>
    <w:p>
      <w:pPr>
        <w:pStyle w:val="5"/>
        <w:jc w:val="center"/>
        <w:rPr>
          <w:rStyle w:val="36"/>
          <w:rFonts w:hint="eastAsia" w:asciiTheme="minorEastAsia" w:hAnsiTheme="minorEastAsia" w:eastAsiaTheme="minorEastAsia" w:cstheme="minorEastAsia"/>
          <w:b/>
          <w:bCs w:val="0"/>
        </w:rPr>
      </w:pPr>
      <w:bookmarkStart w:id="12" w:name="_Toc15377204"/>
      <w:bookmarkStart w:id="13" w:name="_Toc15396602"/>
      <w:r>
        <w:rPr>
          <w:rFonts w:hint="eastAsia" w:asciiTheme="minorEastAsia" w:hAnsiTheme="minorEastAsia" w:eastAsiaTheme="minorEastAsia" w:cstheme="minorEastAsia"/>
          <w:b w:val="0"/>
        </w:rPr>
        <w:t xml:space="preserve">第一部分  </w:t>
      </w:r>
      <w:r>
        <w:rPr>
          <w:rStyle w:val="36"/>
          <w:rFonts w:hint="eastAsia" w:asciiTheme="minorEastAsia" w:hAnsiTheme="minorEastAsia" w:eastAsiaTheme="minorEastAsia" w:cstheme="minorEastAsia"/>
          <w:b w:val="0"/>
          <w:bCs w:val="0"/>
        </w:rPr>
        <w:t>部门概况</w:t>
      </w:r>
    </w:p>
    <w:p>
      <w:pPr>
        <w:widowControl/>
        <w:jc w:val="left"/>
        <w:rPr>
          <w:rFonts w:eastAsia="黑体"/>
          <w:sz w:val="32"/>
          <w:szCs w:val="32"/>
        </w:rPr>
      </w:pPr>
    </w:p>
    <w:p>
      <w:pPr>
        <w:pStyle w:val="6"/>
        <w:numPr>
          <w:ilvl w:val="0"/>
          <w:numId w:val="1"/>
        </w:numPr>
        <w:rPr>
          <w:rFonts w:hint="eastAsia" w:ascii="Times New Roman" w:hAnsi="Times New Roman" w:eastAsia="黑体"/>
          <w:b w:val="0"/>
        </w:rPr>
      </w:pPr>
      <w:r>
        <w:rPr>
          <w:rFonts w:hint="eastAsia" w:ascii="Times New Roman" w:hAnsi="Times New Roman" w:eastAsia="黑体"/>
          <w:b w:val="0"/>
        </w:rPr>
        <w:t>部门职责</w:t>
      </w:r>
    </w:p>
    <w:p>
      <w:pPr>
        <w:pStyle w:val="27"/>
        <w:ind w:left="105" w:leftChars="50" w:right="105" w:rightChars="50" w:firstLine="640"/>
        <w:outlineLvl w:val="1"/>
        <w:rPr>
          <w:rFonts w:hint="default" w:eastAsia="仿宋_GB2312"/>
          <w:lang w:val="en-US" w:eastAsia="zh-CN"/>
        </w:rPr>
      </w:pPr>
      <w:bookmarkStart w:id="14" w:name="_Toc208391984"/>
      <w:r>
        <w:rPr>
          <w:rFonts w:hint="eastAsia" w:eastAsia="仿宋_GB2312" w:cs="仿宋_GB2312"/>
          <w:sz w:val="32"/>
          <w:szCs w:val="32"/>
        </w:rPr>
        <w:t>贯彻执行党和国家关于公安工作的路线、方针、政策和法律法规；预防、制止和侦查违法犯罪活动；维护社会治安秩序，制止危害社会治安秩序的行为；指导、检查、监督本辖区公安机关的执法活动；依法管理户口、居民身分证、枪支弹药、管制刀具和易燃易爆、剧毒、放射性等危险物品和特种待业的管理工作；依法管理集会、游行、示威活动；承办政府和上级公安机关交办的其他事项。</w:t>
      </w:r>
      <w:bookmarkEnd w:id="14"/>
    </w:p>
    <w:p>
      <w:pPr>
        <w:numPr>
          <w:ilvl w:val="0"/>
          <w:numId w:val="0"/>
        </w:numPr>
      </w:pPr>
    </w:p>
    <w:p>
      <w:pPr>
        <w:pStyle w:val="6"/>
        <w:rPr>
          <w:rStyle w:val="37"/>
          <w:rFonts w:ascii="Times New Roman" w:hAnsi="Times New Roman"/>
          <w:b w:val="0"/>
          <w:bCs w:val="0"/>
        </w:rPr>
      </w:pPr>
      <w:r>
        <w:rPr>
          <w:rFonts w:hint="eastAsia" w:ascii="Times New Roman" w:hAnsi="Times New Roman" w:eastAsia="黑体"/>
          <w:b w:val="0"/>
        </w:rPr>
        <w:t>二、机</w:t>
      </w:r>
      <w:r>
        <w:rPr>
          <w:rStyle w:val="37"/>
          <w:rFonts w:hint="eastAsia" w:ascii="Times New Roman" w:hAnsi="Times New Roman" w:eastAsia="黑体"/>
          <w:b w:val="0"/>
          <w:bCs w:val="0"/>
        </w:rPr>
        <w:t>构设置</w:t>
      </w:r>
    </w:p>
    <w:p>
      <w:pPr>
        <w:pStyle w:val="5"/>
        <w:spacing w:line="240" w:lineRule="auto"/>
        <w:ind w:left="105" w:leftChars="50" w:right="105" w:rightChars="50" w:firstLine="640" w:firstLineChars="200"/>
        <w:rPr>
          <w:rFonts w:hint="eastAsia" w:ascii="仿宋_GB2312" w:hAnsi="仿宋" w:eastAsia="仿宋_GB2312"/>
          <w:b w:val="0"/>
          <w:bCs w:val="0"/>
          <w:kern w:val="2"/>
          <w:sz w:val="32"/>
          <w:szCs w:val="32"/>
        </w:rPr>
      </w:pPr>
      <w:r>
        <w:rPr>
          <w:rFonts w:hint="eastAsia" w:ascii="仿宋_GB2312" w:hAnsi="仿宋" w:eastAsia="仿宋_GB2312"/>
          <w:b w:val="0"/>
          <w:bCs w:val="0"/>
          <w:kern w:val="2"/>
          <w:sz w:val="32"/>
          <w:szCs w:val="32"/>
        </w:rPr>
        <w:t>攀枝花市公安局东区分局下设科、室、所、队19个部门，为市财政二级预算单位,执行行政事业单位会计制度。</w:t>
      </w:r>
    </w:p>
    <w:p>
      <w:pPr>
        <w:rPr>
          <w:rFonts w:hint="eastAsia" w:ascii="仿宋_GB2312" w:hAnsi="仿宋" w:eastAsia="仿宋_GB2312"/>
          <w:sz w:val="32"/>
          <w:szCs w:val="32"/>
        </w:rPr>
      </w:pPr>
    </w:p>
    <w:p>
      <w:pPr>
        <w:pStyle w:val="2"/>
        <w:rPr>
          <w:rFonts w:hint="eastAsia" w:ascii="仿宋_GB2312" w:hAnsi="仿宋" w:eastAsia="仿宋_GB2312"/>
          <w:sz w:val="32"/>
          <w:szCs w:val="32"/>
        </w:rPr>
      </w:pPr>
    </w:p>
    <w:p>
      <w:pPr>
        <w:pStyle w:val="3"/>
        <w:ind w:left="420" w:firstLine="640"/>
        <w:rPr>
          <w:rFonts w:hint="eastAsia" w:hAnsi="仿宋" w:eastAsia="仿宋_GB2312"/>
          <w:sz w:val="32"/>
        </w:rPr>
      </w:pPr>
    </w:p>
    <w:p>
      <w:pPr>
        <w:pStyle w:val="3"/>
        <w:ind w:left="420" w:firstLine="640"/>
        <w:rPr>
          <w:rFonts w:hint="eastAsia" w:hAnsi="仿宋" w:eastAsia="仿宋_GB2312"/>
          <w:sz w:val="32"/>
        </w:rPr>
      </w:pPr>
    </w:p>
    <w:p>
      <w:pPr>
        <w:pStyle w:val="5"/>
      </w:pPr>
    </w:p>
    <w:bookmarkEnd w:id="12"/>
    <w:bookmarkEnd w:id="13"/>
    <w:p>
      <w:pPr>
        <w:pStyle w:val="5"/>
        <w:jc w:val="center"/>
        <w:rPr>
          <w:rFonts w:hint="eastAsia" w:asciiTheme="minorEastAsia" w:hAnsiTheme="minorEastAsia" w:eastAsiaTheme="minorEastAsia" w:cstheme="minorEastAsia"/>
          <w:b w:val="0"/>
        </w:rPr>
      </w:pPr>
      <w:r>
        <w:rPr>
          <w:rFonts w:hint="eastAsia" w:asciiTheme="minorEastAsia" w:hAnsiTheme="minorEastAsia" w:eastAsiaTheme="minorEastAsia" w:cstheme="minorEastAsia"/>
          <w:b w:val="0"/>
        </w:rPr>
        <w:t>第二部分  2025年度部门决算情况说明</w:t>
      </w:r>
    </w:p>
    <w:p>
      <w:pPr>
        <w:numPr>
          <w:ilvl w:val="0"/>
          <w:numId w:val="0"/>
        </w:numPr>
        <w:ind w:leftChars="0"/>
        <w:rPr>
          <w:rFonts w:hint="eastAsia"/>
        </w:rPr>
      </w:pPr>
    </w:p>
    <w:p>
      <w:pPr>
        <w:pStyle w:val="27"/>
        <w:spacing w:line="600" w:lineRule="exact"/>
        <w:ind w:firstLine="640"/>
        <w:outlineLvl w:val="1"/>
        <w:rPr>
          <w:rStyle w:val="37"/>
          <w:rFonts w:ascii="Times New Roman" w:hAnsi="Times New Roman" w:eastAsia="黑体"/>
          <w:b w:val="0"/>
        </w:rPr>
      </w:pPr>
      <w:bookmarkStart w:id="15" w:name="_Toc208391989"/>
      <w:r>
        <w:rPr>
          <w:rFonts w:hint="eastAsia" w:eastAsia="黑体"/>
          <w:sz w:val="32"/>
          <w:szCs w:val="32"/>
        </w:rPr>
        <w:t>一、收</w:t>
      </w:r>
      <w:r>
        <w:rPr>
          <w:rStyle w:val="37"/>
          <w:rFonts w:hint="eastAsia" w:ascii="Times New Roman" w:hAnsi="Times New Roman" w:eastAsia="黑体"/>
          <w:b w:val="0"/>
        </w:rPr>
        <w:t>入支出决算总体情况说明</w:t>
      </w:r>
    </w:p>
    <w:p>
      <w:pPr>
        <w:snapToGrid w:val="0"/>
        <w:spacing w:line="579" w:lineRule="exact"/>
        <w:ind w:firstLine="640" w:firstLineChars="200"/>
        <w:rPr>
          <w:rFonts w:eastAsia="仿宋_GB2312" w:cs="仿宋_GB2312"/>
          <w:sz w:val="32"/>
          <w:szCs w:val="32"/>
        </w:rPr>
      </w:pPr>
      <w:r>
        <w:rPr>
          <w:rFonts w:hint="eastAsia" w:eastAsia="仿宋_GB2312" w:cs="仿宋_GB2312"/>
          <w:sz w:val="32"/>
          <w:szCs w:val="32"/>
        </w:rPr>
        <w:t>202</w:t>
      </w:r>
      <w:r>
        <w:rPr>
          <w:rFonts w:hint="eastAsia" w:eastAsia="仿宋_GB2312" w:cs="仿宋_GB2312"/>
          <w:sz w:val="32"/>
          <w:szCs w:val="32"/>
          <w:lang w:val="en-US" w:eastAsia="zh-CN"/>
        </w:rPr>
        <w:t>5</w:t>
      </w:r>
      <w:r>
        <w:rPr>
          <w:rFonts w:hint="eastAsia" w:eastAsia="仿宋_GB2312" w:cs="仿宋_GB2312"/>
          <w:sz w:val="32"/>
          <w:szCs w:val="32"/>
        </w:rPr>
        <w:t>年度收入、支出总计均为</w:t>
      </w:r>
      <w:r>
        <w:rPr>
          <w:rFonts w:hint="eastAsia" w:ascii="仿宋_GB2312" w:hAnsi="仿宋" w:eastAsia="仿宋_GB2312"/>
          <w:sz w:val="32"/>
          <w:szCs w:val="32"/>
          <w:lang w:val="en-US" w:eastAsia="zh-CN"/>
        </w:rPr>
        <w:t>16142.14</w:t>
      </w:r>
      <w:r>
        <w:rPr>
          <w:rFonts w:hint="eastAsia" w:eastAsia="仿宋_GB2312" w:cs="仿宋_GB2312"/>
          <w:sz w:val="32"/>
          <w:szCs w:val="32"/>
        </w:rPr>
        <w:t>万元。与202</w:t>
      </w:r>
      <w:r>
        <w:rPr>
          <w:rFonts w:hint="eastAsia" w:eastAsia="仿宋_GB2312" w:cs="仿宋_GB2312"/>
          <w:sz w:val="32"/>
          <w:szCs w:val="32"/>
          <w:lang w:val="en-US" w:eastAsia="zh-CN"/>
        </w:rPr>
        <w:t>4</w:t>
      </w:r>
      <w:r>
        <w:rPr>
          <w:rFonts w:hint="eastAsia" w:eastAsia="仿宋_GB2312" w:cs="仿宋_GB2312"/>
          <w:sz w:val="32"/>
          <w:szCs w:val="32"/>
        </w:rPr>
        <w:t>年度相比，收入、支出总计各</w:t>
      </w:r>
      <w:r>
        <w:rPr>
          <w:rFonts w:hint="eastAsia" w:eastAsia="仿宋_GB2312" w:cs="仿宋_GB2312"/>
          <w:sz w:val="32"/>
          <w:szCs w:val="32"/>
          <w:lang w:eastAsia="zh-CN"/>
        </w:rPr>
        <w:t>增加</w:t>
      </w:r>
      <w:r>
        <w:rPr>
          <w:rFonts w:hint="eastAsia" w:ascii="仿宋_GB2312" w:hAnsi="仿宋" w:eastAsia="仿宋_GB2312"/>
          <w:sz w:val="32"/>
          <w:szCs w:val="32"/>
          <w:lang w:val="en-US" w:eastAsia="zh-CN"/>
        </w:rPr>
        <w:t>2788.11</w:t>
      </w:r>
      <w:r>
        <w:rPr>
          <w:rFonts w:hint="eastAsia" w:eastAsia="仿宋_GB2312" w:cs="仿宋_GB2312"/>
          <w:sz w:val="32"/>
          <w:szCs w:val="32"/>
        </w:rPr>
        <w:t>万元，</w:t>
      </w:r>
      <w:r>
        <w:rPr>
          <w:rFonts w:hint="eastAsia" w:ascii="仿宋_GB2312" w:hAnsi="仿宋" w:eastAsia="仿宋_GB2312"/>
          <w:sz w:val="32"/>
          <w:szCs w:val="32"/>
          <w:lang w:val="en-US" w:eastAsia="zh-CN"/>
        </w:rPr>
        <w:t>增</w:t>
      </w:r>
      <w:r>
        <w:rPr>
          <w:rFonts w:hint="eastAsia" w:ascii="仿宋_GB2312" w:hAnsi="仿宋" w:eastAsia="仿宋_GB2312"/>
          <w:sz w:val="32"/>
          <w:szCs w:val="32"/>
        </w:rPr>
        <w:t>幅</w:t>
      </w:r>
      <w:r>
        <w:rPr>
          <w:rFonts w:hint="eastAsia" w:ascii="仿宋_GB2312" w:hAnsi="仿宋" w:eastAsia="仿宋_GB2312"/>
          <w:sz w:val="32"/>
          <w:szCs w:val="32"/>
          <w:lang w:val="en-US" w:eastAsia="zh-CN"/>
        </w:rPr>
        <w:t>20.88</w:t>
      </w:r>
      <w:r>
        <w:rPr>
          <w:rFonts w:hint="eastAsia" w:ascii="仿宋_GB2312" w:hAnsi="仿宋" w:eastAsia="仿宋_GB2312"/>
          <w:sz w:val="32"/>
          <w:szCs w:val="32"/>
        </w:rPr>
        <w:t>%</w:t>
      </w:r>
      <w:r>
        <w:rPr>
          <w:rFonts w:hint="eastAsia" w:eastAsia="仿宋_GB2312" w:cs="仿宋_GB2312"/>
          <w:sz w:val="32"/>
          <w:szCs w:val="32"/>
        </w:rPr>
        <w:t>。主要变动原因是</w:t>
      </w:r>
      <w:r>
        <w:rPr>
          <w:rFonts w:hint="eastAsia" w:ascii="仿宋_GB2312" w:hAnsi="仿宋" w:eastAsia="仿宋_GB2312"/>
          <w:sz w:val="32"/>
          <w:szCs w:val="32"/>
        </w:rPr>
        <w:t>今年</w:t>
      </w:r>
      <w:r>
        <w:rPr>
          <w:rFonts w:hint="eastAsia" w:ascii="仿宋_GB2312" w:hAnsi="仿宋" w:eastAsia="仿宋_GB2312"/>
          <w:sz w:val="32"/>
          <w:szCs w:val="32"/>
          <w:lang w:val="en-US" w:eastAsia="zh-CN"/>
        </w:rPr>
        <w:t>将东区财政局拨款纳入了决算</w:t>
      </w:r>
      <w:r>
        <w:rPr>
          <w:rFonts w:hint="eastAsia" w:eastAsia="仿宋_GB2312" w:cs="仿宋_GB2312"/>
          <w:sz w:val="32"/>
          <w:szCs w:val="32"/>
        </w:rPr>
        <w:t>。</w:t>
      </w:r>
      <w:bookmarkEnd w:id="15"/>
    </w:p>
    <w:p>
      <w:pPr>
        <w:ind w:left="105" w:leftChars="50" w:right="105" w:rightChars="50" w:firstLine="320" w:firstLineChars="100"/>
        <w:rPr>
          <w:rFonts w:eastAsia="仿宋_GB2312" w:cs="仿宋_GB2312"/>
          <w:sz w:val="32"/>
          <w:szCs w:val="32"/>
        </w:rPr>
      </w:pPr>
      <w:r>
        <w:rPr>
          <w:rFonts w:hint="eastAsia" w:eastAsia="仿宋_GB2312" w:cs="仿宋_GB2312"/>
          <w:sz w:val="32"/>
          <w:szCs w:val="32"/>
        </w:rPr>
        <w:t>（图1：收入、支出决算总计变动情况图）（柱状图）</w:t>
      </w:r>
    </w:p>
    <w:p>
      <w:pPr>
        <w:rPr>
          <w:rFonts w:hint="eastAsia"/>
        </w:rPr>
      </w:pPr>
      <w:r>
        <w:rPr>
          <w:rFonts w:hint="eastAsia"/>
        </w:rPr>
        <w:drawing>
          <wp:inline distT="0" distB="0" distL="0" distR="0">
            <wp:extent cx="4791075" cy="2962275"/>
            <wp:effectExtent l="4445" t="4445" r="5080" b="5080"/>
            <wp:docPr id="204741863" name="图表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pPr>
        <w:pStyle w:val="38"/>
      </w:pPr>
    </w:p>
    <w:p>
      <w:pPr>
        <w:pStyle w:val="27"/>
        <w:spacing w:line="600" w:lineRule="exact"/>
        <w:ind w:firstLine="640"/>
        <w:outlineLvl w:val="1"/>
        <w:rPr>
          <w:rFonts w:hint="eastAsia" w:eastAsia="黑体"/>
          <w:sz w:val="32"/>
          <w:szCs w:val="32"/>
        </w:rPr>
      </w:pPr>
    </w:p>
    <w:p>
      <w:pPr>
        <w:pStyle w:val="27"/>
        <w:spacing w:line="600" w:lineRule="exact"/>
        <w:ind w:left="0" w:leftChars="0" w:firstLine="640" w:firstLineChars="200"/>
        <w:outlineLvl w:val="1"/>
        <w:rPr>
          <w:rFonts w:eastAsia="黑体"/>
          <w:sz w:val="32"/>
          <w:szCs w:val="32"/>
        </w:rPr>
      </w:pPr>
      <w:r>
        <w:rPr>
          <w:rFonts w:hint="eastAsia" w:eastAsia="黑体"/>
          <w:sz w:val="32"/>
          <w:szCs w:val="32"/>
        </w:rPr>
        <w:t>二、收入决算情况说明</w:t>
      </w:r>
    </w:p>
    <w:p>
      <w:pPr>
        <w:widowControl w:val="0"/>
        <w:numPr>
          <w:ilvl w:val="0"/>
          <w:numId w:val="0"/>
        </w:numPr>
        <w:jc w:val="both"/>
      </w:pPr>
    </w:p>
    <w:p>
      <w:pPr>
        <w:pStyle w:val="27"/>
        <w:ind w:left="105" w:leftChars="50" w:right="105" w:rightChars="50" w:firstLine="640"/>
        <w:jc w:val="left"/>
        <w:outlineLvl w:val="1"/>
        <w:rPr>
          <w:rFonts w:eastAsia="仿宋_GB2312" w:cs="仿宋_GB2312"/>
          <w:sz w:val="32"/>
          <w:szCs w:val="32"/>
        </w:rPr>
      </w:pPr>
      <w:r>
        <w:rPr>
          <w:rFonts w:hint="eastAsia" w:ascii="仿宋_GB2312" w:hAnsi="仿宋_GB2312" w:eastAsia="仿宋_GB2312" w:cs="仿宋_GB2312"/>
          <w:sz w:val="32"/>
          <w:szCs w:val="32"/>
        </w:rPr>
        <w:t>202</w:t>
      </w:r>
      <w:r>
        <w:rPr>
          <w:rFonts w:hint="eastAsia" w:ascii="仿宋_GB2312" w:hAnsi="仿宋_GB2312" w:eastAsia="仿宋_GB2312" w:cs="仿宋_GB2312"/>
          <w:sz w:val="32"/>
          <w:szCs w:val="32"/>
          <w:lang w:val="en-US" w:eastAsia="zh-CN"/>
        </w:rPr>
        <w:t>5</w:t>
      </w:r>
      <w:r>
        <w:rPr>
          <w:rFonts w:hint="eastAsia" w:ascii="仿宋_GB2312" w:hAnsi="仿宋_GB2312" w:eastAsia="仿宋_GB2312" w:cs="仿宋_GB2312"/>
          <w:sz w:val="32"/>
          <w:szCs w:val="32"/>
        </w:rPr>
        <w:t>年度本年收入合计</w:t>
      </w:r>
      <w:r>
        <w:rPr>
          <w:rFonts w:hint="eastAsia" w:ascii="仿宋_GB2312" w:hAnsi="仿宋_GB2312" w:eastAsia="仿宋_GB2312" w:cs="仿宋_GB2312"/>
          <w:sz w:val="32"/>
          <w:szCs w:val="32"/>
          <w:lang w:val="en-US" w:eastAsia="zh-CN"/>
        </w:rPr>
        <w:t>16142.14</w:t>
      </w:r>
      <w:r>
        <w:rPr>
          <w:rFonts w:hint="eastAsia" w:ascii="仿宋_GB2312" w:hAnsi="仿宋_GB2312" w:eastAsia="仿宋_GB2312" w:cs="仿宋_GB2312"/>
          <w:sz w:val="32"/>
          <w:szCs w:val="32"/>
        </w:rPr>
        <w:t>万元，其中：一般公共预算财政拨款收入</w:t>
      </w:r>
      <w:r>
        <w:rPr>
          <w:rFonts w:hint="eastAsia" w:ascii="仿宋_GB2312" w:hAnsi="仿宋_GB2312" w:eastAsia="仿宋_GB2312" w:cs="仿宋_GB2312"/>
          <w:sz w:val="32"/>
          <w:szCs w:val="32"/>
          <w:lang w:val="en-US" w:eastAsia="zh-CN"/>
        </w:rPr>
        <w:t>16142.14</w:t>
      </w:r>
      <w:r>
        <w:rPr>
          <w:rFonts w:hint="eastAsia" w:ascii="仿宋_GB2312" w:hAnsi="仿宋_GB2312" w:eastAsia="仿宋_GB2312" w:cs="仿宋_GB2312"/>
          <w:sz w:val="32"/>
          <w:szCs w:val="32"/>
        </w:rPr>
        <w:t>万元，占100%。</w:t>
      </w:r>
    </w:p>
    <w:p>
      <w:pPr>
        <w:ind w:right="105" w:rightChars="50" w:firstLine="960" w:firstLineChars="300"/>
        <w:rPr>
          <w:rFonts w:hint="eastAsia" w:eastAsia="仿宋_GB2312" w:cs="仿宋_GB2312"/>
          <w:sz w:val="32"/>
          <w:szCs w:val="32"/>
        </w:rPr>
      </w:pPr>
    </w:p>
    <w:p>
      <w:pPr>
        <w:ind w:right="105" w:rightChars="50" w:firstLine="960" w:firstLineChars="300"/>
        <w:rPr>
          <w:rFonts w:eastAsia="仿宋_GB2312" w:cs="仿宋_GB2312"/>
          <w:sz w:val="32"/>
          <w:szCs w:val="32"/>
        </w:rPr>
      </w:pPr>
      <w:r>
        <w:rPr>
          <w:rFonts w:hint="eastAsia" w:eastAsia="仿宋_GB2312" w:cs="仿宋_GB2312"/>
          <w:sz w:val="32"/>
          <w:szCs w:val="32"/>
        </w:rPr>
        <w:t>（图2：收入决算结构图）（饼状图）</w:t>
      </w:r>
    </w:p>
    <w:p>
      <w:pPr>
        <w:pStyle w:val="38"/>
        <w:rPr>
          <w:rFonts w:hint="eastAsia" w:ascii="仿宋" w:hAnsi="仿宋" w:eastAsia="仿宋"/>
          <w:sz w:val="32"/>
          <w:szCs w:val="32"/>
        </w:rPr>
      </w:pPr>
      <w:r>
        <w:rPr>
          <w:rFonts w:hint="eastAsia" w:ascii="仿宋" w:hAnsi="仿宋" w:eastAsia="仿宋"/>
          <w:sz w:val="32"/>
          <w:szCs w:val="32"/>
        </w:rPr>
        <w:drawing>
          <wp:inline distT="0" distB="0" distL="114300" distR="114300">
            <wp:extent cx="3401695" cy="2343785"/>
            <wp:effectExtent l="4445" t="4445" r="22860" b="13970"/>
            <wp:docPr id="4" name="图表 4"/>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p>
      <w:pPr>
        <w:pStyle w:val="27"/>
        <w:spacing w:line="600" w:lineRule="exact"/>
        <w:ind w:firstLine="640"/>
        <w:outlineLvl w:val="1"/>
        <w:rPr>
          <w:rStyle w:val="37"/>
          <w:rFonts w:ascii="Times New Roman" w:hAnsi="Times New Roman" w:eastAsia="黑体"/>
          <w:b w:val="0"/>
        </w:rPr>
      </w:pPr>
      <w:r>
        <w:rPr>
          <w:rFonts w:hint="eastAsia" w:eastAsia="黑体"/>
          <w:sz w:val="32"/>
          <w:szCs w:val="32"/>
        </w:rPr>
        <w:t>三、支</w:t>
      </w:r>
      <w:r>
        <w:rPr>
          <w:rStyle w:val="37"/>
          <w:rFonts w:hint="eastAsia" w:ascii="Times New Roman" w:hAnsi="Times New Roman" w:eastAsia="黑体"/>
          <w:b w:val="0"/>
        </w:rPr>
        <w:t>出决算情况说明</w:t>
      </w:r>
    </w:p>
    <w:p>
      <w:pPr>
        <w:widowControl w:val="0"/>
        <w:numPr>
          <w:ilvl w:val="0"/>
          <w:numId w:val="0"/>
        </w:numPr>
        <w:jc w:val="both"/>
      </w:pPr>
    </w:p>
    <w:p>
      <w:pPr>
        <w:pStyle w:val="38"/>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202</w:t>
      </w:r>
      <w:r>
        <w:rPr>
          <w:rFonts w:hint="eastAsia" w:ascii="仿宋_GB2312" w:hAnsi="仿宋_GB2312" w:eastAsia="仿宋_GB2312" w:cs="仿宋_GB2312"/>
          <w:sz w:val="32"/>
          <w:szCs w:val="32"/>
          <w:lang w:val="en-US" w:eastAsia="zh-CN"/>
        </w:rPr>
        <w:t>5</w:t>
      </w:r>
      <w:r>
        <w:rPr>
          <w:rFonts w:hint="eastAsia" w:ascii="仿宋_GB2312" w:hAnsi="仿宋_GB2312" w:eastAsia="仿宋_GB2312" w:cs="仿宋_GB2312"/>
          <w:sz w:val="32"/>
          <w:szCs w:val="32"/>
        </w:rPr>
        <w:t>年度本年支出合计</w:t>
      </w:r>
      <w:r>
        <w:rPr>
          <w:rFonts w:hint="eastAsia" w:ascii="仿宋_GB2312" w:hAnsi="仿宋_GB2312" w:eastAsia="仿宋_GB2312" w:cs="仿宋_GB2312"/>
          <w:sz w:val="32"/>
          <w:szCs w:val="32"/>
          <w:lang w:val="en-US" w:eastAsia="zh-CN"/>
        </w:rPr>
        <w:t>16142.14</w:t>
      </w:r>
      <w:r>
        <w:rPr>
          <w:rFonts w:hint="eastAsia" w:ascii="仿宋_GB2312" w:hAnsi="仿宋_GB2312" w:eastAsia="仿宋_GB2312" w:cs="仿宋_GB2312"/>
          <w:sz w:val="32"/>
          <w:szCs w:val="32"/>
        </w:rPr>
        <w:t>万元，其中：基本支出</w:t>
      </w:r>
      <w:r>
        <w:rPr>
          <w:rFonts w:hint="eastAsia" w:ascii="仿宋_GB2312" w:hAnsi="仿宋_GB2312" w:eastAsia="仿宋_GB2312" w:cs="仿宋_GB2312"/>
          <w:sz w:val="32"/>
          <w:szCs w:val="32"/>
          <w:lang w:val="en-US" w:eastAsia="zh-CN"/>
        </w:rPr>
        <w:t>14315.9</w:t>
      </w:r>
      <w:r>
        <w:rPr>
          <w:rFonts w:hint="eastAsia" w:ascii="仿宋_GB2312" w:hAnsi="仿宋_GB2312" w:eastAsia="仿宋_GB2312" w:cs="仿宋_GB2312"/>
          <w:sz w:val="32"/>
          <w:szCs w:val="32"/>
        </w:rPr>
        <w:t>万元，占</w:t>
      </w:r>
      <w:r>
        <w:rPr>
          <w:rFonts w:hint="eastAsia" w:ascii="仿宋_GB2312" w:hAnsi="仿宋_GB2312" w:eastAsia="仿宋_GB2312" w:cs="仿宋_GB2312"/>
          <w:sz w:val="32"/>
          <w:szCs w:val="32"/>
          <w:lang w:val="en-US" w:eastAsia="zh-CN"/>
        </w:rPr>
        <w:t>88.68</w:t>
      </w:r>
      <w:r>
        <w:rPr>
          <w:rFonts w:hint="eastAsia" w:ascii="仿宋_GB2312" w:hAnsi="仿宋_GB2312" w:eastAsia="仿宋_GB2312" w:cs="仿宋_GB2312"/>
          <w:sz w:val="32"/>
          <w:szCs w:val="32"/>
        </w:rPr>
        <w:t>%；项目支出</w:t>
      </w:r>
      <w:r>
        <w:rPr>
          <w:rFonts w:hint="eastAsia" w:ascii="仿宋_GB2312" w:hAnsi="仿宋_GB2312" w:eastAsia="仿宋_GB2312" w:cs="仿宋_GB2312"/>
          <w:sz w:val="32"/>
          <w:szCs w:val="32"/>
          <w:lang w:val="en-US" w:eastAsia="zh-CN"/>
        </w:rPr>
        <w:t>1826.24</w:t>
      </w:r>
      <w:r>
        <w:rPr>
          <w:rFonts w:hint="eastAsia" w:ascii="仿宋_GB2312" w:hAnsi="仿宋_GB2312" w:eastAsia="仿宋_GB2312" w:cs="仿宋_GB2312"/>
          <w:sz w:val="32"/>
          <w:szCs w:val="32"/>
        </w:rPr>
        <w:t>万元，占</w:t>
      </w:r>
      <w:r>
        <w:rPr>
          <w:rFonts w:hint="eastAsia" w:ascii="仿宋_GB2312" w:hAnsi="仿宋_GB2312" w:eastAsia="仿宋_GB2312" w:cs="仿宋_GB2312"/>
          <w:sz w:val="32"/>
          <w:szCs w:val="32"/>
          <w:lang w:val="en-US" w:eastAsia="zh-CN"/>
        </w:rPr>
        <w:t>11.32</w:t>
      </w:r>
      <w:r>
        <w:rPr>
          <w:rFonts w:hint="eastAsia" w:ascii="仿宋_GB2312" w:hAnsi="仿宋_GB2312" w:eastAsia="仿宋_GB2312" w:cs="仿宋_GB2312"/>
          <w:sz w:val="32"/>
          <w:szCs w:val="32"/>
        </w:rPr>
        <w:t>%。</w:t>
      </w:r>
    </w:p>
    <w:p>
      <w:pPr>
        <w:ind w:firstLine="1280" w:firstLineChars="400"/>
      </w:pPr>
      <w:r>
        <w:rPr>
          <w:rFonts w:hint="eastAsia" w:eastAsia="仿宋_GB2312" w:cs="仿宋_GB2312"/>
          <w:sz w:val="32"/>
          <w:szCs w:val="32"/>
        </w:rPr>
        <w:t>（图3：支出决算结构图）（饼状图）</w:t>
      </w:r>
    </w:p>
    <w:p>
      <w:r>
        <w:rPr>
          <w:rFonts w:hint="eastAsia"/>
        </w:rPr>
        <w:drawing>
          <wp:inline distT="0" distB="0" distL="0" distR="0">
            <wp:extent cx="3735705" cy="2687320"/>
            <wp:effectExtent l="4445" t="4445" r="12700" b="13335"/>
            <wp:docPr id="5" name="图表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pPr>
        <w:spacing w:line="600" w:lineRule="exact"/>
        <w:ind w:firstLine="640" w:firstLineChars="200"/>
        <w:outlineLvl w:val="1"/>
        <w:rPr>
          <w:rStyle w:val="37"/>
          <w:rFonts w:ascii="Times New Roman" w:hAnsi="Times New Roman" w:eastAsia="黑体"/>
          <w:b w:val="0"/>
        </w:rPr>
      </w:pPr>
      <w:r>
        <w:rPr>
          <w:rFonts w:hint="eastAsia" w:eastAsia="黑体"/>
          <w:sz w:val="32"/>
          <w:szCs w:val="32"/>
        </w:rPr>
        <w:t>四、财</w:t>
      </w:r>
      <w:r>
        <w:rPr>
          <w:rStyle w:val="37"/>
          <w:rFonts w:hint="eastAsia" w:ascii="Times New Roman" w:hAnsi="Times New Roman" w:eastAsia="黑体"/>
          <w:b w:val="0"/>
        </w:rPr>
        <w:t>政拨款收入支出决算总体情况说明</w:t>
      </w:r>
    </w:p>
    <w:p>
      <w:pPr>
        <w:ind w:left="105" w:leftChars="50" w:right="105" w:rightChars="50" w:firstLine="640" w:firstLineChars="200"/>
        <w:rPr>
          <w:rFonts w:eastAsia="仿宋_GB2312" w:cs="仿宋_GB2312"/>
          <w:sz w:val="32"/>
          <w:szCs w:val="32"/>
        </w:rPr>
      </w:pPr>
      <w:r>
        <w:rPr>
          <w:rFonts w:hint="eastAsia" w:eastAsia="仿宋_GB2312" w:cs="仿宋_GB2312"/>
          <w:sz w:val="32"/>
          <w:szCs w:val="32"/>
        </w:rPr>
        <w:t>202</w:t>
      </w:r>
      <w:r>
        <w:rPr>
          <w:rFonts w:hint="eastAsia" w:eastAsia="仿宋_GB2312" w:cs="仿宋_GB2312"/>
          <w:sz w:val="32"/>
          <w:szCs w:val="32"/>
          <w:lang w:val="en-US" w:eastAsia="zh-CN"/>
        </w:rPr>
        <w:t>5</w:t>
      </w:r>
      <w:r>
        <w:rPr>
          <w:rFonts w:hint="eastAsia" w:eastAsia="仿宋_GB2312" w:cs="仿宋_GB2312"/>
          <w:sz w:val="32"/>
          <w:szCs w:val="32"/>
        </w:rPr>
        <w:t>年度财政拨款收入、支出总计均为</w:t>
      </w:r>
      <w:r>
        <w:rPr>
          <w:rFonts w:hint="eastAsia" w:ascii="仿宋_GB2312" w:hAnsi="仿宋_GB2312" w:eastAsia="仿宋_GB2312" w:cs="仿宋_GB2312"/>
          <w:sz w:val="32"/>
          <w:szCs w:val="32"/>
          <w:lang w:val="en-US" w:eastAsia="zh-CN"/>
        </w:rPr>
        <w:t>16142.14</w:t>
      </w:r>
      <w:r>
        <w:rPr>
          <w:rFonts w:hint="eastAsia" w:eastAsia="仿宋_GB2312" w:cs="仿宋_GB2312"/>
          <w:sz w:val="32"/>
          <w:szCs w:val="32"/>
        </w:rPr>
        <w:t>万元。与202</w:t>
      </w:r>
      <w:r>
        <w:rPr>
          <w:rFonts w:hint="eastAsia" w:eastAsia="仿宋_GB2312" w:cs="仿宋_GB2312"/>
          <w:sz w:val="32"/>
          <w:szCs w:val="32"/>
          <w:lang w:val="en-US" w:eastAsia="zh-CN"/>
        </w:rPr>
        <w:t>4</w:t>
      </w:r>
      <w:r>
        <w:rPr>
          <w:rFonts w:hint="eastAsia" w:eastAsia="仿宋_GB2312" w:cs="仿宋_GB2312"/>
          <w:sz w:val="32"/>
          <w:szCs w:val="32"/>
        </w:rPr>
        <w:t>年度相比，财政拨款收入总计、支出总计各减少</w:t>
      </w:r>
      <w:r>
        <w:rPr>
          <w:rFonts w:hint="eastAsia" w:eastAsia="仿宋_GB2312" w:cs="仿宋_GB2312"/>
          <w:sz w:val="32"/>
          <w:szCs w:val="32"/>
          <w:lang w:eastAsia="zh-CN"/>
        </w:rPr>
        <w:t>增加</w:t>
      </w:r>
      <w:r>
        <w:rPr>
          <w:rFonts w:hint="eastAsia" w:eastAsia="仿宋_GB2312" w:cs="仿宋_GB2312"/>
          <w:sz w:val="32"/>
          <w:szCs w:val="32"/>
          <w:lang w:val="en-US" w:eastAsia="zh-CN"/>
        </w:rPr>
        <w:t>2788.11</w:t>
      </w:r>
      <w:r>
        <w:rPr>
          <w:rFonts w:hint="eastAsia" w:eastAsia="仿宋_GB2312" w:cs="仿宋_GB2312"/>
          <w:sz w:val="32"/>
          <w:szCs w:val="32"/>
        </w:rPr>
        <w:t>万元，</w:t>
      </w:r>
      <w:r>
        <w:rPr>
          <w:rFonts w:hint="eastAsia" w:eastAsia="仿宋_GB2312" w:cs="仿宋_GB2312"/>
          <w:sz w:val="32"/>
          <w:szCs w:val="32"/>
          <w:lang w:eastAsia="zh-CN"/>
        </w:rPr>
        <w:t>增幅</w:t>
      </w:r>
      <w:r>
        <w:rPr>
          <w:rFonts w:hint="eastAsia" w:eastAsia="仿宋_GB2312" w:cs="仿宋_GB2312"/>
          <w:sz w:val="32"/>
          <w:szCs w:val="32"/>
          <w:lang w:val="en-US" w:eastAsia="zh-CN"/>
        </w:rPr>
        <w:t>20.88</w:t>
      </w:r>
      <w:r>
        <w:rPr>
          <w:rFonts w:hint="eastAsia" w:eastAsia="仿宋_GB2312" w:cs="仿宋_GB2312"/>
          <w:sz w:val="32"/>
          <w:szCs w:val="32"/>
        </w:rPr>
        <w:t>%。主要变动原因是</w:t>
      </w:r>
      <w:r>
        <w:rPr>
          <w:rFonts w:hint="eastAsia" w:ascii="仿宋_GB2312" w:hAnsi="仿宋" w:eastAsia="仿宋_GB2312"/>
          <w:sz w:val="32"/>
          <w:szCs w:val="32"/>
        </w:rPr>
        <w:t>今年</w:t>
      </w:r>
      <w:r>
        <w:rPr>
          <w:rFonts w:hint="eastAsia" w:ascii="仿宋_GB2312" w:hAnsi="仿宋" w:eastAsia="仿宋_GB2312"/>
          <w:sz w:val="32"/>
          <w:szCs w:val="32"/>
          <w:lang w:val="en-US" w:eastAsia="zh-CN"/>
        </w:rPr>
        <w:t>将东区财政局拨款纳入了决算</w:t>
      </w:r>
      <w:r>
        <w:rPr>
          <w:rFonts w:hint="eastAsia" w:eastAsia="仿宋_GB2312" w:cs="仿宋_GB2312"/>
          <w:sz w:val="32"/>
          <w:szCs w:val="32"/>
        </w:rPr>
        <w:t>。</w:t>
      </w:r>
    </w:p>
    <w:p>
      <w:pPr>
        <w:ind w:left="105" w:leftChars="50" w:right="105" w:rightChars="50"/>
        <w:rPr>
          <w:rFonts w:eastAsia="仿宋_GB2312" w:cs="仿宋_GB2312"/>
          <w:sz w:val="32"/>
          <w:szCs w:val="32"/>
        </w:rPr>
      </w:pPr>
      <w:r>
        <w:rPr>
          <w:rFonts w:hint="eastAsia" w:eastAsia="仿宋_GB2312" w:cs="仿宋_GB2312"/>
          <w:sz w:val="32"/>
          <w:szCs w:val="32"/>
        </w:rPr>
        <w:t>（图4：财政拨款收、支决算总计变动情况）（柱状图）</w:t>
      </w:r>
    </w:p>
    <w:p>
      <w:pPr>
        <w:widowControl w:val="0"/>
        <w:numPr>
          <w:ilvl w:val="0"/>
          <w:numId w:val="0"/>
        </w:numPr>
        <w:jc w:val="both"/>
      </w:pPr>
    </w:p>
    <w:p>
      <w:pPr>
        <w:pStyle w:val="38"/>
      </w:pPr>
    </w:p>
    <w:p>
      <w:r>
        <w:drawing>
          <wp:inline distT="0" distB="0" distL="0" distR="0">
            <wp:extent cx="4962525" cy="2943225"/>
            <wp:effectExtent l="4445" t="4445" r="5080" b="5080"/>
            <wp:docPr id="6" name="图表 6"/>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pPr>
        <w:pStyle w:val="38"/>
      </w:pPr>
    </w:p>
    <w:p>
      <w:pPr>
        <w:spacing w:line="600" w:lineRule="exact"/>
        <w:ind w:firstLine="640" w:firstLineChars="200"/>
        <w:outlineLvl w:val="1"/>
        <w:rPr>
          <w:rStyle w:val="37"/>
          <w:rFonts w:ascii="Times New Roman" w:hAnsi="Times New Roman" w:eastAsia="黑体"/>
          <w:b w:val="0"/>
        </w:rPr>
      </w:pPr>
      <w:r>
        <w:rPr>
          <w:rFonts w:hint="eastAsia" w:eastAsia="黑体"/>
          <w:sz w:val="32"/>
          <w:szCs w:val="32"/>
        </w:rPr>
        <w:t>五、</w:t>
      </w:r>
      <w:r>
        <w:rPr>
          <w:rFonts w:hint="eastAsia" w:eastAsia="黑体"/>
          <w:b/>
          <w:sz w:val="32"/>
          <w:szCs w:val="32"/>
        </w:rPr>
        <w:t>一</w:t>
      </w:r>
      <w:r>
        <w:rPr>
          <w:rStyle w:val="37"/>
          <w:rFonts w:hint="eastAsia" w:ascii="Times New Roman" w:hAnsi="Times New Roman" w:eastAsia="黑体"/>
          <w:b w:val="0"/>
        </w:rPr>
        <w:t>般公共预算财政拨款支出决算情况说明</w:t>
      </w:r>
    </w:p>
    <w:p>
      <w:pPr>
        <w:widowControl w:val="0"/>
        <w:numPr>
          <w:ilvl w:val="0"/>
          <w:numId w:val="0"/>
        </w:numPr>
        <w:jc w:val="both"/>
      </w:pPr>
    </w:p>
    <w:p>
      <w:pPr>
        <w:spacing w:line="600" w:lineRule="exact"/>
        <w:ind w:firstLine="643" w:firstLineChars="200"/>
        <w:outlineLvl w:val="2"/>
        <w:rPr>
          <w:rFonts w:eastAsia="楷体_GB2312" w:cs="楷体_GB2312"/>
          <w:b/>
          <w:sz w:val="32"/>
          <w:szCs w:val="32"/>
        </w:rPr>
      </w:pPr>
      <w:r>
        <w:rPr>
          <w:rFonts w:hint="eastAsia" w:eastAsia="楷体_GB2312" w:cs="楷体_GB2312"/>
          <w:b/>
          <w:sz w:val="32"/>
          <w:szCs w:val="32"/>
        </w:rPr>
        <w:t>（一）一般公共预算财政拨款支出决算总体情况</w:t>
      </w:r>
    </w:p>
    <w:p>
      <w:pPr>
        <w:ind w:left="105" w:leftChars="50" w:right="105" w:rightChars="50" w:firstLine="640" w:firstLineChars="200"/>
        <w:rPr>
          <w:rFonts w:eastAsia="仿宋_GB2312" w:cs="仿宋_GB2312"/>
          <w:sz w:val="32"/>
          <w:szCs w:val="32"/>
        </w:rPr>
      </w:pPr>
      <w:r>
        <w:rPr>
          <w:rFonts w:hint="eastAsia" w:ascii="仿宋_GB2312" w:hAnsi="仿宋_GB2312" w:eastAsia="仿宋_GB2312" w:cs="仿宋_GB2312"/>
          <w:sz w:val="32"/>
          <w:szCs w:val="32"/>
        </w:rPr>
        <w:t>202</w:t>
      </w:r>
      <w:r>
        <w:rPr>
          <w:rFonts w:hint="eastAsia" w:ascii="仿宋_GB2312" w:hAnsi="仿宋_GB2312" w:eastAsia="仿宋_GB2312" w:cs="仿宋_GB2312"/>
          <w:sz w:val="32"/>
          <w:szCs w:val="32"/>
          <w:lang w:val="en-US" w:eastAsia="zh-CN"/>
        </w:rPr>
        <w:t>5</w:t>
      </w:r>
      <w:r>
        <w:rPr>
          <w:rFonts w:hint="eastAsia" w:ascii="仿宋_GB2312" w:hAnsi="仿宋_GB2312" w:eastAsia="仿宋_GB2312" w:cs="仿宋_GB2312"/>
          <w:sz w:val="32"/>
          <w:szCs w:val="32"/>
        </w:rPr>
        <w:t>年度一般公共预算财政拨款支出</w:t>
      </w:r>
      <w:r>
        <w:rPr>
          <w:rFonts w:hint="eastAsia" w:ascii="仿宋_GB2312" w:hAnsi="仿宋_GB2312" w:eastAsia="仿宋_GB2312" w:cs="仿宋_GB2312"/>
          <w:sz w:val="32"/>
          <w:szCs w:val="32"/>
          <w:lang w:val="en-US" w:eastAsia="zh-CN"/>
        </w:rPr>
        <w:t>16142.14</w:t>
      </w:r>
      <w:r>
        <w:rPr>
          <w:rFonts w:hint="eastAsia" w:ascii="仿宋_GB2312" w:hAnsi="仿宋_GB2312" w:eastAsia="仿宋_GB2312" w:cs="仿宋_GB2312"/>
          <w:sz w:val="32"/>
          <w:szCs w:val="32"/>
        </w:rPr>
        <w:t>万元，占本年支出合计的100%。与202</w:t>
      </w:r>
      <w:r>
        <w:rPr>
          <w:rFonts w:hint="eastAsia" w:ascii="仿宋_GB2312" w:hAnsi="仿宋_GB2312" w:eastAsia="仿宋_GB2312" w:cs="仿宋_GB2312"/>
          <w:sz w:val="32"/>
          <w:szCs w:val="32"/>
          <w:lang w:val="en-US" w:eastAsia="zh-CN"/>
        </w:rPr>
        <w:t>4</w:t>
      </w:r>
      <w:r>
        <w:rPr>
          <w:rFonts w:hint="eastAsia" w:ascii="仿宋_GB2312" w:hAnsi="仿宋_GB2312" w:eastAsia="仿宋_GB2312" w:cs="仿宋_GB2312"/>
          <w:sz w:val="32"/>
          <w:szCs w:val="32"/>
        </w:rPr>
        <w:t>年度相比，一般公共预算财政拨款支出</w:t>
      </w:r>
      <w:r>
        <w:rPr>
          <w:rFonts w:hint="eastAsia" w:ascii="仿宋_GB2312" w:hAnsi="仿宋_GB2312" w:eastAsia="仿宋_GB2312" w:cs="仿宋_GB2312"/>
          <w:sz w:val="32"/>
          <w:szCs w:val="32"/>
          <w:lang w:eastAsia="zh-CN"/>
        </w:rPr>
        <w:t>增加</w:t>
      </w:r>
      <w:r>
        <w:rPr>
          <w:rFonts w:hint="eastAsia" w:ascii="仿宋_GB2312" w:hAnsi="仿宋_GB2312" w:eastAsia="仿宋_GB2312" w:cs="仿宋_GB2312"/>
          <w:sz w:val="32"/>
          <w:szCs w:val="32"/>
          <w:lang w:val="en-US" w:eastAsia="zh-CN"/>
        </w:rPr>
        <w:t>2788.11</w:t>
      </w:r>
      <w:r>
        <w:rPr>
          <w:rFonts w:hint="eastAsia" w:ascii="仿宋_GB2312" w:hAnsi="仿宋_GB2312" w:eastAsia="仿宋_GB2312" w:cs="仿宋_GB2312"/>
          <w:sz w:val="32"/>
          <w:szCs w:val="32"/>
        </w:rPr>
        <w:t>万元，</w:t>
      </w:r>
      <w:r>
        <w:rPr>
          <w:rFonts w:hint="eastAsia" w:ascii="仿宋_GB2312" w:hAnsi="仿宋_GB2312" w:eastAsia="仿宋_GB2312" w:cs="仿宋_GB2312"/>
          <w:sz w:val="32"/>
          <w:szCs w:val="32"/>
          <w:lang w:eastAsia="zh-CN"/>
        </w:rPr>
        <w:t>增幅</w:t>
      </w:r>
      <w:r>
        <w:rPr>
          <w:rFonts w:hint="eastAsia" w:ascii="仿宋_GB2312" w:hAnsi="仿宋_GB2312" w:eastAsia="仿宋_GB2312" w:cs="仿宋_GB2312"/>
          <w:sz w:val="32"/>
          <w:szCs w:val="32"/>
          <w:lang w:val="en-US" w:eastAsia="zh-CN"/>
        </w:rPr>
        <w:t>20.88</w:t>
      </w:r>
      <w:r>
        <w:rPr>
          <w:rFonts w:hint="eastAsia" w:ascii="仿宋_GB2312" w:hAnsi="仿宋_GB2312" w:eastAsia="仿宋_GB2312" w:cs="仿宋_GB2312"/>
          <w:sz w:val="32"/>
          <w:szCs w:val="32"/>
        </w:rPr>
        <w:t>%。主要变动原因是</w:t>
      </w:r>
      <w:r>
        <w:rPr>
          <w:rFonts w:hint="eastAsia" w:ascii="仿宋_GB2312" w:hAnsi="仿宋" w:eastAsia="仿宋_GB2312"/>
          <w:sz w:val="32"/>
          <w:szCs w:val="32"/>
        </w:rPr>
        <w:t>今年</w:t>
      </w:r>
      <w:r>
        <w:rPr>
          <w:rFonts w:hint="eastAsia" w:ascii="仿宋_GB2312" w:hAnsi="仿宋" w:eastAsia="仿宋_GB2312"/>
          <w:sz w:val="32"/>
          <w:szCs w:val="32"/>
          <w:lang w:val="en-US" w:eastAsia="zh-CN"/>
        </w:rPr>
        <w:t>将东区财政局拨款纳入了决算</w:t>
      </w:r>
      <w:r>
        <w:rPr>
          <w:rFonts w:hint="eastAsia" w:eastAsia="仿宋_GB2312" w:cs="仿宋_GB2312"/>
          <w:sz w:val="32"/>
          <w:szCs w:val="32"/>
        </w:rPr>
        <w:t>。</w:t>
      </w:r>
    </w:p>
    <w:p>
      <w:pPr>
        <w:ind w:left="3305" w:leftChars="50" w:right="105" w:rightChars="50" w:hanging="3200" w:hangingChars="1000"/>
      </w:pPr>
      <w:r>
        <w:rPr>
          <w:rFonts w:hint="eastAsia" w:eastAsia="仿宋_GB2312" w:cs="仿宋_GB2312"/>
          <w:sz w:val="32"/>
          <w:szCs w:val="32"/>
        </w:rPr>
        <w:t>（图5：一般公共预算财政拨款支出决算变动情况）</w:t>
      </w:r>
      <w:r>
        <w:rPr>
          <w:rFonts w:hint="eastAsia" w:eastAsia="仿宋_GB2312" w:cs="仿宋_GB2312"/>
          <w:sz w:val="32"/>
          <w:szCs w:val="32"/>
          <w:lang w:val="en-US" w:eastAsia="zh-CN"/>
        </w:rPr>
        <w:t xml:space="preserve">     </w:t>
      </w:r>
      <w:r>
        <w:rPr>
          <w:rFonts w:hint="eastAsia" w:eastAsia="仿宋_GB2312" w:cs="仿宋_GB2312"/>
          <w:sz w:val="32"/>
          <w:szCs w:val="32"/>
        </w:rPr>
        <w:t>（柱状图）</w:t>
      </w:r>
    </w:p>
    <w:p>
      <w:pPr>
        <w:pStyle w:val="2"/>
        <w:ind w:left="105" w:leftChars="50" w:right="105" w:rightChars="50"/>
      </w:pPr>
    </w:p>
    <w:p>
      <w:pPr>
        <w:pStyle w:val="38"/>
      </w:pPr>
      <w:r>
        <w:drawing>
          <wp:inline distT="0" distB="0" distL="0" distR="0">
            <wp:extent cx="4391660" cy="3028950"/>
            <wp:effectExtent l="4445" t="5080" r="23495" b="13970"/>
            <wp:docPr id="7" name="图表 9"/>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pPr>
        <w:spacing w:line="600" w:lineRule="exact"/>
        <w:ind w:firstLine="643" w:firstLineChars="200"/>
        <w:outlineLvl w:val="2"/>
        <w:rPr>
          <w:rFonts w:eastAsia="楷体_GB2312" w:cs="楷体_GB2312"/>
          <w:b/>
          <w:sz w:val="32"/>
          <w:szCs w:val="32"/>
        </w:rPr>
      </w:pPr>
      <w:r>
        <w:rPr>
          <w:rFonts w:hint="eastAsia" w:eastAsia="楷体_GB2312" w:cs="楷体_GB2312"/>
          <w:b/>
          <w:sz w:val="32"/>
          <w:szCs w:val="32"/>
        </w:rPr>
        <w:t>（二）一般公共预算财政拨款支出决算结构情况</w:t>
      </w:r>
    </w:p>
    <w:p/>
    <w:p>
      <w:pPr>
        <w:spacing w:line="600" w:lineRule="exact"/>
        <w:ind w:firstLine="640"/>
        <w:rPr>
          <w:rFonts w:hint="eastAsia" w:eastAsia="仿宋_GB2312" w:cs="仿宋_GB2312"/>
          <w:sz w:val="32"/>
          <w:szCs w:val="32"/>
        </w:rPr>
      </w:pPr>
      <w:r>
        <w:rPr>
          <w:rFonts w:hint="eastAsia" w:eastAsia="仿宋_GB2312" w:cs="仿宋_GB2312"/>
          <w:sz w:val="32"/>
          <w:szCs w:val="32"/>
        </w:rPr>
        <w:t>202</w:t>
      </w:r>
      <w:r>
        <w:rPr>
          <w:rFonts w:hint="eastAsia" w:eastAsia="仿宋_GB2312" w:cs="仿宋_GB2312"/>
          <w:sz w:val="32"/>
          <w:szCs w:val="32"/>
          <w:lang w:val="en-US" w:eastAsia="zh-CN"/>
        </w:rPr>
        <w:t>5</w:t>
      </w:r>
      <w:r>
        <w:rPr>
          <w:rFonts w:hint="eastAsia" w:eastAsia="仿宋_GB2312" w:cs="仿宋_GB2312"/>
          <w:sz w:val="32"/>
          <w:szCs w:val="32"/>
        </w:rPr>
        <w:t>年度一般公共预算财政拨款支出</w:t>
      </w:r>
      <w:r>
        <w:rPr>
          <w:rFonts w:hint="eastAsia" w:ascii="仿宋_GB2312" w:hAnsi="仿宋_GB2312" w:eastAsia="仿宋_GB2312" w:cs="仿宋_GB2312"/>
          <w:sz w:val="32"/>
          <w:szCs w:val="32"/>
          <w:lang w:val="en-US" w:eastAsia="zh-CN"/>
        </w:rPr>
        <w:t>16142.14</w:t>
      </w:r>
      <w:r>
        <w:rPr>
          <w:rFonts w:hint="eastAsia" w:ascii="仿宋_GB2312" w:hAnsi="仿宋_GB2312" w:eastAsia="仿宋_GB2312" w:cs="仿宋_GB2312"/>
          <w:sz w:val="32"/>
          <w:szCs w:val="32"/>
        </w:rPr>
        <w:t>万元</w:t>
      </w:r>
      <w:r>
        <w:rPr>
          <w:rFonts w:hint="eastAsia" w:eastAsia="仿宋_GB2312" w:cs="仿宋_GB2312"/>
          <w:sz w:val="32"/>
          <w:szCs w:val="32"/>
        </w:rPr>
        <w:t>，主要用于以下方面：一般公共服务支出</w:t>
      </w:r>
      <w:r>
        <w:rPr>
          <w:rFonts w:hint="eastAsia" w:eastAsia="仿宋_GB2312" w:cs="仿宋_GB2312"/>
          <w:sz w:val="32"/>
          <w:szCs w:val="32"/>
          <w:lang w:val="en-US" w:eastAsia="zh-CN"/>
        </w:rPr>
        <w:t>3.21</w:t>
      </w:r>
      <w:r>
        <w:rPr>
          <w:rFonts w:hint="eastAsia" w:eastAsia="仿宋_GB2312" w:cs="仿宋_GB2312"/>
          <w:sz w:val="32"/>
          <w:szCs w:val="32"/>
        </w:rPr>
        <w:t>万元，占</w:t>
      </w:r>
      <w:r>
        <w:rPr>
          <w:rFonts w:hint="eastAsia" w:eastAsia="仿宋_GB2312" w:cs="仿宋_GB2312"/>
          <w:sz w:val="32"/>
          <w:szCs w:val="32"/>
          <w:lang w:val="en-US" w:eastAsia="zh-CN"/>
        </w:rPr>
        <w:t>0.01</w:t>
      </w:r>
      <w:r>
        <w:rPr>
          <w:rFonts w:hint="eastAsia" w:eastAsia="仿宋_GB2312" w:cs="仿宋_GB2312"/>
          <w:sz w:val="32"/>
          <w:szCs w:val="32"/>
        </w:rPr>
        <w:t>%；公共安全支出</w:t>
      </w:r>
      <w:r>
        <w:rPr>
          <w:rFonts w:hint="eastAsia" w:eastAsia="仿宋_GB2312" w:cs="仿宋_GB2312"/>
          <w:sz w:val="32"/>
          <w:szCs w:val="32"/>
          <w:lang w:val="en-US" w:eastAsia="zh-CN"/>
        </w:rPr>
        <w:t>12332.95</w:t>
      </w:r>
      <w:r>
        <w:rPr>
          <w:rFonts w:hint="eastAsia" w:eastAsia="仿宋_GB2312" w:cs="仿宋_GB2312"/>
          <w:sz w:val="32"/>
          <w:szCs w:val="32"/>
        </w:rPr>
        <w:t>万元，占7</w:t>
      </w:r>
      <w:r>
        <w:rPr>
          <w:rFonts w:hint="eastAsia" w:eastAsia="仿宋_GB2312" w:cs="仿宋_GB2312"/>
          <w:sz w:val="32"/>
          <w:szCs w:val="32"/>
          <w:lang w:val="en-US" w:eastAsia="zh-CN"/>
        </w:rPr>
        <w:t>6.4</w:t>
      </w:r>
      <w:r>
        <w:rPr>
          <w:rFonts w:hint="eastAsia" w:eastAsia="仿宋_GB2312" w:cs="仿宋_GB2312"/>
          <w:sz w:val="32"/>
          <w:szCs w:val="32"/>
        </w:rPr>
        <w:t>%；社会保障和就业支出</w:t>
      </w:r>
      <w:r>
        <w:rPr>
          <w:rFonts w:hint="eastAsia" w:eastAsia="仿宋_GB2312" w:cs="仿宋_GB2312"/>
          <w:sz w:val="32"/>
          <w:szCs w:val="32"/>
          <w:lang w:val="en-US" w:eastAsia="zh-CN"/>
        </w:rPr>
        <w:t>2301.94</w:t>
      </w:r>
      <w:r>
        <w:rPr>
          <w:rFonts w:hint="eastAsia" w:eastAsia="仿宋_GB2312" w:cs="仿宋_GB2312"/>
          <w:sz w:val="32"/>
          <w:szCs w:val="32"/>
        </w:rPr>
        <w:t>万元，占</w:t>
      </w:r>
      <w:r>
        <w:rPr>
          <w:rFonts w:hint="eastAsia" w:eastAsia="仿宋_GB2312" w:cs="仿宋_GB2312"/>
          <w:sz w:val="32"/>
          <w:szCs w:val="32"/>
          <w:lang w:val="en-US" w:eastAsia="zh-CN"/>
        </w:rPr>
        <w:t>14.26</w:t>
      </w:r>
      <w:r>
        <w:rPr>
          <w:rFonts w:hint="eastAsia" w:eastAsia="仿宋_GB2312" w:cs="仿宋_GB2312"/>
          <w:sz w:val="32"/>
          <w:szCs w:val="32"/>
        </w:rPr>
        <w:t>%；卫生健康支出</w:t>
      </w:r>
      <w:r>
        <w:rPr>
          <w:rFonts w:hint="eastAsia" w:eastAsia="仿宋_GB2312" w:cs="仿宋_GB2312"/>
          <w:sz w:val="32"/>
          <w:szCs w:val="32"/>
          <w:lang w:val="en-US" w:eastAsia="zh-CN"/>
        </w:rPr>
        <w:t>587.52</w:t>
      </w:r>
      <w:r>
        <w:rPr>
          <w:rFonts w:hint="eastAsia" w:eastAsia="仿宋_GB2312" w:cs="仿宋_GB2312"/>
          <w:sz w:val="32"/>
          <w:szCs w:val="32"/>
        </w:rPr>
        <w:t>万元，占</w:t>
      </w:r>
      <w:r>
        <w:rPr>
          <w:rFonts w:hint="eastAsia" w:eastAsia="仿宋_GB2312" w:cs="仿宋_GB2312"/>
          <w:sz w:val="32"/>
          <w:szCs w:val="32"/>
          <w:lang w:val="en-US" w:eastAsia="zh-CN"/>
        </w:rPr>
        <w:t>3.63</w:t>
      </w:r>
      <w:r>
        <w:rPr>
          <w:rFonts w:hint="eastAsia" w:eastAsia="仿宋_GB2312" w:cs="仿宋_GB2312"/>
          <w:sz w:val="32"/>
          <w:szCs w:val="32"/>
        </w:rPr>
        <w:t>%；住房保障支出</w:t>
      </w:r>
      <w:r>
        <w:rPr>
          <w:rFonts w:hint="eastAsia" w:eastAsia="仿宋_GB2312" w:cs="仿宋_GB2312"/>
          <w:sz w:val="32"/>
          <w:szCs w:val="32"/>
          <w:lang w:val="en-US" w:eastAsia="zh-CN"/>
        </w:rPr>
        <w:t>916.52</w:t>
      </w:r>
      <w:r>
        <w:rPr>
          <w:rFonts w:hint="eastAsia" w:eastAsia="仿宋_GB2312" w:cs="仿宋_GB2312"/>
          <w:sz w:val="32"/>
          <w:szCs w:val="32"/>
        </w:rPr>
        <w:t>万元，占</w:t>
      </w:r>
      <w:r>
        <w:rPr>
          <w:rFonts w:hint="eastAsia" w:eastAsia="仿宋_GB2312" w:cs="仿宋_GB2312"/>
          <w:sz w:val="32"/>
          <w:szCs w:val="32"/>
          <w:lang w:val="en-US" w:eastAsia="zh-CN"/>
        </w:rPr>
        <w:t>5.7</w:t>
      </w:r>
      <w:r>
        <w:rPr>
          <w:rFonts w:hint="eastAsia" w:eastAsia="仿宋_GB2312" w:cs="仿宋_GB2312"/>
          <w:sz w:val="32"/>
          <w:szCs w:val="32"/>
        </w:rPr>
        <w:t>%；</w:t>
      </w:r>
    </w:p>
    <w:p>
      <w:pPr>
        <w:spacing w:line="600" w:lineRule="exact"/>
        <w:rPr>
          <w:rFonts w:eastAsia="仿宋_GB2312" w:cs="仿宋_GB2312"/>
          <w:sz w:val="32"/>
          <w:szCs w:val="32"/>
        </w:rPr>
      </w:pPr>
      <w:r>
        <w:rPr>
          <w:rFonts w:hint="eastAsia" w:eastAsia="仿宋_GB2312" w:cs="仿宋_GB2312"/>
          <w:sz w:val="32"/>
          <w:szCs w:val="32"/>
        </w:rPr>
        <w:t>（图6：一般公共预算财政拨款支出决算结构）（饼状图）</w:t>
      </w:r>
    </w:p>
    <w:p>
      <w:pPr>
        <w:ind w:left="105" w:leftChars="50" w:right="105" w:rightChars="50" w:firstLine="643" w:firstLineChars="200"/>
        <w:rPr>
          <w:rFonts w:eastAsia="仿宋_GB2312" w:cs="仿宋_GB2312"/>
          <w:b/>
          <w:bCs/>
          <w:sz w:val="32"/>
          <w:szCs w:val="32"/>
        </w:rPr>
      </w:pPr>
    </w:p>
    <w:p>
      <w:r>
        <w:drawing>
          <wp:inline distT="0" distB="0" distL="0" distR="0">
            <wp:extent cx="3971290" cy="2324100"/>
            <wp:effectExtent l="4445" t="4445" r="5715" b="14605"/>
            <wp:docPr id="8" name="图表 11"/>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pPr>
        <w:pStyle w:val="38"/>
      </w:pPr>
    </w:p>
    <w:p>
      <w:pPr>
        <w:spacing w:line="600" w:lineRule="exact"/>
        <w:ind w:firstLine="643" w:firstLineChars="200"/>
        <w:outlineLvl w:val="2"/>
        <w:rPr>
          <w:rFonts w:eastAsia="楷体_GB2312" w:cs="楷体_GB2312"/>
          <w:b/>
          <w:sz w:val="32"/>
          <w:szCs w:val="32"/>
        </w:rPr>
      </w:pPr>
      <w:r>
        <w:rPr>
          <w:rFonts w:hint="eastAsia" w:eastAsia="楷体_GB2312" w:cs="楷体_GB2312"/>
          <w:b/>
          <w:sz w:val="32"/>
          <w:szCs w:val="32"/>
        </w:rPr>
        <w:t>（三）一般公共预算财政拨款支出决算具体情况</w:t>
      </w:r>
    </w:p>
    <w:p>
      <w:pPr>
        <w:ind w:left="105" w:leftChars="50" w:right="105" w:rightChars="50" w:firstLine="640" w:firstLineChars="200"/>
        <w:rPr>
          <w:rFonts w:eastAsia="仿宋_GB2312" w:cs="仿宋_GB2312"/>
          <w:sz w:val="32"/>
          <w:szCs w:val="32"/>
        </w:rPr>
      </w:pPr>
      <w:r>
        <w:rPr>
          <w:rFonts w:hint="eastAsia" w:eastAsia="仿宋_GB2312" w:cs="仿宋_GB2312"/>
          <w:sz w:val="32"/>
          <w:szCs w:val="32"/>
        </w:rPr>
        <w:t>202</w:t>
      </w:r>
      <w:r>
        <w:rPr>
          <w:rFonts w:hint="eastAsia" w:eastAsia="仿宋_GB2312" w:cs="仿宋_GB2312"/>
          <w:sz w:val="32"/>
          <w:szCs w:val="32"/>
          <w:lang w:val="en-US" w:eastAsia="zh-CN"/>
        </w:rPr>
        <w:t>5</w:t>
      </w:r>
      <w:r>
        <w:rPr>
          <w:rFonts w:hint="eastAsia" w:eastAsia="仿宋_GB2312" w:cs="仿宋_GB2312"/>
          <w:sz w:val="32"/>
          <w:szCs w:val="32"/>
        </w:rPr>
        <w:t>年度一般公共预算财政拨款支出决算数为</w:t>
      </w:r>
      <w:r>
        <w:rPr>
          <w:rFonts w:hint="eastAsia" w:ascii="仿宋_GB2312" w:hAnsi="仿宋_GB2312" w:eastAsia="仿宋_GB2312" w:cs="仿宋_GB2312"/>
          <w:sz w:val="32"/>
          <w:szCs w:val="32"/>
          <w:lang w:val="en-US" w:eastAsia="zh-CN"/>
        </w:rPr>
        <w:t>16142.14</w:t>
      </w:r>
      <w:r>
        <w:rPr>
          <w:rFonts w:hint="eastAsia" w:ascii="仿宋_GB2312" w:hAnsi="仿宋_GB2312" w:eastAsia="仿宋_GB2312" w:cs="仿宋_GB2312"/>
          <w:sz w:val="32"/>
          <w:szCs w:val="32"/>
        </w:rPr>
        <w:t>，</w:t>
      </w:r>
      <w:r>
        <w:rPr>
          <w:rFonts w:hint="eastAsia" w:eastAsia="仿宋_GB2312" w:cs="仿宋_GB2312"/>
          <w:sz w:val="32"/>
          <w:szCs w:val="32"/>
        </w:rPr>
        <w:t>完成预算100%。其中：</w:t>
      </w:r>
    </w:p>
    <w:p>
      <w:pPr>
        <w:spacing w:line="600" w:lineRule="exact"/>
        <w:ind w:firstLine="643" w:firstLineChars="200"/>
        <w:rPr>
          <w:rStyle w:val="17"/>
          <w:rFonts w:hint="eastAsia" w:ascii="仿宋" w:hAnsi="仿宋" w:eastAsia="仿宋"/>
          <w:bCs/>
          <w:sz w:val="32"/>
          <w:szCs w:val="32"/>
          <w:lang w:eastAsia="zh-CN"/>
        </w:rPr>
      </w:pPr>
      <w:r>
        <w:rPr>
          <w:rStyle w:val="17"/>
          <w:rFonts w:hint="eastAsia" w:ascii="仿宋" w:hAnsi="仿宋" w:eastAsia="仿宋"/>
          <w:bCs/>
          <w:sz w:val="32"/>
          <w:szCs w:val="32"/>
        </w:rPr>
        <w:t>1</w:t>
      </w:r>
      <w:r>
        <w:rPr>
          <w:rStyle w:val="17"/>
          <w:rFonts w:ascii="仿宋" w:hAnsi="仿宋" w:eastAsia="仿宋"/>
          <w:bCs/>
          <w:sz w:val="32"/>
          <w:szCs w:val="32"/>
        </w:rPr>
        <w:t>.</w:t>
      </w:r>
      <w:r>
        <w:rPr>
          <w:rStyle w:val="17"/>
          <w:rFonts w:hint="eastAsia" w:ascii="仿宋" w:hAnsi="仿宋" w:eastAsia="仿宋"/>
          <w:bCs/>
          <w:sz w:val="32"/>
          <w:szCs w:val="32"/>
          <w:lang w:eastAsia="zh-CN"/>
        </w:rPr>
        <w:t>一般公共服务支出（类）其他共产党事务支出（款）其他共产党事务支出：</w:t>
      </w:r>
      <w:r>
        <w:rPr>
          <w:rStyle w:val="17"/>
          <w:rFonts w:hint="eastAsia" w:ascii="仿宋" w:hAnsi="仿宋" w:eastAsia="仿宋"/>
          <w:b w:val="0"/>
          <w:bCs/>
          <w:sz w:val="32"/>
          <w:szCs w:val="32"/>
        </w:rPr>
        <w:t>支出决算为</w:t>
      </w:r>
      <w:r>
        <w:rPr>
          <w:rStyle w:val="17"/>
          <w:rFonts w:hint="eastAsia" w:ascii="仿宋" w:hAnsi="仿宋" w:eastAsia="仿宋"/>
          <w:b w:val="0"/>
          <w:bCs/>
          <w:sz w:val="32"/>
          <w:szCs w:val="32"/>
          <w:lang w:val="en-US" w:eastAsia="zh-CN"/>
        </w:rPr>
        <w:t>2.77</w:t>
      </w:r>
      <w:r>
        <w:rPr>
          <w:rStyle w:val="17"/>
          <w:rFonts w:hint="eastAsia" w:ascii="仿宋" w:hAnsi="仿宋" w:eastAsia="仿宋"/>
          <w:b w:val="0"/>
          <w:bCs/>
          <w:sz w:val="32"/>
          <w:szCs w:val="32"/>
        </w:rPr>
        <w:t>万元，完成预算100</w:t>
      </w:r>
      <w:r>
        <w:rPr>
          <w:rStyle w:val="17"/>
          <w:rFonts w:ascii="仿宋" w:hAnsi="仿宋" w:eastAsia="仿宋"/>
          <w:b w:val="0"/>
          <w:bCs/>
          <w:sz w:val="32"/>
          <w:szCs w:val="32"/>
        </w:rPr>
        <w:t>%</w:t>
      </w:r>
      <w:r>
        <w:rPr>
          <w:rStyle w:val="17"/>
          <w:rFonts w:hint="eastAsia" w:ascii="仿宋" w:hAnsi="仿宋" w:eastAsia="仿宋"/>
          <w:b w:val="0"/>
          <w:bCs/>
          <w:sz w:val="32"/>
          <w:szCs w:val="32"/>
        </w:rPr>
        <w:t>，决算数等于预算数。</w:t>
      </w:r>
    </w:p>
    <w:p>
      <w:pPr>
        <w:spacing w:line="600" w:lineRule="exact"/>
        <w:ind w:firstLine="643" w:firstLineChars="200"/>
        <w:rPr>
          <w:rStyle w:val="17"/>
          <w:rFonts w:hint="eastAsia" w:ascii="仿宋" w:hAnsi="仿宋" w:eastAsia="仿宋"/>
          <w:bCs/>
          <w:sz w:val="32"/>
          <w:szCs w:val="32"/>
          <w:lang w:eastAsia="zh-CN"/>
        </w:rPr>
      </w:pPr>
      <w:r>
        <w:rPr>
          <w:rStyle w:val="17"/>
          <w:rFonts w:hint="eastAsia" w:ascii="仿宋" w:hAnsi="仿宋" w:eastAsia="仿宋"/>
          <w:bCs/>
          <w:sz w:val="32"/>
          <w:szCs w:val="32"/>
          <w:lang w:val="en-US" w:eastAsia="zh-CN"/>
        </w:rPr>
        <w:t>2.</w:t>
      </w:r>
      <w:r>
        <w:rPr>
          <w:rStyle w:val="17"/>
          <w:rFonts w:hint="eastAsia" w:ascii="仿宋" w:hAnsi="仿宋" w:eastAsia="仿宋"/>
          <w:bCs/>
          <w:sz w:val="32"/>
          <w:szCs w:val="32"/>
          <w:lang w:eastAsia="zh-CN"/>
        </w:rPr>
        <w:t>一般公共服务支出（类）信访事务（款）信访业务：</w:t>
      </w:r>
      <w:r>
        <w:rPr>
          <w:rStyle w:val="17"/>
          <w:rFonts w:hint="eastAsia" w:ascii="仿宋" w:hAnsi="仿宋" w:eastAsia="仿宋"/>
          <w:b w:val="0"/>
          <w:bCs/>
          <w:sz w:val="32"/>
          <w:szCs w:val="32"/>
        </w:rPr>
        <w:t>支出决算为</w:t>
      </w:r>
      <w:r>
        <w:rPr>
          <w:rStyle w:val="17"/>
          <w:rFonts w:hint="eastAsia" w:ascii="仿宋" w:hAnsi="仿宋" w:eastAsia="仿宋"/>
          <w:b w:val="0"/>
          <w:bCs/>
          <w:sz w:val="32"/>
          <w:szCs w:val="32"/>
          <w:lang w:val="en-US" w:eastAsia="zh-CN"/>
        </w:rPr>
        <w:t>0.44</w:t>
      </w:r>
      <w:r>
        <w:rPr>
          <w:rStyle w:val="17"/>
          <w:rFonts w:hint="eastAsia" w:ascii="仿宋" w:hAnsi="仿宋" w:eastAsia="仿宋"/>
          <w:b w:val="0"/>
          <w:bCs/>
          <w:sz w:val="32"/>
          <w:szCs w:val="32"/>
        </w:rPr>
        <w:t>万元，完成预算100</w:t>
      </w:r>
      <w:r>
        <w:rPr>
          <w:rStyle w:val="17"/>
          <w:rFonts w:ascii="仿宋" w:hAnsi="仿宋" w:eastAsia="仿宋"/>
          <w:b w:val="0"/>
          <w:bCs/>
          <w:sz w:val="32"/>
          <w:szCs w:val="32"/>
        </w:rPr>
        <w:t>%</w:t>
      </w:r>
      <w:r>
        <w:rPr>
          <w:rStyle w:val="17"/>
          <w:rFonts w:hint="eastAsia" w:ascii="仿宋" w:hAnsi="仿宋" w:eastAsia="仿宋"/>
          <w:b w:val="0"/>
          <w:bCs/>
          <w:sz w:val="32"/>
          <w:szCs w:val="32"/>
        </w:rPr>
        <w:t>，决算数等于预算数。</w:t>
      </w:r>
    </w:p>
    <w:p>
      <w:pPr>
        <w:spacing w:line="600" w:lineRule="exact"/>
        <w:ind w:firstLine="643" w:firstLineChars="200"/>
        <w:rPr>
          <w:rFonts w:hint="eastAsia" w:ascii="仿宋" w:hAnsi="仿宋" w:eastAsia="仿宋"/>
          <w:b/>
          <w:sz w:val="32"/>
          <w:szCs w:val="32"/>
        </w:rPr>
      </w:pPr>
      <w:r>
        <w:rPr>
          <w:rStyle w:val="17"/>
          <w:rFonts w:hint="eastAsia" w:ascii="仿宋" w:hAnsi="仿宋" w:eastAsia="仿宋"/>
          <w:bCs/>
          <w:sz w:val="32"/>
          <w:szCs w:val="32"/>
          <w:lang w:val="en-US" w:eastAsia="zh-CN"/>
        </w:rPr>
        <w:t>3.</w:t>
      </w:r>
      <w:r>
        <w:rPr>
          <w:rStyle w:val="17"/>
          <w:rFonts w:hint="eastAsia" w:ascii="仿宋" w:hAnsi="仿宋" w:eastAsia="仿宋"/>
          <w:bCs/>
          <w:sz w:val="32"/>
          <w:szCs w:val="32"/>
        </w:rPr>
        <w:t>公共安全支出（类）公安（款）行政运行（项）</w:t>
      </w:r>
      <w:r>
        <w:rPr>
          <w:rStyle w:val="17"/>
          <w:rFonts w:ascii="仿宋" w:hAnsi="仿宋" w:eastAsia="仿宋"/>
          <w:bCs/>
          <w:sz w:val="32"/>
          <w:szCs w:val="32"/>
        </w:rPr>
        <w:t>:</w:t>
      </w:r>
      <w:r>
        <w:rPr>
          <w:rStyle w:val="17"/>
          <w:rFonts w:hint="eastAsia" w:ascii="仿宋" w:hAnsi="仿宋" w:eastAsia="仿宋"/>
          <w:b w:val="0"/>
          <w:bCs/>
          <w:sz w:val="32"/>
          <w:szCs w:val="32"/>
        </w:rPr>
        <w:t>支出决算为</w:t>
      </w:r>
      <w:r>
        <w:rPr>
          <w:rStyle w:val="17"/>
          <w:rFonts w:hint="eastAsia" w:ascii="仿宋" w:hAnsi="仿宋" w:eastAsia="仿宋"/>
          <w:b w:val="0"/>
          <w:bCs/>
          <w:sz w:val="32"/>
          <w:szCs w:val="32"/>
          <w:lang w:val="en-US" w:eastAsia="zh-CN"/>
        </w:rPr>
        <w:t>10510.22</w:t>
      </w:r>
      <w:r>
        <w:rPr>
          <w:rStyle w:val="17"/>
          <w:rFonts w:hint="eastAsia" w:ascii="仿宋" w:hAnsi="仿宋" w:eastAsia="仿宋"/>
          <w:b w:val="0"/>
          <w:bCs/>
          <w:sz w:val="32"/>
          <w:szCs w:val="32"/>
        </w:rPr>
        <w:t>万元，完成预算100</w:t>
      </w:r>
      <w:r>
        <w:rPr>
          <w:rStyle w:val="17"/>
          <w:rFonts w:ascii="仿宋" w:hAnsi="仿宋" w:eastAsia="仿宋"/>
          <w:b w:val="0"/>
          <w:bCs/>
          <w:sz w:val="32"/>
          <w:szCs w:val="32"/>
        </w:rPr>
        <w:t>%</w:t>
      </w:r>
      <w:r>
        <w:rPr>
          <w:rStyle w:val="17"/>
          <w:rFonts w:hint="eastAsia" w:ascii="仿宋" w:hAnsi="仿宋" w:eastAsia="仿宋"/>
          <w:b w:val="0"/>
          <w:bCs/>
          <w:sz w:val="32"/>
          <w:szCs w:val="32"/>
        </w:rPr>
        <w:t>，决算数等于预算数。</w:t>
      </w:r>
    </w:p>
    <w:p>
      <w:pPr>
        <w:spacing w:line="600" w:lineRule="exact"/>
        <w:ind w:firstLine="643" w:firstLineChars="200"/>
        <w:rPr>
          <w:rFonts w:hint="eastAsia" w:ascii="仿宋" w:hAnsi="仿宋" w:eastAsia="仿宋"/>
          <w:b/>
          <w:sz w:val="32"/>
          <w:szCs w:val="32"/>
        </w:rPr>
      </w:pPr>
      <w:r>
        <w:rPr>
          <w:rStyle w:val="17"/>
          <w:rFonts w:hint="eastAsia" w:ascii="仿宋" w:hAnsi="仿宋" w:eastAsia="仿宋"/>
          <w:bCs/>
          <w:sz w:val="32"/>
          <w:szCs w:val="32"/>
          <w:lang w:val="en-US" w:eastAsia="zh-CN"/>
        </w:rPr>
        <w:t>4</w:t>
      </w:r>
      <w:r>
        <w:rPr>
          <w:rStyle w:val="17"/>
          <w:rFonts w:ascii="仿宋" w:hAnsi="仿宋" w:eastAsia="仿宋"/>
          <w:bCs/>
          <w:sz w:val="32"/>
          <w:szCs w:val="32"/>
        </w:rPr>
        <w:t>.</w:t>
      </w:r>
      <w:r>
        <w:rPr>
          <w:rStyle w:val="17"/>
          <w:rFonts w:hint="eastAsia" w:ascii="仿宋" w:hAnsi="仿宋" w:eastAsia="仿宋" w:cstheme="minorBidi"/>
          <w:bCs/>
          <w:sz w:val="32"/>
          <w:szCs w:val="32"/>
        </w:rPr>
        <w:t>公共安全支出（类）公安（款）一般行政管理事</w:t>
      </w:r>
      <w:r>
        <w:rPr>
          <w:rStyle w:val="17"/>
          <w:rFonts w:hint="eastAsia" w:ascii="仿宋" w:hAnsi="仿宋" w:eastAsia="仿宋"/>
          <w:bCs/>
          <w:sz w:val="32"/>
          <w:szCs w:val="32"/>
        </w:rPr>
        <w:t>务（项）</w:t>
      </w:r>
      <w:r>
        <w:rPr>
          <w:rStyle w:val="17"/>
          <w:rFonts w:ascii="仿宋" w:hAnsi="仿宋" w:eastAsia="仿宋"/>
          <w:bCs/>
          <w:sz w:val="32"/>
          <w:szCs w:val="32"/>
        </w:rPr>
        <w:t>:</w:t>
      </w:r>
      <w:r>
        <w:rPr>
          <w:rStyle w:val="17"/>
          <w:rFonts w:hint="eastAsia" w:ascii="仿宋" w:hAnsi="仿宋" w:eastAsia="仿宋"/>
          <w:b w:val="0"/>
          <w:bCs/>
          <w:sz w:val="32"/>
          <w:szCs w:val="32"/>
        </w:rPr>
        <w:t>支出决算为</w:t>
      </w:r>
      <w:r>
        <w:rPr>
          <w:rStyle w:val="17"/>
          <w:rFonts w:hint="eastAsia" w:ascii="仿宋" w:hAnsi="仿宋" w:eastAsia="仿宋"/>
          <w:b w:val="0"/>
          <w:bCs/>
          <w:sz w:val="32"/>
          <w:szCs w:val="32"/>
          <w:lang w:val="en-US" w:eastAsia="zh-CN"/>
        </w:rPr>
        <w:t>485</w:t>
      </w:r>
      <w:r>
        <w:rPr>
          <w:rStyle w:val="17"/>
          <w:rFonts w:hint="eastAsia" w:ascii="仿宋" w:hAnsi="仿宋" w:eastAsia="仿宋"/>
          <w:b w:val="0"/>
          <w:bCs/>
          <w:sz w:val="32"/>
          <w:szCs w:val="32"/>
        </w:rPr>
        <w:t>万元，完成预算100</w:t>
      </w:r>
      <w:r>
        <w:rPr>
          <w:rStyle w:val="17"/>
          <w:rFonts w:ascii="仿宋" w:hAnsi="仿宋" w:eastAsia="仿宋"/>
          <w:b w:val="0"/>
          <w:bCs/>
          <w:sz w:val="32"/>
          <w:szCs w:val="32"/>
        </w:rPr>
        <w:t>%</w:t>
      </w:r>
      <w:r>
        <w:rPr>
          <w:rStyle w:val="17"/>
          <w:rFonts w:hint="eastAsia" w:ascii="仿宋" w:hAnsi="仿宋" w:eastAsia="仿宋"/>
          <w:b w:val="0"/>
          <w:bCs/>
          <w:sz w:val="32"/>
          <w:szCs w:val="32"/>
        </w:rPr>
        <w:t>，决算数等于预算数。</w:t>
      </w:r>
    </w:p>
    <w:p>
      <w:pPr>
        <w:spacing w:line="600" w:lineRule="exact"/>
        <w:ind w:firstLine="643" w:firstLineChars="200"/>
        <w:rPr>
          <w:rStyle w:val="17"/>
          <w:rFonts w:hint="eastAsia" w:ascii="仿宋" w:hAnsi="仿宋" w:eastAsia="仿宋"/>
          <w:b w:val="0"/>
          <w:bCs/>
          <w:sz w:val="32"/>
          <w:szCs w:val="32"/>
        </w:rPr>
      </w:pPr>
      <w:r>
        <w:rPr>
          <w:rStyle w:val="17"/>
          <w:rFonts w:hint="eastAsia" w:ascii="仿宋" w:hAnsi="仿宋" w:eastAsia="仿宋"/>
          <w:bCs/>
          <w:sz w:val="32"/>
          <w:szCs w:val="32"/>
          <w:lang w:val="en-US" w:eastAsia="zh-CN"/>
        </w:rPr>
        <w:t>5</w:t>
      </w:r>
      <w:r>
        <w:rPr>
          <w:rStyle w:val="17"/>
          <w:rFonts w:ascii="仿宋" w:hAnsi="仿宋" w:eastAsia="仿宋"/>
          <w:bCs/>
          <w:sz w:val="32"/>
          <w:szCs w:val="32"/>
        </w:rPr>
        <w:t>.</w:t>
      </w:r>
      <w:r>
        <w:rPr>
          <w:rStyle w:val="17"/>
          <w:rFonts w:hint="eastAsia" w:ascii="仿宋" w:hAnsi="仿宋" w:eastAsia="仿宋"/>
          <w:bCs/>
          <w:sz w:val="32"/>
          <w:szCs w:val="32"/>
        </w:rPr>
        <w:t>公共安全支出（类）公安（款）其他公安支出（项）</w:t>
      </w:r>
      <w:r>
        <w:rPr>
          <w:rStyle w:val="17"/>
          <w:rFonts w:hint="eastAsia" w:ascii="仿宋" w:hAnsi="仿宋" w:eastAsia="仿宋"/>
          <w:bCs/>
          <w:sz w:val="32"/>
          <w:szCs w:val="32"/>
          <w:lang w:eastAsia="zh-CN"/>
        </w:rPr>
        <w:t>：</w:t>
      </w:r>
      <w:r>
        <w:rPr>
          <w:rStyle w:val="17"/>
          <w:rFonts w:hint="eastAsia" w:ascii="仿宋" w:hAnsi="仿宋" w:eastAsia="仿宋"/>
          <w:b w:val="0"/>
          <w:bCs/>
          <w:sz w:val="32"/>
          <w:szCs w:val="32"/>
        </w:rPr>
        <w:t>支出决算为</w:t>
      </w:r>
      <w:r>
        <w:rPr>
          <w:rStyle w:val="17"/>
          <w:rFonts w:hint="eastAsia" w:ascii="仿宋" w:hAnsi="仿宋" w:eastAsia="仿宋"/>
          <w:b w:val="0"/>
          <w:bCs/>
          <w:sz w:val="32"/>
          <w:szCs w:val="32"/>
          <w:lang w:val="en-US" w:eastAsia="zh-CN"/>
        </w:rPr>
        <w:t>1337.73</w:t>
      </w:r>
      <w:r>
        <w:rPr>
          <w:rStyle w:val="17"/>
          <w:rFonts w:hint="eastAsia" w:ascii="仿宋" w:hAnsi="仿宋" w:eastAsia="仿宋"/>
          <w:b w:val="0"/>
          <w:bCs/>
          <w:sz w:val="32"/>
          <w:szCs w:val="32"/>
        </w:rPr>
        <w:t>万元，完成预算100</w:t>
      </w:r>
      <w:r>
        <w:rPr>
          <w:rStyle w:val="17"/>
          <w:rFonts w:ascii="仿宋" w:hAnsi="仿宋" w:eastAsia="仿宋"/>
          <w:b w:val="0"/>
          <w:bCs/>
          <w:sz w:val="32"/>
          <w:szCs w:val="32"/>
        </w:rPr>
        <w:t>%</w:t>
      </w:r>
      <w:r>
        <w:rPr>
          <w:rStyle w:val="17"/>
          <w:rFonts w:hint="eastAsia" w:ascii="仿宋" w:hAnsi="仿宋" w:eastAsia="仿宋"/>
          <w:b w:val="0"/>
          <w:bCs/>
          <w:sz w:val="32"/>
          <w:szCs w:val="32"/>
        </w:rPr>
        <w:t>，决算数等于预算数。</w:t>
      </w:r>
    </w:p>
    <w:p>
      <w:pPr>
        <w:spacing w:line="600" w:lineRule="exact"/>
        <w:ind w:firstLine="643" w:firstLineChars="200"/>
        <w:rPr>
          <w:rStyle w:val="17"/>
          <w:rFonts w:ascii="仿宋" w:hAnsi="仿宋" w:eastAsia="仿宋"/>
          <w:bCs/>
          <w:sz w:val="32"/>
          <w:szCs w:val="32"/>
        </w:rPr>
      </w:pPr>
      <w:r>
        <w:rPr>
          <w:rStyle w:val="17"/>
          <w:rFonts w:hint="eastAsia" w:ascii="仿宋" w:hAnsi="仿宋" w:eastAsia="仿宋"/>
          <w:bCs/>
          <w:sz w:val="32"/>
          <w:szCs w:val="32"/>
          <w:lang w:val="en-US" w:eastAsia="zh-CN"/>
        </w:rPr>
        <w:t>6</w:t>
      </w:r>
      <w:r>
        <w:rPr>
          <w:rStyle w:val="17"/>
          <w:rFonts w:ascii="仿宋" w:hAnsi="仿宋" w:eastAsia="仿宋"/>
          <w:bCs/>
          <w:sz w:val="32"/>
          <w:szCs w:val="32"/>
        </w:rPr>
        <w:t>.</w:t>
      </w:r>
      <w:r>
        <w:rPr>
          <w:rStyle w:val="17"/>
          <w:rFonts w:hint="eastAsia" w:ascii="仿宋" w:hAnsi="仿宋" w:eastAsia="仿宋"/>
          <w:bCs/>
          <w:sz w:val="32"/>
          <w:szCs w:val="32"/>
        </w:rPr>
        <w:t>社会保障和就业支出（类）</w:t>
      </w:r>
      <w:r>
        <w:rPr>
          <w:rStyle w:val="17"/>
          <w:rFonts w:hint="eastAsia" w:ascii="仿宋" w:hAnsi="仿宋" w:eastAsia="仿宋"/>
          <w:bCs/>
          <w:sz w:val="32"/>
          <w:szCs w:val="32"/>
          <w:lang w:eastAsia="zh-CN"/>
        </w:rPr>
        <w:t>人力资源和社会保障管理事务</w:t>
      </w:r>
      <w:r>
        <w:rPr>
          <w:rStyle w:val="17"/>
          <w:rFonts w:hint="eastAsia" w:ascii="仿宋" w:hAnsi="仿宋" w:eastAsia="仿宋"/>
          <w:bCs/>
          <w:sz w:val="32"/>
          <w:szCs w:val="32"/>
        </w:rPr>
        <w:t>（款）</w:t>
      </w:r>
      <w:r>
        <w:rPr>
          <w:rStyle w:val="17"/>
          <w:rFonts w:hint="eastAsia" w:ascii="仿宋" w:hAnsi="仿宋" w:eastAsia="仿宋"/>
          <w:bCs/>
          <w:sz w:val="32"/>
          <w:szCs w:val="32"/>
          <w:lang w:eastAsia="zh-CN"/>
        </w:rPr>
        <w:t>其他人力资源和社会保障管理事务</w:t>
      </w:r>
      <w:r>
        <w:rPr>
          <w:rStyle w:val="17"/>
          <w:rFonts w:hint="eastAsia" w:ascii="仿宋" w:hAnsi="仿宋" w:eastAsia="仿宋"/>
          <w:bCs/>
          <w:sz w:val="32"/>
          <w:szCs w:val="32"/>
        </w:rPr>
        <w:t>（项）</w:t>
      </w:r>
      <w:r>
        <w:rPr>
          <w:rStyle w:val="17"/>
          <w:rFonts w:ascii="仿宋" w:hAnsi="仿宋" w:eastAsia="仿宋"/>
          <w:bCs/>
          <w:sz w:val="32"/>
          <w:szCs w:val="32"/>
        </w:rPr>
        <w:t>:</w:t>
      </w:r>
      <w:r>
        <w:rPr>
          <w:rStyle w:val="17"/>
          <w:rFonts w:hint="eastAsia" w:ascii="仿宋" w:hAnsi="仿宋" w:eastAsia="仿宋"/>
          <w:b w:val="0"/>
          <w:bCs/>
          <w:sz w:val="32"/>
          <w:szCs w:val="32"/>
        </w:rPr>
        <w:t>支出决算为</w:t>
      </w:r>
      <w:r>
        <w:rPr>
          <w:rStyle w:val="17"/>
          <w:rFonts w:hint="eastAsia" w:ascii="仿宋" w:hAnsi="仿宋" w:eastAsia="仿宋"/>
          <w:b w:val="0"/>
          <w:bCs/>
          <w:sz w:val="32"/>
          <w:szCs w:val="32"/>
          <w:lang w:val="en-US" w:eastAsia="zh-CN"/>
        </w:rPr>
        <w:t>8</w:t>
      </w:r>
      <w:r>
        <w:rPr>
          <w:rStyle w:val="17"/>
          <w:rFonts w:hint="eastAsia" w:ascii="仿宋" w:hAnsi="仿宋" w:eastAsia="仿宋"/>
          <w:b w:val="0"/>
          <w:bCs/>
          <w:sz w:val="32"/>
          <w:szCs w:val="32"/>
        </w:rPr>
        <w:t>万元，完成预算100</w:t>
      </w:r>
      <w:r>
        <w:rPr>
          <w:rStyle w:val="17"/>
          <w:rFonts w:ascii="仿宋" w:hAnsi="仿宋" w:eastAsia="仿宋"/>
          <w:b w:val="0"/>
          <w:bCs/>
          <w:sz w:val="32"/>
          <w:szCs w:val="32"/>
        </w:rPr>
        <w:t>%</w:t>
      </w:r>
      <w:r>
        <w:rPr>
          <w:rStyle w:val="17"/>
          <w:rFonts w:hint="eastAsia" w:ascii="仿宋" w:hAnsi="仿宋" w:eastAsia="仿宋"/>
          <w:b w:val="0"/>
          <w:bCs/>
          <w:sz w:val="32"/>
          <w:szCs w:val="32"/>
        </w:rPr>
        <w:t>，决算数等于预算数。</w:t>
      </w:r>
    </w:p>
    <w:p>
      <w:pPr>
        <w:spacing w:line="600" w:lineRule="exact"/>
        <w:ind w:firstLine="643" w:firstLineChars="200"/>
        <w:rPr>
          <w:rStyle w:val="17"/>
          <w:rFonts w:hint="eastAsia" w:ascii="仿宋" w:hAnsi="仿宋" w:eastAsia="仿宋"/>
          <w:b w:val="0"/>
          <w:bCs/>
          <w:sz w:val="32"/>
          <w:szCs w:val="32"/>
        </w:rPr>
      </w:pPr>
      <w:r>
        <w:rPr>
          <w:rStyle w:val="17"/>
          <w:rFonts w:hint="eastAsia" w:ascii="仿宋" w:hAnsi="仿宋" w:eastAsia="仿宋"/>
          <w:bCs/>
          <w:sz w:val="32"/>
          <w:szCs w:val="32"/>
          <w:lang w:val="en-US" w:eastAsia="zh-CN"/>
        </w:rPr>
        <w:t>7.</w:t>
      </w:r>
      <w:r>
        <w:rPr>
          <w:rStyle w:val="17"/>
          <w:rFonts w:hint="eastAsia" w:ascii="仿宋" w:hAnsi="仿宋" w:eastAsia="仿宋"/>
          <w:bCs/>
          <w:sz w:val="32"/>
          <w:szCs w:val="32"/>
        </w:rPr>
        <w:t>社会保障和就业支出（类）行政事业单位养老支出（款）行政单位离退休（项）</w:t>
      </w:r>
      <w:r>
        <w:rPr>
          <w:rStyle w:val="17"/>
          <w:rFonts w:ascii="仿宋" w:hAnsi="仿宋" w:eastAsia="仿宋"/>
          <w:bCs/>
          <w:sz w:val="32"/>
          <w:szCs w:val="32"/>
        </w:rPr>
        <w:t>:</w:t>
      </w:r>
      <w:r>
        <w:rPr>
          <w:rStyle w:val="17"/>
          <w:rFonts w:hint="eastAsia" w:ascii="仿宋" w:hAnsi="仿宋" w:eastAsia="仿宋"/>
          <w:b w:val="0"/>
          <w:bCs/>
          <w:sz w:val="32"/>
          <w:szCs w:val="32"/>
        </w:rPr>
        <w:t>支出决算为9</w:t>
      </w:r>
      <w:r>
        <w:rPr>
          <w:rStyle w:val="17"/>
          <w:rFonts w:hint="eastAsia" w:ascii="仿宋" w:hAnsi="仿宋" w:eastAsia="仿宋"/>
          <w:b w:val="0"/>
          <w:bCs/>
          <w:sz w:val="32"/>
          <w:szCs w:val="32"/>
          <w:lang w:val="en-US" w:eastAsia="zh-CN"/>
        </w:rPr>
        <w:t>86.05</w:t>
      </w:r>
      <w:r>
        <w:rPr>
          <w:rStyle w:val="17"/>
          <w:rFonts w:hint="eastAsia" w:ascii="仿宋" w:hAnsi="仿宋" w:eastAsia="仿宋"/>
          <w:b w:val="0"/>
          <w:bCs/>
          <w:sz w:val="32"/>
          <w:szCs w:val="32"/>
        </w:rPr>
        <w:t>万元，完成预算100</w:t>
      </w:r>
      <w:r>
        <w:rPr>
          <w:rStyle w:val="17"/>
          <w:rFonts w:ascii="仿宋" w:hAnsi="仿宋" w:eastAsia="仿宋"/>
          <w:b w:val="0"/>
          <w:bCs/>
          <w:sz w:val="32"/>
          <w:szCs w:val="32"/>
        </w:rPr>
        <w:t>%</w:t>
      </w:r>
      <w:r>
        <w:rPr>
          <w:rStyle w:val="17"/>
          <w:rFonts w:hint="eastAsia" w:ascii="仿宋" w:hAnsi="仿宋" w:eastAsia="仿宋"/>
          <w:b w:val="0"/>
          <w:bCs/>
          <w:sz w:val="32"/>
          <w:szCs w:val="32"/>
        </w:rPr>
        <w:t>，决算数等于预算数。</w:t>
      </w:r>
    </w:p>
    <w:p>
      <w:pPr>
        <w:pStyle w:val="2"/>
        <w:keepNext w:val="0"/>
        <w:keepLines w:val="0"/>
        <w:pageBreakBefore w:val="0"/>
        <w:widowControl w:val="0"/>
        <w:kinsoku/>
        <w:wordWrap/>
        <w:overflowPunct/>
        <w:topLinePunct w:val="0"/>
        <w:autoSpaceDE/>
        <w:autoSpaceDN/>
        <w:bidi w:val="0"/>
        <w:adjustRightInd/>
        <w:snapToGrid w:val="0"/>
        <w:spacing w:line="600" w:lineRule="exact"/>
        <w:ind w:firstLine="643" w:firstLineChars="200"/>
        <w:textAlignment w:val="auto"/>
        <w:rPr>
          <w:rStyle w:val="17"/>
          <w:rFonts w:hint="eastAsia" w:ascii="仿宋" w:hAnsi="仿宋" w:eastAsia="仿宋"/>
          <w:b w:val="0"/>
          <w:bCs/>
          <w:sz w:val="32"/>
          <w:szCs w:val="32"/>
        </w:rPr>
      </w:pPr>
      <w:r>
        <w:rPr>
          <w:rStyle w:val="17"/>
          <w:rFonts w:hint="eastAsia" w:ascii="仿宋" w:hAnsi="仿宋" w:eastAsia="仿宋"/>
          <w:bCs/>
          <w:sz w:val="32"/>
          <w:szCs w:val="32"/>
          <w:lang w:val="en-US" w:eastAsia="zh-CN"/>
        </w:rPr>
        <w:t>8.</w:t>
      </w:r>
      <w:r>
        <w:rPr>
          <w:rStyle w:val="17"/>
          <w:rFonts w:hint="eastAsia" w:ascii="仿宋" w:hAnsi="仿宋" w:eastAsia="仿宋"/>
          <w:bCs/>
          <w:sz w:val="32"/>
          <w:szCs w:val="32"/>
        </w:rPr>
        <w:t>社会保障和就业支出（类）行政事业单位养老支出（款）</w:t>
      </w:r>
      <w:r>
        <w:rPr>
          <w:rStyle w:val="17"/>
          <w:rFonts w:hint="eastAsia" w:ascii="仿宋" w:hAnsi="仿宋" w:eastAsia="仿宋"/>
          <w:bCs/>
          <w:sz w:val="32"/>
          <w:szCs w:val="32"/>
          <w:lang w:eastAsia="zh-CN"/>
        </w:rPr>
        <w:t>机关事业单位基本养老保险缴费支出</w:t>
      </w:r>
      <w:r>
        <w:rPr>
          <w:rStyle w:val="17"/>
          <w:rFonts w:hint="eastAsia" w:ascii="仿宋" w:hAnsi="仿宋" w:eastAsia="仿宋"/>
          <w:bCs/>
          <w:sz w:val="32"/>
          <w:szCs w:val="32"/>
        </w:rPr>
        <w:t>（项）</w:t>
      </w:r>
      <w:r>
        <w:rPr>
          <w:rStyle w:val="17"/>
          <w:rFonts w:ascii="仿宋" w:hAnsi="仿宋" w:eastAsia="仿宋"/>
          <w:bCs/>
          <w:sz w:val="32"/>
          <w:szCs w:val="32"/>
        </w:rPr>
        <w:t>:</w:t>
      </w:r>
      <w:r>
        <w:rPr>
          <w:rStyle w:val="17"/>
          <w:rFonts w:hint="eastAsia" w:ascii="仿宋" w:hAnsi="仿宋" w:eastAsia="仿宋"/>
          <w:b w:val="0"/>
          <w:bCs/>
          <w:sz w:val="32"/>
          <w:szCs w:val="32"/>
        </w:rPr>
        <w:t>支出决算为</w:t>
      </w:r>
      <w:r>
        <w:rPr>
          <w:rStyle w:val="17"/>
          <w:rFonts w:hint="eastAsia" w:ascii="仿宋" w:hAnsi="仿宋" w:eastAsia="仿宋"/>
          <w:b w:val="0"/>
          <w:bCs/>
          <w:sz w:val="32"/>
          <w:szCs w:val="32"/>
          <w:lang w:val="en-US" w:eastAsia="zh-CN"/>
        </w:rPr>
        <w:t>979.85</w:t>
      </w:r>
      <w:r>
        <w:rPr>
          <w:rStyle w:val="17"/>
          <w:rFonts w:hint="eastAsia" w:ascii="仿宋" w:hAnsi="仿宋" w:eastAsia="仿宋"/>
          <w:b w:val="0"/>
          <w:bCs/>
          <w:sz w:val="32"/>
          <w:szCs w:val="32"/>
        </w:rPr>
        <w:t>万元，完成预算100</w:t>
      </w:r>
      <w:r>
        <w:rPr>
          <w:rStyle w:val="17"/>
          <w:rFonts w:ascii="仿宋" w:hAnsi="仿宋" w:eastAsia="仿宋"/>
          <w:b w:val="0"/>
          <w:bCs/>
          <w:sz w:val="32"/>
          <w:szCs w:val="32"/>
        </w:rPr>
        <w:t>%</w:t>
      </w:r>
      <w:r>
        <w:rPr>
          <w:rStyle w:val="17"/>
          <w:rFonts w:hint="eastAsia" w:ascii="仿宋" w:hAnsi="仿宋" w:eastAsia="仿宋"/>
          <w:b w:val="0"/>
          <w:bCs/>
          <w:sz w:val="32"/>
          <w:szCs w:val="32"/>
        </w:rPr>
        <w:t>，决算数等于预算数。</w:t>
      </w:r>
    </w:p>
    <w:p>
      <w:pPr>
        <w:spacing w:line="600" w:lineRule="exact"/>
        <w:ind w:firstLine="643" w:firstLineChars="200"/>
        <w:rPr>
          <w:rStyle w:val="17"/>
          <w:rFonts w:hint="eastAsia" w:ascii="仿宋" w:hAnsi="仿宋" w:eastAsia="仿宋"/>
          <w:b w:val="0"/>
          <w:bCs/>
          <w:sz w:val="32"/>
          <w:szCs w:val="32"/>
        </w:rPr>
      </w:pPr>
      <w:r>
        <w:rPr>
          <w:rStyle w:val="17"/>
          <w:rFonts w:hint="eastAsia" w:ascii="仿宋" w:hAnsi="仿宋" w:eastAsia="仿宋"/>
          <w:bCs/>
          <w:sz w:val="32"/>
          <w:szCs w:val="32"/>
          <w:lang w:val="en-US" w:eastAsia="zh-CN"/>
        </w:rPr>
        <w:t>9.</w:t>
      </w:r>
      <w:r>
        <w:rPr>
          <w:rStyle w:val="17"/>
          <w:rFonts w:hint="eastAsia" w:ascii="仿宋" w:hAnsi="仿宋" w:eastAsia="仿宋"/>
          <w:bCs/>
          <w:sz w:val="32"/>
          <w:szCs w:val="32"/>
        </w:rPr>
        <w:t>社会保障和就业支出（类）行政事业单位养老支出（款）机关事业单位职业年金缴费支出（项）</w:t>
      </w:r>
      <w:r>
        <w:rPr>
          <w:rStyle w:val="17"/>
          <w:rFonts w:ascii="仿宋" w:hAnsi="仿宋" w:eastAsia="仿宋"/>
          <w:bCs/>
          <w:sz w:val="32"/>
          <w:szCs w:val="32"/>
        </w:rPr>
        <w:t>:</w:t>
      </w:r>
      <w:r>
        <w:rPr>
          <w:rStyle w:val="17"/>
          <w:rFonts w:hint="eastAsia" w:ascii="仿宋" w:hAnsi="仿宋" w:eastAsia="仿宋"/>
          <w:b w:val="0"/>
          <w:bCs/>
          <w:sz w:val="32"/>
          <w:szCs w:val="32"/>
        </w:rPr>
        <w:t>支出决算为</w:t>
      </w:r>
      <w:r>
        <w:rPr>
          <w:rStyle w:val="17"/>
          <w:rFonts w:hint="eastAsia" w:ascii="仿宋" w:hAnsi="仿宋" w:eastAsia="仿宋"/>
          <w:b w:val="0"/>
          <w:bCs/>
          <w:sz w:val="32"/>
          <w:szCs w:val="32"/>
          <w:lang w:val="en-US" w:eastAsia="zh-CN"/>
        </w:rPr>
        <w:t>218.06</w:t>
      </w:r>
      <w:r>
        <w:rPr>
          <w:rStyle w:val="17"/>
          <w:rFonts w:hint="eastAsia" w:ascii="仿宋" w:hAnsi="仿宋" w:eastAsia="仿宋"/>
          <w:b w:val="0"/>
          <w:bCs/>
          <w:sz w:val="32"/>
          <w:szCs w:val="32"/>
        </w:rPr>
        <w:t>万元，完成预算100</w:t>
      </w:r>
      <w:r>
        <w:rPr>
          <w:rStyle w:val="17"/>
          <w:rFonts w:ascii="仿宋" w:hAnsi="仿宋" w:eastAsia="仿宋"/>
          <w:b w:val="0"/>
          <w:bCs/>
          <w:sz w:val="32"/>
          <w:szCs w:val="32"/>
        </w:rPr>
        <w:t>%</w:t>
      </w:r>
      <w:r>
        <w:rPr>
          <w:rStyle w:val="17"/>
          <w:rFonts w:hint="eastAsia" w:ascii="仿宋" w:hAnsi="仿宋" w:eastAsia="仿宋"/>
          <w:b w:val="0"/>
          <w:bCs/>
          <w:sz w:val="32"/>
          <w:szCs w:val="32"/>
        </w:rPr>
        <w:t>，决算数等于预算数。</w:t>
      </w:r>
    </w:p>
    <w:p>
      <w:pPr>
        <w:spacing w:line="600" w:lineRule="exact"/>
        <w:ind w:firstLine="643" w:firstLineChars="200"/>
        <w:rPr>
          <w:rStyle w:val="17"/>
          <w:rFonts w:hint="eastAsia" w:ascii="仿宋" w:hAnsi="仿宋" w:eastAsia="仿宋"/>
          <w:b w:val="0"/>
          <w:bCs/>
          <w:sz w:val="32"/>
          <w:szCs w:val="32"/>
        </w:rPr>
      </w:pPr>
      <w:r>
        <w:rPr>
          <w:rStyle w:val="17"/>
          <w:rFonts w:hint="eastAsia" w:ascii="仿宋" w:hAnsi="仿宋" w:eastAsia="仿宋"/>
          <w:bCs/>
          <w:sz w:val="32"/>
          <w:szCs w:val="32"/>
          <w:lang w:val="en-US" w:eastAsia="zh-CN"/>
        </w:rPr>
        <w:t>10.</w:t>
      </w:r>
      <w:r>
        <w:rPr>
          <w:rStyle w:val="17"/>
          <w:rFonts w:hint="eastAsia" w:ascii="仿宋" w:hAnsi="仿宋" w:eastAsia="仿宋"/>
          <w:bCs/>
          <w:sz w:val="32"/>
          <w:szCs w:val="32"/>
        </w:rPr>
        <w:t>社会保障和就业支出（类）抚恤（款）死亡抚恤（项）</w:t>
      </w:r>
      <w:r>
        <w:rPr>
          <w:rStyle w:val="17"/>
          <w:rFonts w:ascii="仿宋" w:hAnsi="仿宋" w:eastAsia="仿宋"/>
          <w:bCs/>
          <w:sz w:val="32"/>
          <w:szCs w:val="32"/>
        </w:rPr>
        <w:t>:</w:t>
      </w:r>
      <w:r>
        <w:rPr>
          <w:rStyle w:val="17"/>
          <w:rFonts w:hint="eastAsia" w:ascii="仿宋" w:hAnsi="仿宋" w:eastAsia="仿宋"/>
          <w:b w:val="0"/>
          <w:bCs/>
          <w:sz w:val="32"/>
          <w:szCs w:val="32"/>
        </w:rPr>
        <w:t>支出决算为</w:t>
      </w:r>
      <w:r>
        <w:rPr>
          <w:rStyle w:val="17"/>
          <w:rFonts w:hint="eastAsia" w:ascii="仿宋" w:hAnsi="仿宋" w:eastAsia="仿宋"/>
          <w:b w:val="0"/>
          <w:bCs/>
          <w:sz w:val="32"/>
          <w:szCs w:val="32"/>
          <w:lang w:val="en-US" w:eastAsia="zh-CN"/>
        </w:rPr>
        <w:t>109.98</w:t>
      </w:r>
      <w:r>
        <w:rPr>
          <w:rStyle w:val="17"/>
          <w:rFonts w:hint="eastAsia" w:ascii="仿宋" w:hAnsi="仿宋" w:eastAsia="仿宋"/>
          <w:b w:val="0"/>
          <w:bCs/>
          <w:sz w:val="32"/>
          <w:szCs w:val="32"/>
        </w:rPr>
        <w:t>万元，完成预算100</w:t>
      </w:r>
      <w:r>
        <w:rPr>
          <w:rStyle w:val="17"/>
          <w:rFonts w:ascii="仿宋" w:hAnsi="仿宋" w:eastAsia="仿宋"/>
          <w:b w:val="0"/>
          <w:bCs/>
          <w:sz w:val="32"/>
          <w:szCs w:val="32"/>
        </w:rPr>
        <w:t>%</w:t>
      </w:r>
      <w:r>
        <w:rPr>
          <w:rStyle w:val="17"/>
          <w:rFonts w:hint="eastAsia" w:ascii="仿宋" w:hAnsi="仿宋" w:eastAsia="仿宋"/>
          <w:b w:val="0"/>
          <w:bCs/>
          <w:sz w:val="32"/>
          <w:szCs w:val="32"/>
        </w:rPr>
        <w:t>，决算数等于预算数。</w:t>
      </w:r>
    </w:p>
    <w:p>
      <w:pPr>
        <w:pStyle w:val="2"/>
        <w:keepNext w:val="0"/>
        <w:keepLines w:val="0"/>
        <w:pageBreakBefore w:val="0"/>
        <w:widowControl w:val="0"/>
        <w:kinsoku/>
        <w:wordWrap/>
        <w:overflowPunct/>
        <w:topLinePunct w:val="0"/>
        <w:autoSpaceDE/>
        <w:autoSpaceDN/>
        <w:bidi w:val="0"/>
        <w:adjustRightInd/>
        <w:snapToGrid w:val="0"/>
        <w:spacing w:line="600" w:lineRule="exact"/>
        <w:ind w:firstLine="643" w:firstLineChars="200"/>
        <w:textAlignment w:val="auto"/>
        <w:rPr>
          <w:rStyle w:val="17"/>
          <w:rFonts w:hint="eastAsia" w:ascii="仿宋" w:hAnsi="仿宋" w:eastAsia="仿宋"/>
          <w:b w:val="0"/>
          <w:bCs/>
          <w:sz w:val="32"/>
          <w:szCs w:val="32"/>
        </w:rPr>
      </w:pPr>
      <w:r>
        <w:rPr>
          <w:rFonts w:hint="eastAsia" w:ascii="仿宋" w:hAnsi="仿宋" w:eastAsia="仿宋"/>
          <w:b/>
          <w:bCs/>
          <w:sz w:val="32"/>
          <w:szCs w:val="32"/>
          <w:lang w:val="en-US" w:eastAsia="zh-CN"/>
        </w:rPr>
        <w:t>11.</w:t>
      </w:r>
      <w:r>
        <w:rPr>
          <w:rFonts w:hint="eastAsia" w:ascii="仿宋" w:hAnsi="仿宋" w:eastAsia="仿宋"/>
          <w:b/>
          <w:bCs/>
          <w:sz w:val="32"/>
          <w:szCs w:val="32"/>
        </w:rPr>
        <w:t>卫生健康支出</w:t>
      </w:r>
      <w:r>
        <w:rPr>
          <w:rStyle w:val="17"/>
          <w:rFonts w:hint="eastAsia" w:ascii="仿宋" w:hAnsi="仿宋" w:eastAsia="仿宋"/>
          <w:bCs/>
          <w:sz w:val="32"/>
          <w:szCs w:val="32"/>
        </w:rPr>
        <w:t>（类）</w:t>
      </w:r>
      <w:r>
        <w:rPr>
          <w:rStyle w:val="17"/>
          <w:rFonts w:hint="eastAsia" w:ascii="仿宋" w:hAnsi="仿宋" w:eastAsia="仿宋"/>
          <w:bCs/>
          <w:sz w:val="32"/>
          <w:szCs w:val="32"/>
          <w:lang w:eastAsia="zh-CN"/>
        </w:rPr>
        <w:t>公共卫生</w:t>
      </w:r>
      <w:r>
        <w:rPr>
          <w:rStyle w:val="17"/>
          <w:rFonts w:hint="eastAsia" w:ascii="仿宋" w:hAnsi="仿宋" w:eastAsia="仿宋"/>
          <w:bCs/>
          <w:sz w:val="32"/>
          <w:szCs w:val="32"/>
        </w:rPr>
        <w:t>（款）</w:t>
      </w:r>
      <w:r>
        <w:rPr>
          <w:rStyle w:val="17"/>
          <w:rFonts w:hint="eastAsia" w:ascii="仿宋" w:hAnsi="仿宋" w:eastAsia="仿宋"/>
          <w:bCs/>
          <w:sz w:val="32"/>
          <w:szCs w:val="32"/>
          <w:lang w:eastAsia="zh-CN"/>
        </w:rPr>
        <w:t>重大公共卫生服务</w:t>
      </w:r>
      <w:r>
        <w:rPr>
          <w:rStyle w:val="17"/>
          <w:rFonts w:hint="eastAsia" w:ascii="仿宋" w:hAnsi="仿宋" w:eastAsia="仿宋"/>
          <w:bCs/>
          <w:sz w:val="32"/>
          <w:szCs w:val="32"/>
        </w:rPr>
        <w:t>（项）</w:t>
      </w:r>
      <w:r>
        <w:rPr>
          <w:rStyle w:val="17"/>
          <w:rFonts w:ascii="仿宋" w:hAnsi="仿宋" w:eastAsia="仿宋"/>
          <w:bCs/>
          <w:sz w:val="32"/>
          <w:szCs w:val="32"/>
        </w:rPr>
        <w:t>:</w:t>
      </w:r>
      <w:r>
        <w:rPr>
          <w:rStyle w:val="17"/>
          <w:rFonts w:hint="eastAsia" w:ascii="仿宋" w:hAnsi="仿宋" w:eastAsia="仿宋"/>
          <w:b w:val="0"/>
          <w:bCs/>
          <w:sz w:val="32"/>
          <w:szCs w:val="32"/>
        </w:rPr>
        <w:t>支出决算为</w:t>
      </w:r>
      <w:r>
        <w:rPr>
          <w:rStyle w:val="17"/>
          <w:rFonts w:hint="eastAsia" w:ascii="仿宋" w:hAnsi="仿宋" w:eastAsia="仿宋"/>
          <w:b w:val="0"/>
          <w:bCs/>
          <w:sz w:val="32"/>
          <w:szCs w:val="32"/>
          <w:lang w:val="en-US" w:eastAsia="zh-CN"/>
        </w:rPr>
        <w:t>0.3</w:t>
      </w:r>
      <w:r>
        <w:rPr>
          <w:rStyle w:val="17"/>
          <w:rFonts w:hint="eastAsia" w:ascii="仿宋" w:hAnsi="仿宋" w:eastAsia="仿宋"/>
          <w:b w:val="0"/>
          <w:bCs/>
          <w:sz w:val="32"/>
          <w:szCs w:val="32"/>
        </w:rPr>
        <w:t>万元，完成预算100</w:t>
      </w:r>
      <w:r>
        <w:rPr>
          <w:rStyle w:val="17"/>
          <w:rFonts w:ascii="仿宋" w:hAnsi="仿宋" w:eastAsia="仿宋"/>
          <w:b w:val="0"/>
          <w:bCs/>
          <w:sz w:val="32"/>
          <w:szCs w:val="32"/>
        </w:rPr>
        <w:t>%</w:t>
      </w:r>
      <w:r>
        <w:rPr>
          <w:rStyle w:val="17"/>
          <w:rFonts w:hint="eastAsia" w:ascii="仿宋" w:hAnsi="仿宋" w:eastAsia="仿宋"/>
          <w:b w:val="0"/>
          <w:bCs/>
          <w:sz w:val="32"/>
          <w:szCs w:val="32"/>
        </w:rPr>
        <w:t>，决算数等于预算数。</w:t>
      </w:r>
    </w:p>
    <w:p>
      <w:pPr>
        <w:pStyle w:val="3"/>
        <w:ind w:left="0" w:leftChars="0" w:firstLine="643" w:firstLineChars="200"/>
        <w:rPr>
          <w:rStyle w:val="17"/>
          <w:rFonts w:hint="eastAsia" w:ascii="仿宋" w:hAnsi="仿宋" w:eastAsia="仿宋"/>
          <w:b w:val="0"/>
          <w:bCs/>
          <w:sz w:val="32"/>
          <w:szCs w:val="32"/>
        </w:rPr>
      </w:pPr>
      <w:r>
        <w:rPr>
          <w:rFonts w:hint="eastAsia" w:ascii="仿宋" w:hAnsi="仿宋" w:eastAsia="仿宋"/>
          <w:b/>
          <w:bCs/>
          <w:sz w:val="32"/>
          <w:szCs w:val="32"/>
          <w:lang w:val="en-US" w:eastAsia="zh-CN"/>
        </w:rPr>
        <w:t>12.</w:t>
      </w:r>
      <w:r>
        <w:rPr>
          <w:rFonts w:hint="eastAsia" w:ascii="仿宋" w:hAnsi="仿宋" w:eastAsia="仿宋"/>
          <w:b/>
          <w:bCs/>
          <w:sz w:val="32"/>
          <w:szCs w:val="32"/>
        </w:rPr>
        <w:t>卫生健康支出</w:t>
      </w:r>
      <w:r>
        <w:rPr>
          <w:rStyle w:val="17"/>
          <w:rFonts w:hint="eastAsia" w:ascii="仿宋" w:hAnsi="仿宋" w:eastAsia="仿宋"/>
          <w:bCs/>
          <w:sz w:val="32"/>
          <w:szCs w:val="32"/>
        </w:rPr>
        <w:t>（类）行政事业单位医疗（款）行政单位医疗（项）</w:t>
      </w:r>
      <w:r>
        <w:rPr>
          <w:rStyle w:val="17"/>
          <w:rFonts w:ascii="仿宋" w:hAnsi="仿宋" w:eastAsia="仿宋"/>
          <w:bCs/>
          <w:sz w:val="32"/>
          <w:szCs w:val="32"/>
        </w:rPr>
        <w:t>:</w:t>
      </w:r>
      <w:r>
        <w:rPr>
          <w:rStyle w:val="17"/>
          <w:rFonts w:hint="eastAsia" w:ascii="仿宋" w:hAnsi="仿宋" w:eastAsia="仿宋"/>
          <w:b w:val="0"/>
          <w:bCs/>
          <w:sz w:val="32"/>
          <w:szCs w:val="32"/>
        </w:rPr>
        <w:t>支出决算为</w:t>
      </w:r>
      <w:r>
        <w:rPr>
          <w:rStyle w:val="17"/>
          <w:rFonts w:hint="eastAsia" w:ascii="仿宋" w:hAnsi="仿宋" w:eastAsia="仿宋"/>
          <w:b w:val="0"/>
          <w:bCs/>
          <w:sz w:val="32"/>
          <w:szCs w:val="32"/>
          <w:lang w:val="en-US" w:eastAsia="zh-CN"/>
        </w:rPr>
        <w:t>534.41</w:t>
      </w:r>
      <w:r>
        <w:rPr>
          <w:rStyle w:val="17"/>
          <w:rFonts w:hint="eastAsia" w:ascii="仿宋" w:hAnsi="仿宋" w:eastAsia="仿宋"/>
          <w:b w:val="0"/>
          <w:bCs/>
          <w:sz w:val="32"/>
          <w:szCs w:val="32"/>
        </w:rPr>
        <w:t>万元，完成预算100</w:t>
      </w:r>
      <w:r>
        <w:rPr>
          <w:rStyle w:val="17"/>
          <w:rFonts w:ascii="仿宋" w:hAnsi="仿宋" w:eastAsia="仿宋"/>
          <w:b w:val="0"/>
          <w:bCs/>
          <w:sz w:val="32"/>
          <w:szCs w:val="32"/>
        </w:rPr>
        <w:t>%</w:t>
      </w:r>
      <w:r>
        <w:rPr>
          <w:rStyle w:val="17"/>
          <w:rFonts w:hint="eastAsia" w:ascii="仿宋" w:hAnsi="仿宋" w:eastAsia="仿宋"/>
          <w:b w:val="0"/>
          <w:bCs/>
          <w:sz w:val="32"/>
          <w:szCs w:val="32"/>
        </w:rPr>
        <w:t>，决算数等于预算数。</w:t>
      </w:r>
    </w:p>
    <w:p>
      <w:pPr>
        <w:spacing w:line="600" w:lineRule="exact"/>
        <w:ind w:firstLine="643" w:firstLineChars="200"/>
        <w:rPr>
          <w:rStyle w:val="17"/>
          <w:rFonts w:hint="eastAsia" w:ascii="仿宋" w:hAnsi="仿宋" w:eastAsia="仿宋"/>
          <w:b w:val="0"/>
          <w:bCs/>
          <w:sz w:val="32"/>
          <w:szCs w:val="32"/>
        </w:rPr>
      </w:pPr>
      <w:r>
        <w:rPr>
          <w:rFonts w:hint="eastAsia" w:ascii="仿宋" w:hAnsi="仿宋" w:eastAsia="仿宋"/>
          <w:b/>
          <w:bCs/>
          <w:sz w:val="32"/>
          <w:szCs w:val="32"/>
          <w:lang w:val="en-US" w:eastAsia="zh-CN"/>
        </w:rPr>
        <w:t>13.</w:t>
      </w:r>
      <w:r>
        <w:rPr>
          <w:rFonts w:hint="eastAsia" w:ascii="仿宋" w:hAnsi="仿宋" w:eastAsia="仿宋"/>
          <w:b/>
          <w:bCs/>
          <w:sz w:val="32"/>
          <w:szCs w:val="32"/>
        </w:rPr>
        <w:t>卫生健康支出</w:t>
      </w:r>
      <w:r>
        <w:rPr>
          <w:rStyle w:val="17"/>
          <w:rFonts w:hint="eastAsia" w:ascii="仿宋" w:hAnsi="仿宋" w:eastAsia="仿宋"/>
          <w:bCs/>
          <w:sz w:val="32"/>
          <w:szCs w:val="32"/>
        </w:rPr>
        <w:t>（类）行政事业单位医疗（款）公务员医疗补助（项）</w:t>
      </w:r>
      <w:r>
        <w:rPr>
          <w:rStyle w:val="17"/>
          <w:rFonts w:ascii="仿宋" w:hAnsi="仿宋" w:eastAsia="仿宋"/>
          <w:bCs/>
          <w:sz w:val="32"/>
          <w:szCs w:val="32"/>
        </w:rPr>
        <w:t>:</w:t>
      </w:r>
      <w:r>
        <w:rPr>
          <w:rStyle w:val="17"/>
          <w:rFonts w:hint="eastAsia" w:ascii="仿宋" w:hAnsi="仿宋" w:eastAsia="仿宋"/>
          <w:b w:val="0"/>
          <w:bCs/>
          <w:sz w:val="32"/>
          <w:szCs w:val="32"/>
        </w:rPr>
        <w:t>支出决算为</w:t>
      </w:r>
      <w:r>
        <w:rPr>
          <w:rStyle w:val="17"/>
          <w:rFonts w:hint="eastAsia" w:ascii="仿宋" w:hAnsi="仿宋" w:eastAsia="仿宋"/>
          <w:b w:val="0"/>
          <w:bCs/>
          <w:sz w:val="32"/>
          <w:szCs w:val="32"/>
          <w:lang w:val="en-US" w:eastAsia="zh-CN"/>
        </w:rPr>
        <w:t>52.81</w:t>
      </w:r>
      <w:r>
        <w:rPr>
          <w:rStyle w:val="17"/>
          <w:rFonts w:hint="eastAsia" w:ascii="仿宋" w:hAnsi="仿宋" w:eastAsia="仿宋"/>
          <w:b w:val="0"/>
          <w:bCs/>
          <w:sz w:val="32"/>
          <w:szCs w:val="32"/>
        </w:rPr>
        <w:t>万元，完成预算100</w:t>
      </w:r>
      <w:r>
        <w:rPr>
          <w:rStyle w:val="17"/>
          <w:rFonts w:ascii="仿宋" w:hAnsi="仿宋" w:eastAsia="仿宋"/>
          <w:b w:val="0"/>
          <w:bCs/>
          <w:sz w:val="32"/>
          <w:szCs w:val="32"/>
        </w:rPr>
        <w:t>%</w:t>
      </w:r>
      <w:r>
        <w:rPr>
          <w:rStyle w:val="17"/>
          <w:rFonts w:hint="eastAsia" w:ascii="仿宋" w:hAnsi="仿宋" w:eastAsia="仿宋"/>
          <w:b w:val="0"/>
          <w:bCs/>
          <w:sz w:val="32"/>
          <w:szCs w:val="32"/>
        </w:rPr>
        <w:t>，决算数等于预算数。</w:t>
      </w:r>
    </w:p>
    <w:p>
      <w:pPr>
        <w:spacing w:line="600" w:lineRule="exact"/>
        <w:ind w:firstLine="643" w:firstLineChars="200"/>
        <w:rPr>
          <w:rFonts w:eastAsia="仿宋_GB2312" w:cs="仿宋_GB2312"/>
          <w:sz w:val="32"/>
          <w:szCs w:val="32"/>
        </w:rPr>
      </w:pPr>
      <w:r>
        <w:rPr>
          <w:rFonts w:hint="eastAsia" w:ascii="仿宋" w:hAnsi="仿宋" w:eastAsia="仿宋"/>
          <w:b/>
          <w:bCs/>
          <w:sz w:val="32"/>
          <w:szCs w:val="32"/>
          <w:lang w:val="en-US" w:eastAsia="zh-CN"/>
        </w:rPr>
        <w:t>14.</w:t>
      </w:r>
      <w:r>
        <w:rPr>
          <w:rFonts w:hint="eastAsia" w:ascii="仿宋" w:hAnsi="仿宋" w:eastAsia="仿宋"/>
          <w:b/>
          <w:bCs/>
          <w:sz w:val="32"/>
          <w:szCs w:val="32"/>
        </w:rPr>
        <w:t>住房保障支出</w:t>
      </w:r>
      <w:r>
        <w:rPr>
          <w:rStyle w:val="17"/>
          <w:rFonts w:hint="eastAsia" w:ascii="仿宋" w:hAnsi="仿宋" w:eastAsia="仿宋"/>
          <w:bCs/>
          <w:sz w:val="32"/>
          <w:szCs w:val="32"/>
        </w:rPr>
        <w:t>（类）住房改革支出（款）住房公积金（项）</w:t>
      </w:r>
      <w:r>
        <w:rPr>
          <w:rStyle w:val="17"/>
          <w:rFonts w:ascii="仿宋" w:hAnsi="仿宋" w:eastAsia="仿宋"/>
          <w:bCs/>
          <w:sz w:val="32"/>
          <w:szCs w:val="32"/>
        </w:rPr>
        <w:t>:</w:t>
      </w:r>
      <w:r>
        <w:rPr>
          <w:rStyle w:val="17"/>
          <w:rFonts w:hint="eastAsia" w:ascii="仿宋" w:hAnsi="仿宋" w:eastAsia="仿宋"/>
          <w:b w:val="0"/>
          <w:bCs/>
          <w:sz w:val="32"/>
          <w:szCs w:val="32"/>
        </w:rPr>
        <w:t>支出决算为</w:t>
      </w:r>
      <w:r>
        <w:rPr>
          <w:rStyle w:val="17"/>
          <w:rFonts w:hint="eastAsia" w:ascii="仿宋" w:hAnsi="仿宋" w:eastAsia="仿宋"/>
          <w:b w:val="0"/>
          <w:bCs/>
          <w:sz w:val="32"/>
          <w:szCs w:val="32"/>
          <w:lang w:val="en-US" w:eastAsia="zh-CN"/>
        </w:rPr>
        <w:t>916.52</w:t>
      </w:r>
      <w:r>
        <w:rPr>
          <w:rStyle w:val="17"/>
          <w:rFonts w:hint="eastAsia" w:ascii="仿宋" w:hAnsi="仿宋" w:eastAsia="仿宋"/>
          <w:b w:val="0"/>
          <w:bCs/>
          <w:sz w:val="32"/>
          <w:szCs w:val="32"/>
        </w:rPr>
        <w:t>万元，完成预算100</w:t>
      </w:r>
      <w:r>
        <w:rPr>
          <w:rStyle w:val="17"/>
          <w:rFonts w:ascii="仿宋" w:hAnsi="仿宋" w:eastAsia="仿宋"/>
          <w:b w:val="0"/>
          <w:bCs/>
          <w:sz w:val="32"/>
          <w:szCs w:val="32"/>
        </w:rPr>
        <w:t>%</w:t>
      </w:r>
      <w:r>
        <w:rPr>
          <w:rStyle w:val="17"/>
          <w:rFonts w:hint="eastAsia" w:ascii="仿宋" w:hAnsi="仿宋" w:eastAsia="仿宋"/>
          <w:b w:val="0"/>
          <w:bCs/>
          <w:sz w:val="32"/>
          <w:szCs w:val="32"/>
        </w:rPr>
        <w:t>，决算数等于预算数。</w:t>
      </w:r>
    </w:p>
    <w:p>
      <w:pPr>
        <w:pStyle w:val="2"/>
        <w:rPr>
          <w:rFonts w:hint="eastAsia"/>
        </w:rPr>
      </w:pPr>
    </w:p>
    <w:p>
      <w:pPr>
        <w:pStyle w:val="2"/>
        <w:rPr>
          <w:rFonts w:hint="eastAsia"/>
        </w:rPr>
      </w:pPr>
    </w:p>
    <w:p>
      <w:pPr>
        <w:rPr>
          <w:rFonts w:hint="eastAsia"/>
        </w:rPr>
      </w:pPr>
    </w:p>
    <w:p/>
    <w:p>
      <w:pPr>
        <w:pStyle w:val="38"/>
      </w:pPr>
    </w:p>
    <w:p>
      <w:pPr>
        <w:tabs>
          <w:tab w:val="right" w:pos="8306"/>
        </w:tabs>
        <w:spacing w:line="600" w:lineRule="exact"/>
        <w:ind w:firstLine="640"/>
        <w:outlineLvl w:val="1"/>
        <w:rPr>
          <w:rStyle w:val="37"/>
          <w:rFonts w:ascii="Times New Roman" w:hAnsi="Times New Roman"/>
        </w:rPr>
      </w:pPr>
      <w:r>
        <w:rPr>
          <w:rFonts w:hint="eastAsia" w:eastAsia="黑体"/>
          <w:sz w:val="32"/>
          <w:szCs w:val="32"/>
        </w:rPr>
        <w:t>六</w:t>
      </w:r>
      <w:r>
        <w:rPr>
          <w:rFonts w:hint="eastAsia" w:eastAsia="黑体"/>
          <w:b/>
          <w:sz w:val="32"/>
          <w:szCs w:val="32"/>
        </w:rPr>
        <w:t>、一</w:t>
      </w:r>
      <w:r>
        <w:rPr>
          <w:rStyle w:val="37"/>
          <w:rFonts w:hint="eastAsia" w:ascii="Times New Roman" w:hAnsi="Times New Roman" w:eastAsia="黑体"/>
          <w:b w:val="0"/>
        </w:rPr>
        <w:t>般公共预算财政拨款基本支出决算情况说明</w:t>
      </w:r>
      <w:r>
        <w:rPr>
          <w:rStyle w:val="37"/>
          <w:rFonts w:ascii="Times New Roman" w:hAnsi="Times New Roman" w:eastAsia="黑体"/>
          <w:b w:val="0"/>
        </w:rPr>
        <w:tab/>
      </w:r>
    </w:p>
    <w:p>
      <w:pPr>
        <w:spacing w:line="600" w:lineRule="exact"/>
        <w:ind w:firstLine="640"/>
        <w:rPr>
          <w:rFonts w:eastAsia="仿宋_GB2312" w:cs="仿宋_GB2312"/>
          <w:sz w:val="32"/>
          <w:szCs w:val="32"/>
        </w:rPr>
      </w:pPr>
      <w:r>
        <w:rPr>
          <w:rFonts w:hint="eastAsia" w:eastAsia="仿宋_GB2312" w:cs="仿宋_GB2312"/>
          <w:sz w:val="32"/>
          <w:szCs w:val="32"/>
        </w:rPr>
        <w:t>2025年度一般公共预算财政拨款基本支出</w:t>
      </w:r>
      <w:r>
        <w:rPr>
          <w:rFonts w:hint="eastAsia" w:eastAsia="仿宋_GB2312" w:cs="仿宋_GB2312"/>
          <w:sz w:val="32"/>
          <w:szCs w:val="32"/>
          <w:lang w:val="en-US" w:eastAsia="zh-CN"/>
        </w:rPr>
        <w:t>14315.89</w:t>
      </w:r>
      <w:r>
        <w:rPr>
          <w:rFonts w:hint="eastAsia" w:eastAsia="仿宋_GB2312" w:cs="仿宋_GB2312"/>
          <w:sz w:val="32"/>
          <w:szCs w:val="32"/>
        </w:rPr>
        <w:t>万元，其中：</w:t>
      </w:r>
    </w:p>
    <w:p>
      <w:pPr>
        <w:ind w:right="105" w:rightChars="50" w:firstLine="640" w:firstLineChars="200"/>
        <w:rPr>
          <w:rFonts w:hint="eastAsia" w:eastAsia="仿宋_GB2312" w:cs="仿宋_GB2312"/>
          <w:sz w:val="32"/>
          <w:szCs w:val="32"/>
        </w:rPr>
      </w:pPr>
      <w:r>
        <w:rPr>
          <w:rFonts w:hint="eastAsia" w:eastAsia="仿宋_GB2312" w:cs="仿宋_GB2312"/>
          <w:sz w:val="32"/>
          <w:szCs w:val="32"/>
        </w:rPr>
        <w:t>人员经费</w:t>
      </w:r>
      <w:r>
        <w:rPr>
          <w:rFonts w:hint="eastAsia" w:eastAsia="仿宋_GB2312" w:cs="仿宋_GB2312"/>
          <w:sz w:val="32"/>
          <w:szCs w:val="32"/>
          <w:lang w:val="en-US" w:eastAsia="zh-CN"/>
        </w:rPr>
        <w:t>13355.17</w:t>
      </w:r>
      <w:r>
        <w:rPr>
          <w:rFonts w:hint="eastAsia" w:eastAsia="仿宋_GB2312" w:cs="仿宋_GB2312"/>
          <w:sz w:val="32"/>
          <w:szCs w:val="32"/>
        </w:rPr>
        <w:t>万元，主要包括：基本工资</w:t>
      </w:r>
      <w:r>
        <w:rPr>
          <w:rFonts w:hint="eastAsia" w:eastAsia="仿宋_GB2312" w:cs="仿宋_GB2312"/>
          <w:sz w:val="32"/>
          <w:szCs w:val="32"/>
          <w:lang w:val="en-US" w:eastAsia="zh-CN"/>
        </w:rPr>
        <w:t>2368.06万元</w:t>
      </w:r>
      <w:r>
        <w:rPr>
          <w:rFonts w:hint="eastAsia" w:eastAsia="仿宋_GB2312" w:cs="仿宋_GB2312"/>
          <w:sz w:val="32"/>
          <w:szCs w:val="32"/>
        </w:rPr>
        <w:t>、津贴补贴</w:t>
      </w:r>
      <w:r>
        <w:rPr>
          <w:rFonts w:hint="eastAsia" w:eastAsia="仿宋_GB2312" w:cs="仿宋_GB2312"/>
          <w:sz w:val="32"/>
          <w:szCs w:val="32"/>
          <w:lang w:val="en-US" w:eastAsia="zh-CN"/>
        </w:rPr>
        <w:t>2663.16万元</w:t>
      </w:r>
      <w:r>
        <w:rPr>
          <w:rFonts w:hint="eastAsia" w:eastAsia="仿宋_GB2312" w:cs="仿宋_GB2312"/>
          <w:sz w:val="32"/>
          <w:szCs w:val="32"/>
        </w:rPr>
        <w:t>、奖金</w:t>
      </w:r>
      <w:r>
        <w:rPr>
          <w:rFonts w:hint="eastAsia" w:eastAsia="仿宋_GB2312" w:cs="仿宋_GB2312"/>
          <w:sz w:val="32"/>
          <w:szCs w:val="32"/>
          <w:lang w:val="en-US" w:eastAsia="zh-CN"/>
        </w:rPr>
        <w:t>2488.41万元</w:t>
      </w:r>
      <w:r>
        <w:rPr>
          <w:rFonts w:hint="eastAsia" w:eastAsia="仿宋_GB2312" w:cs="仿宋_GB2312"/>
          <w:sz w:val="32"/>
          <w:szCs w:val="32"/>
        </w:rPr>
        <w:t>、机关事业单位基本养老保险缴费</w:t>
      </w:r>
      <w:r>
        <w:rPr>
          <w:rFonts w:hint="eastAsia" w:eastAsia="仿宋_GB2312" w:cs="仿宋_GB2312"/>
          <w:sz w:val="32"/>
          <w:szCs w:val="32"/>
          <w:lang w:val="en-US" w:eastAsia="zh-CN"/>
        </w:rPr>
        <w:t>979.85</w:t>
      </w:r>
      <w:r>
        <w:rPr>
          <w:rFonts w:hint="eastAsia" w:eastAsia="仿宋_GB2312" w:cs="仿宋_GB2312"/>
          <w:sz w:val="32"/>
          <w:szCs w:val="32"/>
        </w:rPr>
        <w:t>、职业年金缴费</w:t>
      </w:r>
      <w:r>
        <w:rPr>
          <w:rFonts w:hint="eastAsia" w:eastAsia="仿宋_GB2312" w:cs="仿宋_GB2312"/>
          <w:sz w:val="32"/>
          <w:szCs w:val="32"/>
          <w:lang w:val="en-US" w:eastAsia="zh-CN"/>
        </w:rPr>
        <w:t>218.06万元</w:t>
      </w:r>
      <w:r>
        <w:rPr>
          <w:rFonts w:hint="eastAsia" w:eastAsia="仿宋_GB2312" w:cs="仿宋_GB2312"/>
          <w:sz w:val="32"/>
          <w:szCs w:val="32"/>
        </w:rPr>
        <w:t>、</w:t>
      </w:r>
      <w:r>
        <w:rPr>
          <w:rFonts w:hint="eastAsia" w:eastAsia="仿宋_GB2312" w:cs="仿宋_GB2312"/>
          <w:sz w:val="32"/>
          <w:szCs w:val="32"/>
          <w:lang w:eastAsia="zh-CN"/>
        </w:rPr>
        <w:t>职工基本医疗保险缴费</w:t>
      </w:r>
      <w:r>
        <w:rPr>
          <w:rFonts w:hint="eastAsia" w:eastAsia="仿宋_GB2312" w:cs="仿宋_GB2312"/>
          <w:sz w:val="32"/>
          <w:szCs w:val="32"/>
          <w:lang w:val="en-US" w:eastAsia="zh-CN"/>
        </w:rPr>
        <w:t>534.41万元、</w:t>
      </w:r>
      <w:r>
        <w:rPr>
          <w:rFonts w:hint="eastAsia" w:eastAsia="仿宋_GB2312" w:cs="仿宋_GB2312"/>
          <w:sz w:val="32"/>
          <w:szCs w:val="32"/>
        </w:rPr>
        <w:t>其他社会保障缴费</w:t>
      </w:r>
      <w:r>
        <w:rPr>
          <w:rFonts w:hint="eastAsia" w:eastAsia="仿宋_GB2312" w:cs="仿宋_GB2312"/>
          <w:sz w:val="32"/>
          <w:szCs w:val="32"/>
          <w:lang w:val="en-US" w:eastAsia="zh-CN"/>
        </w:rPr>
        <w:t>14.11万元</w:t>
      </w:r>
      <w:r>
        <w:rPr>
          <w:rFonts w:hint="eastAsia" w:eastAsia="仿宋_GB2312" w:cs="仿宋_GB2312"/>
          <w:sz w:val="32"/>
          <w:szCs w:val="32"/>
        </w:rPr>
        <w:t>、其他工资福利支出</w:t>
      </w:r>
      <w:r>
        <w:rPr>
          <w:rFonts w:hint="eastAsia" w:eastAsia="仿宋_GB2312" w:cs="仿宋_GB2312"/>
          <w:sz w:val="32"/>
          <w:szCs w:val="32"/>
          <w:lang w:val="en-US" w:eastAsia="zh-CN"/>
        </w:rPr>
        <w:t>2001.87万元</w:t>
      </w:r>
      <w:r>
        <w:rPr>
          <w:rFonts w:hint="eastAsia" w:eastAsia="仿宋_GB2312" w:cs="仿宋_GB2312"/>
          <w:sz w:val="32"/>
          <w:szCs w:val="32"/>
        </w:rPr>
        <w:t>、抚恤金</w:t>
      </w:r>
      <w:r>
        <w:rPr>
          <w:rFonts w:hint="eastAsia" w:eastAsia="仿宋_GB2312" w:cs="仿宋_GB2312"/>
          <w:sz w:val="32"/>
          <w:szCs w:val="32"/>
          <w:lang w:val="en-US" w:eastAsia="zh-CN"/>
        </w:rPr>
        <w:t>109.97万元</w:t>
      </w:r>
      <w:r>
        <w:rPr>
          <w:rFonts w:hint="eastAsia" w:eastAsia="仿宋_GB2312" w:cs="仿宋_GB2312"/>
          <w:sz w:val="32"/>
          <w:szCs w:val="32"/>
        </w:rPr>
        <w:t>、生活补助</w:t>
      </w:r>
      <w:r>
        <w:rPr>
          <w:rFonts w:hint="eastAsia" w:eastAsia="仿宋_GB2312" w:cs="仿宋_GB2312"/>
          <w:sz w:val="32"/>
          <w:szCs w:val="32"/>
          <w:lang w:val="en-US" w:eastAsia="zh-CN"/>
        </w:rPr>
        <w:t>897.13万元</w:t>
      </w:r>
      <w:r>
        <w:rPr>
          <w:rFonts w:hint="eastAsia" w:eastAsia="仿宋_GB2312" w:cs="仿宋_GB2312"/>
          <w:sz w:val="32"/>
          <w:szCs w:val="32"/>
        </w:rPr>
        <w:t>、医疗费补助</w:t>
      </w:r>
      <w:r>
        <w:rPr>
          <w:rFonts w:hint="eastAsia" w:eastAsia="仿宋_GB2312" w:cs="仿宋_GB2312"/>
          <w:sz w:val="32"/>
          <w:szCs w:val="32"/>
          <w:lang w:val="en-US" w:eastAsia="zh-CN"/>
        </w:rPr>
        <w:t>36.62万元</w:t>
      </w:r>
      <w:r>
        <w:rPr>
          <w:rFonts w:hint="eastAsia" w:eastAsia="仿宋_GB2312" w:cs="仿宋_GB2312"/>
          <w:sz w:val="32"/>
          <w:szCs w:val="32"/>
        </w:rPr>
        <w:t>、</w:t>
      </w:r>
      <w:r>
        <w:rPr>
          <w:rFonts w:hint="eastAsia" w:eastAsia="仿宋_GB2312" w:cs="仿宋_GB2312"/>
          <w:sz w:val="32"/>
          <w:szCs w:val="32"/>
          <w:lang w:eastAsia="zh-CN"/>
        </w:rPr>
        <w:t>公务员医疗补助缴费</w:t>
      </w:r>
      <w:r>
        <w:rPr>
          <w:rFonts w:hint="eastAsia" w:eastAsia="仿宋_GB2312" w:cs="仿宋_GB2312"/>
          <w:sz w:val="32"/>
          <w:szCs w:val="32"/>
          <w:lang w:val="en-US" w:eastAsia="zh-CN"/>
        </w:rPr>
        <w:t>118.77万元、</w:t>
      </w:r>
      <w:r>
        <w:rPr>
          <w:rFonts w:hint="eastAsia" w:eastAsia="仿宋_GB2312" w:cs="仿宋_GB2312"/>
          <w:sz w:val="32"/>
          <w:szCs w:val="32"/>
        </w:rPr>
        <w:t>奖励金</w:t>
      </w:r>
      <w:r>
        <w:rPr>
          <w:rFonts w:hint="eastAsia" w:eastAsia="仿宋_GB2312" w:cs="仿宋_GB2312"/>
          <w:sz w:val="32"/>
          <w:szCs w:val="32"/>
          <w:lang w:val="en-US" w:eastAsia="zh-CN"/>
        </w:rPr>
        <w:t>0.23万元</w:t>
      </w:r>
      <w:r>
        <w:rPr>
          <w:rFonts w:hint="eastAsia" w:eastAsia="仿宋_GB2312" w:cs="仿宋_GB2312"/>
          <w:sz w:val="32"/>
          <w:szCs w:val="32"/>
        </w:rPr>
        <w:t>、住房公积金</w:t>
      </w:r>
      <w:r>
        <w:rPr>
          <w:rFonts w:hint="eastAsia" w:eastAsia="仿宋_GB2312" w:cs="仿宋_GB2312"/>
          <w:sz w:val="32"/>
          <w:szCs w:val="32"/>
          <w:lang w:val="en-US" w:eastAsia="zh-CN"/>
        </w:rPr>
        <w:t>916.52万元</w:t>
      </w:r>
      <w:r>
        <w:rPr>
          <w:rFonts w:hint="eastAsia" w:eastAsia="仿宋_GB2312" w:cs="仿宋_GB2312"/>
          <w:sz w:val="32"/>
          <w:szCs w:val="32"/>
        </w:rPr>
        <w:t>、其他对个人和家庭的补助</w:t>
      </w:r>
      <w:r>
        <w:rPr>
          <w:rFonts w:hint="eastAsia" w:eastAsia="仿宋_GB2312" w:cs="仿宋_GB2312"/>
          <w:sz w:val="32"/>
          <w:szCs w:val="32"/>
          <w:lang w:val="en-US" w:eastAsia="zh-CN"/>
        </w:rPr>
        <w:t>8万元</w:t>
      </w:r>
      <w:r>
        <w:rPr>
          <w:rFonts w:hint="eastAsia" w:eastAsia="仿宋_GB2312" w:cs="仿宋_GB2312"/>
          <w:sz w:val="32"/>
          <w:szCs w:val="32"/>
        </w:rPr>
        <w:t>。</w:t>
      </w:r>
      <w:r>
        <w:rPr>
          <w:rFonts w:hint="eastAsia" w:eastAsia="仿宋_GB2312" w:cs="仿宋_GB2312"/>
          <w:sz w:val="32"/>
          <w:szCs w:val="32"/>
        </w:rPr>
        <w:br w:type="textWrapping"/>
      </w:r>
      <w:r>
        <w:rPr>
          <w:rFonts w:hint="eastAsia" w:eastAsia="仿宋_GB2312" w:cs="仿宋_GB2312"/>
          <w:sz w:val="32"/>
          <w:szCs w:val="32"/>
        </w:rPr>
        <w:t>　　公用经费</w:t>
      </w:r>
      <w:r>
        <w:rPr>
          <w:rFonts w:hint="eastAsia" w:eastAsia="仿宋_GB2312" w:cs="仿宋_GB2312"/>
          <w:sz w:val="32"/>
          <w:szCs w:val="32"/>
          <w:lang w:val="en-US" w:eastAsia="zh-CN"/>
        </w:rPr>
        <w:t>960.72</w:t>
      </w:r>
      <w:r>
        <w:rPr>
          <w:rFonts w:hint="eastAsia" w:eastAsia="仿宋_GB2312" w:cs="仿宋_GB2312"/>
          <w:sz w:val="32"/>
          <w:szCs w:val="32"/>
        </w:rPr>
        <w:t>万元，主要包括：办公费</w:t>
      </w:r>
      <w:r>
        <w:rPr>
          <w:rFonts w:hint="eastAsia" w:eastAsia="仿宋_GB2312" w:cs="仿宋_GB2312"/>
          <w:sz w:val="32"/>
          <w:szCs w:val="32"/>
          <w:lang w:val="en-US" w:eastAsia="zh-CN"/>
        </w:rPr>
        <w:t>54.68万元</w:t>
      </w:r>
      <w:r>
        <w:rPr>
          <w:rFonts w:hint="eastAsia" w:eastAsia="仿宋_GB2312" w:cs="仿宋_GB2312"/>
          <w:sz w:val="32"/>
          <w:szCs w:val="32"/>
        </w:rPr>
        <w:t>、印刷费</w:t>
      </w:r>
      <w:r>
        <w:rPr>
          <w:rFonts w:hint="eastAsia" w:eastAsia="仿宋_GB2312" w:cs="仿宋_GB2312"/>
          <w:sz w:val="32"/>
          <w:szCs w:val="32"/>
          <w:lang w:val="en-US" w:eastAsia="zh-CN"/>
        </w:rPr>
        <w:t>3.62万元</w:t>
      </w:r>
      <w:r>
        <w:rPr>
          <w:rFonts w:hint="eastAsia" w:eastAsia="仿宋_GB2312" w:cs="仿宋_GB2312"/>
          <w:sz w:val="32"/>
          <w:szCs w:val="32"/>
        </w:rPr>
        <w:t>、水费</w:t>
      </w:r>
      <w:r>
        <w:rPr>
          <w:rFonts w:hint="eastAsia" w:eastAsia="仿宋_GB2312" w:cs="仿宋_GB2312"/>
          <w:sz w:val="32"/>
          <w:szCs w:val="32"/>
          <w:lang w:val="en-US" w:eastAsia="zh-CN"/>
        </w:rPr>
        <w:t>38.29万元</w:t>
      </w:r>
      <w:r>
        <w:rPr>
          <w:rFonts w:hint="eastAsia" w:eastAsia="仿宋_GB2312" w:cs="仿宋_GB2312"/>
          <w:sz w:val="32"/>
          <w:szCs w:val="32"/>
        </w:rPr>
        <w:t>、电费</w:t>
      </w:r>
      <w:r>
        <w:rPr>
          <w:rFonts w:hint="eastAsia" w:eastAsia="仿宋_GB2312" w:cs="仿宋_GB2312"/>
          <w:sz w:val="32"/>
          <w:szCs w:val="32"/>
          <w:lang w:val="en-US" w:eastAsia="zh-CN"/>
        </w:rPr>
        <w:t>59.93万元</w:t>
      </w:r>
      <w:r>
        <w:rPr>
          <w:rFonts w:hint="eastAsia" w:eastAsia="仿宋_GB2312" w:cs="仿宋_GB2312"/>
          <w:sz w:val="32"/>
          <w:szCs w:val="32"/>
        </w:rPr>
        <w:t>、邮电费</w:t>
      </w:r>
      <w:r>
        <w:rPr>
          <w:rFonts w:hint="eastAsia" w:eastAsia="仿宋_GB2312" w:cs="仿宋_GB2312"/>
          <w:sz w:val="32"/>
          <w:szCs w:val="32"/>
          <w:lang w:val="en-US" w:eastAsia="zh-CN"/>
        </w:rPr>
        <w:t>7.91万元</w:t>
      </w:r>
      <w:r>
        <w:rPr>
          <w:rFonts w:hint="eastAsia" w:eastAsia="仿宋_GB2312" w:cs="仿宋_GB2312"/>
          <w:sz w:val="32"/>
          <w:szCs w:val="32"/>
        </w:rPr>
        <w:t>、物业管理费</w:t>
      </w:r>
      <w:r>
        <w:rPr>
          <w:rFonts w:hint="eastAsia" w:eastAsia="仿宋_GB2312" w:cs="仿宋_GB2312"/>
          <w:sz w:val="32"/>
          <w:szCs w:val="32"/>
          <w:lang w:val="en-US" w:eastAsia="zh-CN"/>
        </w:rPr>
        <w:t>16.8万元</w:t>
      </w:r>
      <w:r>
        <w:rPr>
          <w:rFonts w:hint="eastAsia" w:eastAsia="仿宋_GB2312" w:cs="仿宋_GB2312"/>
          <w:sz w:val="32"/>
          <w:szCs w:val="32"/>
        </w:rPr>
        <w:t>、差旅费</w:t>
      </w:r>
      <w:r>
        <w:rPr>
          <w:rFonts w:hint="eastAsia" w:eastAsia="仿宋_GB2312" w:cs="仿宋_GB2312"/>
          <w:sz w:val="32"/>
          <w:szCs w:val="32"/>
          <w:lang w:val="en-US" w:eastAsia="zh-CN"/>
        </w:rPr>
        <w:t>60万元</w:t>
      </w:r>
      <w:r>
        <w:rPr>
          <w:rFonts w:hint="eastAsia" w:eastAsia="仿宋_GB2312" w:cs="仿宋_GB2312"/>
          <w:sz w:val="32"/>
          <w:szCs w:val="32"/>
        </w:rPr>
        <w:t>、维修（护）费</w:t>
      </w:r>
      <w:r>
        <w:rPr>
          <w:rFonts w:hint="eastAsia" w:eastAsia="仿宋_GB2312" w:cs="仿宋_GB2312"/>
          <w:sz w:val="32"/>
          <w:szCs w:val="32"/>
          <w:lang w:val="en-US" w:eastAsia="zh-CN"/>
        </w:rPr>
        <w:t>9万元</w:t>
      </w:r>
      <w:r>
        <w:rPr>
          <w:rFonts w:hint="eastAsia" w:eastAsia="仿宋_GB2312" w:cs="仿宋_GB2312"/>
          <w:sz w:val="32"/>
          <w:szCs w:val="32"/>
        </w:rPr>
        <w:t>、租赁费、会议费</w:t>
      </w:r>
      <w:r>
        <w:rPr>
          <w:rFonts w:hint="eastAsia" w:eastAsia="仿宋_GB2312" w:cs="仿宋_GB2312"/>
          <w:sz w:val="32"/>
          <w:szCs w:val="32"/>
          <w:lang w:val="en-US" w:eastAsia="zh-CN"/>
        </w:rPr>
        <w:t>0.99万元</w:t>
      </w:r>
      <w:r>
        <w:rPr>
          <w:rFonts w:hint="eastAsia" w:eastAsia="仿宋_GB2312" w:cs="仿宋_GB2312"/>
          <w:sz w:val="32"/>
          <w:szCs w:val="32"/>
        </w:rPr>
        <w:t>、培训费</w:t>
      </w:r>
      <w:r>
        <w:rPr>
          <w:rFonts w:hint="eastAsia" w:eastAsia="仿宋_GB2312" w:cs="仿宋_GB2312"/>
          <w:sz w:val="32"/>
          <w:szCs w:val="32"/>
          <w:lang w:val="en-US" w:eastAsia="zh-CN"/>
        </w:rPr>
        <w:t>9.63万元</w:t>
      </w:r>
      <w:r>
        <w:rPr>
          <w:rFonts w:hint="eastAsia" w:eastAsia="仿宋_GB2312" w:cs="仿宋_GB2312"/>
          <w:sz w:val="32"/>
          <w:szCs w:val="32"/>
        </w:rPr>
        <w:t>、劳务费</w:t>
      </w:r>
      <w:r>
        <w:rPr>
          <w:rFonts w:hint="eastAsia" w:eastAsia="仿宋_GB2312" w:cs="仿宋_GB2312"/>
          <w:sz w:val="32"/>
          <w:szCs w:val="32"/>
          <w:lang w:val="en-US" w:eastAsia="zh-CN"/>
        </w:rPr>
        <w:t>21.03万元</w:t>
      </w:r>
      <w:r>
        <w:rPr>
          <w:rFonts w:hint="eastAsia" w:eastAsia="仿宋_GB2312" w:cs="仿宋_GB2312"/>
          <w:sz w:val="32"/>
          <w:szCs w:val="32"/>
        </w:rPr>
        <w:t>、委托业务费</w:t>
      </w:r>
      <w:r>
        <w:rPr>
          <w:rFonts w:hint="eastAsia" w:eastAsia="仿宋_GB2312" w:cs="仿宋_GB2312"/>
          <w:sz w:val="32"/>
          <w:szCs w:val="32"/>
          <w:lang w:val="en-US" w:eastAsia="zh-CN"/>
        </w:rPr>
        <w:t>8.13万元</w:t>
      </w:r>
      <w:r>
        <w:rPr>
          <w:rFonts w:hint="eastAsia" w:eastAsia="仿宋_GB2312" w:cs="仿宋_GB2312"/>
          <w:sz w:val="32"/>
          <w:szCs w:val="32"/>
        </w:rPr>
        <w:t>、工会经费</w:t>
      </w:r>
      <w:r>
        <w:rPr>
          <w:rFonts w:hint="eastAsia" w:eastAsia="仿宋_GB2312" w:cs="仿宋_GB2312"/>
          <w:sz w:val="32"/>
          <w:szCs w:val="32"/>
          <w:lang w:val="en-US" w:eastAsia="zh-CN"/>
        </w:rPr>
        <w:t>61.45万元</w:t>
      </w:r>
      <w:r>
        <w:rPr>
          <w:rFonts w:hint="eastAsia" w:eastAsia="仿宋_GB2312" w:cs="仿宋_GB2312"/>
          <w:sz w:val="32"/>
          <w:szCs w:val="32"/>
        </w:rPr>
        <w:t>、福利费</w:t>
      </w:r>
      <w:r>
        <w:rPr>
          <w:rFonts w:hint="eastAsia" w:eastAsia="仿宋_GB2312" w:cs="仿宋_GB2312"/>
          <w:sz w:val="32"/>
          <w:szCs w:val="32"/>
          <w:lang w:val="en-US" w:eastAsia="zh-CN"/>
        </w:rPr>
        <w:t>54.31万元</w:t>
      </w:r>
      <w:r>
        <w:rPr>
          <w:rFonts w:hint="eastAsia" w:eastAsia="仿宋_GB2312" w:cs="仿宋_GB2312"/>
          <w:sz w:val="32"/>
          <w:szCs w:val="32"/>
        </w:rPr>
        <w:t>、公务用车运行维护费</w:t>
      </w:r>
      <w:r>
        <w:rPr>
          <w:rFonts w:hint="eastAsia" w:eastAsia="仿宋_GB2312" w:cs="仿宋_GB2312"/>
          <w:sz w:val="32"/>
          <w:szCs w:val="32"/>
          <w:lang w:val="en-US" w:eastAsia="zh-CN"/>
        </w:rPr>
        <w:t>88.11</w:t>
      </w:r>
    </w:p>
    <w:p>
      <w:pPr>
        <w:spacing w:line="600" w:lineRule="exact"/>
        <w:rPr>
          <w:rFonts w:hint="eastAsia" w:eastAsia="仿宋_GB2312" w:cs="仿宋_GB2312"/>
          <w:sz w:val="32"/>
          <w:szCs w:val="32"/>
          <w:lang w:val="en-US" w:eastAsia="zh-CN"/>
        </w:rPr>
      </w:pPr>
      <w:r>
        <w:rPr>
          <w:rFonts w:hint="eastAsia" w:eastAsia="仿宋_GB2312" w:cs="仿宋_GB2312"/>
          <w:sz w:val="32"/>
          <w:szCs w:val="32"/>
          <w:lang w:val="en-US" w:eastAsia="zh-CN"/>
        </w:rPr>
        <w:t>万元</w:t>
      </w:r>
      <w:r>
        <w:rPr>
          <w:rFonts w:hint="eastAsia" w:eastAsia="仿宋_GB2312" w:cs="仿宋_GB2312"/>
          <w:sz w:val="32"/>
          <w:szCs w:val="32"/>
        </w:rPr>
        <w:t>、其他交通费</w:t>
      </w:r>
      <w:r>
        <w:rPr>
          <w:rFonts w:hint="eastAsia" w:eastAsia="仿宋_GB2312" w:cs="仿宋_GB2312"/>
          <w:sz w:val="32"/>
          <w:szCs w:val="32"/>
          <w:lang w:val="en-US" w:eastAsia="zh-CN"/>
        </w:rPr>
        <w:t>403.42万元</w:t>
      </w:r>
      <w:r>
        <w:rPr>
          <w:rFonts w:hint="eastAsia" w:eastAsia="仿宋_GB2312" w:cs="仿宋_GB2312"/>
          <w:sz w:val="32"/>
          <w:szCs w:val="32"/>
        </w:rPr>
        <w:t>、其他商品和服务支出</w:t>
      </w:r>
      <w:r>
        <w:rPr>
          <w:rFonts w:hint="eastAsia" w:eastAsia="仿宋_GB2312" w:cs="仿宋_GB2312"/>
          <w:sz w:val="32"/>
          <w:szCs w:val="32"/>
          <w:lang w:val="en-US" w:eastAsia="zh-CN"/>
        </w:rPr>
        <w:t>63.42。</w:t>
      </w:r>
    </w:p>
    <w:p>
      <w:pPr>
        <w:spacing w:line="600" w:lineRule="exact"/>
        <w:ind w:firstLine="640"/>
        <w:outlineLvl w:val="1"/>
        <w:rPr>
          <w:rStyle w:val="37"/>
          <w:rFonts w:ascii="Times New Roman" w:hAnsi="Times New Roman" w:eastAsia="黑体"/>
          <w:b w:val="0"/>
        </w:rPr>
      </w:pPr>
      <w:r>
        <w:rPr>
          <w:rFonts w:hint="eastAsia" w:eastAsia="黑体"/>
          <w:sz w:val="32"/>
          <w:szCs w:val="32"/>
        </w:rPr>
        <w:t>七、</w:t>
      </w:r>
      <w:r>
        <w:rPr>
          <w:rStyle w:val="37"/>
          <w:rFonts w:hint="eastAsia" w:ascii="Times New Roman" w:hAnsi="Times New Roman" w:eastAsia="黑体"/>
          <w:b w:val="0"/>
        </w:rPr>
        <w:t>财政拨款</w:t>
      </w:r>
      <w:r>
        <w:rPr>
          <w:rStyle w:val="37"/>
          <w:rFonts w:hint="eastAsia" w:ascii="Times New Roman" w:hAnsi="Times New Roman" w:eastAsia="黑体"/>
        </w:rPr>
        <w:t>“</w:t>
      </w:r>
      <w:r>
        <w:rPr>
          <w:rStyle w:val="37"/>
          <w:rFonts w:hint="eastAsia" w:ascii="Times New Roman" w:hAnsi="Times New Roman" w:eastAsia="黑体"/>
          <w:b w:val="0"/>
        </w:rPr>
        <w:t>三公”经费支出决算情况说明</w:t>
      </w:r>
    </w:p>
    <w:p>
      <w:pPr>
        <w:spacing w:line="600" w:lineRule="exact"/>
        <w:ind w:firstLine="643" w:firstLineChars="200"/>
        <w:outlineLvl w:val="2"/>
        <w:rPr>
          <w:rFonts w:eastAsia="楷体_GB2312" w:cs="楷体_GB2312"/>
          <w:b/>
          <w:sz w:val="32"/>
          <w:szCs w:val="32"/>
        </w:rPr>
      </w:pPr>
      <w:r>
        <w:rPr>
          <w:rFonts w:hint="eastAsia" w:eastAsia="楷体_GB2312" w:cs="楷体_GB2312"/>
          <w:b/>
          <w:sz w:val="32"/>
          <w:szCs w:val="32"/>
        </w:rPr>
        <w:t>（一）财政拨款“三公”经费支出决算总体情况说明</w:t>
      </w:r>
    </w:p>
    <w:p>
      <w:pPr>
        <w:spacing w:line="600" w:lineRule="exact"/>
        <w:ind w:firstLine="640"/>
        <w:rPr>
          <w:rFonts w:hint="eastAsia" w:eastAsia="仿宋_GB2312" w:cs="仿宋_GB2312"/>
          <w:sz w:val="32"/>
          <w:szCs w:val="32"/>
          <w:lang w:eastAsia="zh-CN"/>
        </w:rPr>
      </w:pPr>
      <w:r>
        <w:rPr>
          <w:rFonts w:hint="eastAsia" w:eastAsia="仿宋_GB2312" w:cs="仿宋_GB2312"/>
          <w:sz w:val="32"/>
          <w:szCs w:val="32"/>
        </w:rPr>
        <w:t>2025年度财政拨款“三公”经费支出决算为</w:t>
      </w:r>
      <w:r>
        <w:rPr>
          <w:rFonts w:hint="eastAsia" w:eastAsia="仿宋_GB2312" w:cs="仿宋_GB2312"/>
          <w:sz w:val="32"/>
          <w:szCs w:val="32"/>
          <w:lang w:val="en-US" w:eastAsia="zh-CN"/>
        </w:rPr>
        <w:t>88.11</w:t>
      </w:r>
      <w:r>
        <w:rPr>
          <w:rFonts w:hint="eastAsia" w:eastAsia="仿宋_GB2312" w:cs="仿宋_GB2312"/>
          <w:sz w:val="32"/>
          <w:szCs w:val="32"/>
        </w:rPr>
        <w:t>万元，完成预算</w:t>
      </w:r>
      <w:r>
        <w:rPr>
          <w:rFonts w:hint="eastAsia" w:eastAsia="仿宋_GB2312" w:cs="仿宋_GB2312"/>
          <w:sz w:val="32"/>
          <w:szCs w:val="32"/>
          <w:lang w:val="en-US" w:eastAsia="zh-CN"/>
        </w:rPr>
        <w:t>100</w:t>
      </w:r>
      <w:r>
        <w:rPr>
          <w:rFonts w:hint="eastAsia" w:eastAsia="仿宋_GB2312" w:cs="仿宋_GB2312"/>
          <w:sz w:val="32"/>
          <w:szCs w:val="32"/>
        </w:rPr>
        <w:t>%，较上年度增加/减少</w:t>
      </w:r>
      <w:r>
        <w:rPr>
          <w:rFonts w:hint="eastAsia" w:eastAsia="仿宋_GB2312" w:cs="仿宋_GB2312"/>
          <w:sz w:val="32"/>
          <w:szCs w:val="32"/>
          <w:lang w:val="en-US" w:eastAsia="zh-CN"/>
        </w:rPr>
        <w:t>37.46</w:t>
      </w:r>
      <w:r>
        <w:rPr>
          <w:rFonts w:hint="eastAsia" w:eastAsia="仿宋_GB2312" w:cs="仿宋_GB2312"/>
          <w:sz w:val="32"/>
          <w:szCs w:val="32"/>
        </w:rPr>
        <w:t>万元，下降</w:t>
      </w:r>
      <w:r>
        <w:rPr>
          <w:rFonts w:hint="eastAsia" w:eastAsia="仿宋_GB2312" w:cs="仿宋_GB2312"/>
          <w:sz w:val="32"/>
          <w:szCs w:val="32"/>
          <w:lang w:val="en-US" w:eastAsia="zh-CN"/>
        </w:rPr>
        <w:t>29.83</w:t>
      </w:r>
      <w:r>
        <w:rPr>
          <w:rFonts w:hint="eastAsia" w:eastAsia="仿宋_GB2312" w:cs="仿宋_GB2312"/>
          <w:sz w:val="32"/>
          <w:szCs w:val="32"/>
        </w:rPr>
        <w:t>%。决算数与预算数持平</w:t>
      </w:r>
      <w:r>
        <w:rPr>
          <w:rFonts w:hint="eastAsia" w:eastAsia="仿宋_GB2312" w:cs="仿宋_GB2312"/>
          <w:sz w:val="32"/>
          <w:szCs w:val="32"/>
          <w:lang w:eastAsia="zh-CN"/>
        </w:rPr>
        <w:t>。</w:t>
      </w:r>
    </w:p>
    <w:p>
      <w:pPr>
        <w:spacing w:line="600" w:lineRule="exact"/>
        <w:ind w:firstLine="643" w:firstLineChars="200"/>
        <w:outlineLvl w:val="2"/>
        <w:rPr>
          <w:rFonts w:eastAsia="楷体_GB2312" w:cs="楷体_GB2312"/>
          <w:b/>
          <w:sz w:val="32"/>
          <w:szCs w:val="32"/>
        </w:rPr>
      </w:pPr>
      <w:r>
        <w:rPr>
          <w:rFonts w:hint="eastAsia" w:eastAsia="楷体_GB2312" w:cs="楷体_GB2312"/>
          <w:b/>
          <w:sz w:val="32"/>
          <w:szCs w:val="32"/>
        </w:rPr>
        <w:t>（二）财政拨款“三公”经费支出决算具体情况说明</w:t>
      </w:r>
    </w:p>
    <w:p>
      <w:pPr>
        <w:spacing w:line="600" w:lineRule="exact"/>
        <w:ind w:firstLine="640"/>
        <w:rPr>
          <w:rFonts w:eastAsia="仿宋_GB2312" w:cs="仿宋_GB2312"/>
          <w:sz w:val="32"/>
          <w:szCs w:val="32"/>
        </w:rPr>
      </w:pPr>
      <w:r>
        <w:rPr>
          <w:rFonts w:hint="eastAsia" w:eastAsia="仿宋_GB2312" w:cs="仿宋_GB2312"/>
          <w:sz w:val="32"/>
          <w:szCs w:val="32"/>
        </w:rPr>
        <w:t>2025年度财政拨款“三公”经费支出决算中，因公出国（境）费支出决算</w:t>
      </w:r>
      <w:r>
        <w:rPr>
          <w:rFonts w:hint="eastAsia" w:eastAsia="仿宋_GB2312" w:cs="仿宋_GB2312"/>
          <w:sz w:val="32"/>
          <w:szCs w:val="32"/>
          <w:lang w:val="en-US" w:eastAsia="zh-CN"/>
        </w:rPr>
        <w:t>0</w:t>
      </w:r>
      <w:r>
        <w:rPr>
          <w:rFonts w:hint="eastAsia" w:eastAsia="仿宋_GB2312" w:cs="仿宋_GB2312"/>
          <w:sz w:val="32"/>
          <w:szCs w:val="32"/>
        </w:rPr>
        <w:t>万元，占</w:t>
      </w:r>
      <w:r>
        <w:rPr>
          <w:rFonts w:hint="eastAsia" w:eastAsia="仿宋_GB2312" w:cs="仿宋_GB2312"/>
          <w:sz w:val="32"/>
          <w:szCs w:val="32"/>
          <w:lang w:val="en-US" w:eastAsia="zh-CN"/>
        </w:rPr>
        <w:t>0</w:t>
      </w:r>
      <w:r>
        <w:rPr>
          <w:rFonts w:hint="eastAsia" w:eastAsia="仿宋_GB2312" w:cs="仿宋_GB2312"/>
          <w:sz w:val="32"/>
          <w:szCs w:val="32"/>
        </w:rPr>
        <w:t>%；公务用车购置及运行维护费支出决算</w:t>
      </w:r>
      <w:r>
        <w:rPr>
          <w:rFonts w:hint="eastAsia" w:eastAsia="仿宋_GB2312" w:cs="仿宋_GB2312"/>
          <w:sz w:val="32"/>
          <w:szCs w:val="32"/>
          <w:lang w:val="en-US" w:eastAsia="zh-CN"/>
        </w:rPr>
        <w:t>88.11</w:t>
      </w:r>
      <w:r>
        <w:rPr>
          <w:rFonts w:hint="eastAsia" w:eastAsia="仿宋_GB2312" w:cs="仿宋_GB2312"/>
          <w:sz w:val="32"/>
          <w:szCs w:val="32"/>
        </w:rPr>
        <w:t>万元，占</w:t>
      </w:r>
      <w:r>
        <w:rPr>
          <w:rFonts w:hint="eastAsia" w:eastAsia="仿宋_GB2312" w:cs="仿宋_GB2312"/>
          <w:sz w:val="32"/>
          <w:szCs w:val="32"/>
          <w:lang w:val="en-US" w:eastAsia="zh-CN"/>
        </w:rPr>
        <w:t>100</w:t>
      </w:r>
      <w:r>
        <w:rPr>
          <w:rFonts w:hint="eastAsia" w:eastAsia="仿宋_GB2312" w:cs="仿宋_GB2312"/>
          <w:sz w:val="32"/>
          <w:szCs w:val="32"/>
        </w:rPr>
        <w:t>%；公务接待费支出决算</w:t>
      </w:r>
      <w:r>
        <w:rPr>
          <w:rFonts w:hint="eastAsia" w:eastAsia="仿宋_GB2312" w:cs="仿宋_GB2312"/>
          <w:sz w:val="32"/>
          <w:szCs w:val="32"/>
          <w:lang w:val="en-US" w:eastAsia="zh-CN"/>
        </w:rPr>
        <w:t>0</w:t>
      </w:r>
      <w:r>
        <w:rPr>
          <w:rFonts w:hint="eastAsia" w:eastAsia="仿宋_GB2312" w:cs="仿宋_GB2312"/>
          <w:sz w:val="32"/>
          <w:szCs w:val="32"/>
        </w:rPr>
        <w:t>万元，占</w:t>
      </w:r>
      <w:r>
        <w:rPr>
          <w:rFonts w:hint="eastAsia" w:eastAsia="仿宋_GB2312" w:cs="仿宋_GB2312"/>
          <w:sz w:val="32"/>
          <w:szCs w:val="32"/>
          <w:lang w:val="en-US" w:eastAsia="zh-CN"/>
        </w:rPr>
        <w:t>0</w:t>
      </w:r>
      <w:r>
        <w:rPr>
          <w:rFonts w:hint="eastAsia" w:eastAsia="仿宋_GB2312" w:cs="仿宋_GB2312"/>
          <w:sz w:val="32"/>
          <w:szCs w:val="32"/>
        </w:rPr>
        <w:t>%。具体情况如下：</w:t>
      </w:r>
    </w:p>
    <w:p>
      <w:pPr>
        <w:spacing w:line="600" w:lineRule="exact"/>
        <w:ind w:firstLine="640"/>
        <w:rPr>
          <w:rFonts w:hint="eastAsia" w:eastAsia="仿宋_GB2312" w:cs="仿宋_GB2312"/>
          <w:sz w:val="32"/>
          <w:szCs w:val="32"/>
        </w:rPr>
      </w:pPr>
      <w:r>
        <w:rPr>
          <w:rFonts w:hint="eastAsia" w:eastAsia="仿宋_GB2312" w:cs="仿宋_GB2312"/>
          <w:sz w:val="32"/>
          <w:szCs w:val="32"/>
        </w:rPr>
        <w:t>（图7：财政拨款“三公”经费支出结构）（饼状图）</w:t>
      </w:r>
    </w:p>
    <w:p>
      <w:pPr>
        <w:rPr>
          <w:rFonts w:hint="eastAsia" w:eastAsia="仿宋_GB2312" w:cs="仿宋_GB2312"/>
          <w:sz w:val="32"/>
          <w:szCs w:val="32"/>
        </w:rPr>
      </w:pPr>
      <w:r>
        <w:drawing>
          <wp:inline distT="0" distB="0" distL="0" distR="0">
            <wp:extent cx="5102860" cy="2724785"/>
            <wp:effectExtent l="4445" t="4445" r="17145" b="13970"/>
            <wp:docPr id="10" name="图表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pPr>
        <w:spacing w:line="600" w:lineRule="exact"/>
        <w:ind w:firstLine="640"/>
        <w:rPr>
          <w:rFonts w:ascii="仿宋_GB2312" w:eastAsia="仿宋_GB2312"/>
          <w:b/>
          <w:sz w:val="32"/>
          <w:szCs w:val="32"/>
        </w:rPr>
      </w:pPr>
      <w:r>
        <w:rPr>
          <w:rFonts w:hint="eastAsia" w:eastAsia="仿宋_GB2312" w:cs="仿宋_GB2312"/>
          <w:b/>
          <w:bCs/>
          <w:sz w:val="32"/>
          <w:szCs w:val="32"/>
        </w:rPr>
        <w:t>1.因公出国（境）经费支出</w:t>
      </w:r>
      <w:r>
        <w:rPr>
          <w:rFonts w:hint="eastAsia" w:eastAsia="仿宋_GB2312" w:cs="仿宋_GB2312"/>
          <w:b/>
          <w:bCs/>
          <w:sz w:val="32"/>
          <w:szCs w:val="32"/>
          <w:lang w:val="en-US" w:eastAsia="zh-CN"/>
        </w:rPr>
        <w:t>0</w:t>
      </w:r>
      <w:r>
        <w:rPr>
          <w:rFonts w:hint="eastAsia" w:eastAsia="仿宋_GB2312" w:cs="仿宋_GB2312"/>
          <w:b/>
          <w:bCs/>
          <w:sz w:val="32"/>
          <w:szCs w:val="32"/>
        </w:rPr>
        <w:t>万元，完成预算</w:t>
      </w:r>
      <w:r>
        <w:rPr>
          <w:rFonts w:hint="eastAsia" w:eastAsia="仿宋_GB2312" w:cs="仿宋_GB2312"/>
          <w:b/>
          <w:bCs/>
          <w:sz w:val="32"/>
          <w:szCs w:val="32"/>
          <w:lang w:val="en-US" w:eastAsia="zh-CN"/>
        </w:rPr>
        <w:t>0</w:t>
      </w:r>
      <w:r>
        <w:rPr>
          <w:rFonts w:hint="eastAsia" w:eastAsia="仿宋_GB2312" w:cs="仿宋_GB2312"/>
          <w:b/>
          <w:bCs/>
          <w:sz w:val="32"/>
          <w:szCs w:val="32"/>
        </w:rPr>
        <w:t>%。</w:t>
      </w:r>
      <w:r>
        <w:rPr>
          <w:rFonts w:hint="eastAsia" w:eastAsia="仿宋_GB2312" w:cs="仿宋_GB2312"/>
          <w:sz w:val="32"/>
          <w:szCs w:val="32"/>
        </w:rPr>
        <w:t>全年安排因公出国（境）团组</w:t>
      </w:r>
      <w:r>
        <w:rPr>
          <w:rFonts w:hint="eastAsia" w:eastAsia="仿宋_GB2312" w:cs="仿宋_GB2312"/>
          <w:sz w:val="32"/>
          <w:szCs w:val="32"/>
          <w:lang w:val="en-US" w:eastAsia="zh-CN"/>
        </w:rPr>
        <w:t>0</w:t>
      </w:r>
      <w:r>
        <w:rPr>
          <w:rFonts w:hint="eastAsia" w:eastAsia="仿宋_GB2312" w:cs="仿宋_GB2312"/>
          <w:sz w:val="32"/>
          <w:szCs w:val="32"/>
        </w:rPr>
        <w:t>次，出国（境）</w:t>
      </w:r>
      <w:r>
        <w:rPr>
          <w:rFonts w:hint="eastAsia" w:eastAsia="仿宋_GB2312" w:cs="仿宋_GB2312"/>
          <w:sz w:val="32"/>
          <w:szCs w:val="32"/>
          <w:lang w:val="en-US" w:eastAsia="zh-CN"/>
        </w:rPr>
        <w:t>0</w:t>
      </w:r>
      <w:r>
        <w:rPr>
          <w:rFonts w:hint="eastAsia" w:eastAsia="仿宋_GB2312" w:cs="仿宋_GB2312"/>
          <w:sz w:val="32"/>
          <w:szCs w:val="32"/>
        </w:rPr>
        <w:t>人。</w:t>
      </w:r>
      <w:r>
        <w:rPr>
          <w:rFonts w:hint="eastAsia" w:ascii="仿宋_GB2312" w:eastAsia="仿宋_GB2312"/>
          <w:sz w:val="32"/>
          <w:szCs w:val="32"/>
        </w:rPr>
        <w:t>因公出国（境）支出决算与202</w:t>
      </w:r>
      <w:r>
        <w:rPr>
          <w:rFonts w:hint="eastAsia" w:ascii="仿宋_GB2312" w:eastAsia="仿宋_GB2312"/>
          <w:sz w:val="32"/>
          <w:szCs w:val="32"/>
          <w:lang w:val="en-US" w:eastAsia="zh-CN"/>
        </w:rPr>
        <w:t>4</w:t>
      </w:r>
      <w:r>
        <w:rPr>
          <w:rFonts w:hint="eastAsia" w:ascii="仿宋_GB2312" w:eastAsia="仿宋_GB2312"/>
          <w:sz w:val="32"/>
          <w:szCs w:val="32"/>
        </w:rPr>
        <w:t>年持平，皆为0。</w:t>
      </w:r>
    </w:p>
    <w:p>
      <w:pPr>
        <w:snapToGrid w:val="0"/>
        <w:spacing w:line="520" w:lineRule="exact"/>
        <w:ind w:firstLine="643" w:firstLineChars="200"/>
        <w:rPr>
          <w:rFonts w:hint="eastAsia"/>
        </w:rPr>
      </w:pPr>
      <w:r>
        <w:rPr>
          <w:rFonts w:hint="eastAsia" w:eastAsia="仿宋_GB2312" w:cs="仿宋_GB2312"/>
          <w:b/>
          <w:bCs/>
          <w:sz w:val="32"/>
          <w:szCs w:val="32"/>
        </w:rPr>
        <w:t>2.公务用车购置及运行维护费支出</w:t>
      </w:r>
      <w:r>
        <w:rPr>
          <w:rFonts w:hint="eastAsia" w:eastAsia="仿宋_GB2312" w:cs="仿宋_GB2312"/>
          <w:b/>
          <w:bCs/>
          <w:sz w:val="32"/>
          <w:szCs w:val="32"/>
          <w:lang w:val="en-US" w:eastAsia="zh-CN"/>
        </w:rPr>
        <w:t>88.11</w:t>
      </w:r>
      <w:r>
        <w:rPr>
          <w:rFonts w:hint="eastAsia" w:eastAsia="仿宋_GB2312" w:cs="仿宋_GB2312"/>
          <w:b/>
          <w:bCs/>
          <w:sz w:val="32"/>
          <w:szCs w:val="32"/>
        </w:rPr>
        <w:t>万元，完成预算</w:t>
      </w:r>
      <w:r>
        <w:rPr>
          <w:rFonts w:hint="eastAsia" w:eastAsia="仿宋_GB2312" w:cs="仿宋_GB2312"/>
          <w:b/>
          <w:bCs/>
          <w:sz w:val="32"/>
          <w:szCs w:val="32"/>
          <w:lang w:val="en-US" w:eastAsia="zh-CN"/>
        </w:rPr>
        <w:t>100</w:t>
      </w:r>
      <w:r>
        <w:rPr>
          <w:rFonts w:hint="eastAsia" w:eastAsia="仿宋_GB2312" w:cs="仿宋_GB2312"/>
          <w:b/>
          <w:bCs/>
          <w:sz w:val="32"/>
          <w:szCs w:val="32"/>
        </w:rPr>
        <w:t>%。</w:t>
      </w:r>
      <w:r>
        <w:rPr>
          <w:rFonts w:hint="eastAsia" w:eastAsia="仿宋_GB2312" w:cs="仿宋_GB2312"/>
          <w:sz w:val="32"/>
          <w:szCs w:val="32"/>
        </w:rPr>
        <w:t>公务用车购置及运行维护费支出决算比上年度增减少</w:t>
      </w:r>
      <w:r>
        <w:rPr>
          <w:rFonts w:hint="eastAsia" w:eastAsia="仿宋_GB2312" w:cs="仿宋_GB2312"/>
          <w:sz w:val="32"/>
          <w:szCs w:val="32"/>
          <w:lang w:val="en-US" w:eastAsia="zh-CN"/>
        </w:rPr>
        <w:t>37.46</w:t>
      </w:r>
      <w:r>
        <w:rPr>
          <w:rFonts w:hint="eastAsia" w:eastAsia="仿宋_GB2312" w:cs="仿宋_GB2312"/>
          <w:sz w:val="32"/>
          <w:szCs w:val="32"/>
        </w:rPr>
        <w:t>万元，下降</w:t>
      </w:r>
      <w:r>
        <w:rPr>
          <w:rFonts w:hint="eastAsia" w:eastAsia="仿宋_GB2312" w:cs="仿宋_GB2312"/>
          <w:sz w:val="32"/>
          <w:szCs w:val="32"/>
          <w:lang w:val="en-US" w:eastAsia="zh-CN"/>
        </w:rPr>
        <w:t>29.83</w:t>
      </w:r>
      <w:r>
        <w:rPr>
          <w:rFonts w:hint="eastAsia" w:eastAsia="仿宋_GB2312" w:cs="仿宋_GB2312"/>
          <w:sz w:val="32"/>
          <w:szCs w:val="32"/>
        </w:rPr>
        <w:t>%。</w:t>
      </w:r>
      <w:r>
        <w:rPr>
          <w:rFonts w:hint="eastAsia" w:eastAsia="仿宋_GB2312" w:cs="仿宋_GB2312"/>
          <w:sz w:val="32"/>
          <w:szCs w:val="32"/>
          <w:lang w:eastAsia="zh-CN"/>
        </w:rPr>
        <w:t>主要原因是：</w:t>
      </w:r>
      <w:r>
        <w:rPr>
          <w:rFonts w:hint="eastAsia" w:ascii="仿宋_GB2312" w:hAnsi="仿宋" w:eastAsia="仿宋_GB2312"/>
          <w:sz w:val="32"/>
          <w:szCs w:val="32"/>
          <w:lang w:val="en-US" w:eastAsia="zh-CN"/>
        </w:rPr>
        <w:t>因为出台了新的车辆管理办法，且老旧车辆减少，总的维修费用减少</w:t>
      </w:r>
      <w:r>
        <w:rPr>
          <w:rFonts w:hint="eastAsia" w:ascii="仿宋_GB2312" w:hAnsi="仿宋" w:eastAsia="仿宋_GB2312"/>
          <w:sz w:val="32"/>
          <w:szCs w:val="32"/>
        </w:rPr>
        <w:t>。</w:t>
      </w:r>
    </w:p>
    <w:p>
      <w:pPr>
        <w:spacing w:line="600" w:lineRule="exact"/>
        <w:ind w:firstLine="640"/>
        <w:rPr>
          <w:rFonts w:eastAsia="仿宋_GB2312" w:cs="仿宋_GB2312"/>
          <w:sz w:val="32"/>
          <w:szCs w:val="32"/>
        </w:rPr>
      </w:pPr>
      <w:r>
        <w:rPr>
          <w:rFonts w:hint="eastAsia" w:eastAsia="仿宋_GB2312" w:cs="仿宋_GB2312"/>
          <w:sz w:val="32"/>
          <w:szCs w:val="32"/>
        </w:rPr>
        <w:t>其中：公务用车购置支出</w:t>
      </w:r>
      <w:r>
        <w:rPr>
          <w:rFonts w:hint="eastAsia" w:eastAsia="仿宋_GB2312" w:cs="仿宋_GB2312"/>
          <w:sz w:val="32"/>
          <w:szCs w:val="32"/>
          <w:lang w:val="en-US" w:eastAsia="zh-CN"/>
        </w:rPr>
        <w:t>0</w:t>
      </w:r>
      <w:r>
        <w:rPr>
          <w:rFonts w:hint="eastAsia" w:eastAsia="仿宋_GB2312" w:cs="仿宋_GB2312"/>
          <w:sz w:val="32"/>
          <w:szCs w:val="32"/>
        </w:rPr>
        <w:t>万元。全年按规定更新购置公务用车</w:t>
      </w:r>
      <w:r>
        <w:rPr>
          <w:rFonts w:hint="eastAsia" w:eastAsia="仿宋_GB2312" w:cs="仿宋_GB2312"/>
          <w:sz w:val="32"/>
          <w:szCs w:val="32"/>
          <w:lang w:val="en-US" w:eastAsia="zh-CN"/>
        </w:rPr>
        <w:t>0</w:t>
      </w:r>
      <w:r>
        <w:rPr>
          <w:rFonts w:hint="eastAsia" w:eastAsia="仿宋_GB2312" w:cs="仿宋_GB2312"/>
          <w:sz w:val="32"/>
          <w:szCs w:val="32"/>
        </w:rPr>
        <w:t>辆，其中：轿车</w:t>
      </w:r>
      <w:r>
        <w:rPr>
          <w:rFonts w:hint="eastAsia" w:eastAsia="仿宋_GB2312" w:cs="仿宋_GB2312"/>
          <w:sz w:val="32"/>
          <w:szCs w:val="32"/>
          <w:lang w:val="en-US" w:eastAsia="zh-CN"/>
        </w:rPr>
        <w:t>0</w:t>
      </w:r>
      <w:r>
        <w:rPr>
          <w:rFonts w:hint="eastAsia" w:eastAsia="仿宋_GB2312" w:cs="仿宋_GB2312"/>
          <w:sz w:val="32"/>
          <w:szCs w:val="32"/>
        </w:rPr>
        <w:t>辆、金额</w:t>
      </w:r>
      <w:r>
        <w:rPr>
          <w:rFonts w:hint="eastAsia" w:eastAsia="仿宋_GB2312" w:cs="仿宋_GB2312"/>
          <w:sz w:val="32"/>
          <w:szCs w:val="32"/>
          <w:lang w:val="en-US" w:eastAsia="zh-CN"/>
        </w:rPr>
        <w:t>0</w:t>
      </w:r>
      <w:r>
        <w:rPr>
          <w:rFonts w:hint="eastAsia" w:eastAsia="仿宋_GB2312" w:cs="仿宋_GB2312"/>
          <w:sz w:val="32"/>
          <w:szCs w:val="32"/>
        </w:rPr>
        <w:t>万元，越野车</w:t>
      </w:r>
      <w:r>
        <w:rPr>
          <w:rFonts w:hint="eastAsia" w:eastAsia="仿宋_GB2312" w:cs="仿宋_GB2312"/>
          <w:sz w:val="32"/>
          <w:szCs w:val="32"/>
          <w:lang w:val="en-US" w:eastAsia="zh-CN"/>
        </w:rPr>
        <w:t>0</w:t>
      </w:r>
      <w:r>
        <w:rPr>
          <w:rFonts w:hint="eastAsia" w:eastAsia="仿宋_GB2312" w:cs="仿宋_GB2312"/>
          <w:sz w:val="32"/>
          <w:szCs w:val="32"/>
        </w:rPr>
        <w:t>辆、金额</w:t>
      </w:r>
      <w:r>
        <w:rPr>
          <w:rFonts w:hint="eastAsia" w:eastAsia="仿宋_GB2312" w:cs="仿宋_GB2312"/>
          <w:sz w:val="32"/>
          <w:szCs w:val="32"/>
          <w:lang w:val="en-US" w:eastAsia="zh-CN"/>
        </w:rPr>
        <w:t>0</w:t>
      </w:r>
      <w:r>
        <w:rPr>
          <w:rFonts w:hint="eastAsia" w:eastAsia="仿宋_GB2312" w:cs="仿宋_GB2312"/>
          <w:sz w:val="32"/>
          <w:szCs w:val="32"/>
        </w:rPr>
        <w:t>万元，载客汽车</w:t>
      </w:r>
      <w:r>
        <w:rPr>
          <w:rFonts w:hint="eastAsia" w:eastAsia="仿宋_GB2312" w:cs="仿宋_GB2312"/>
          <w:sz w:val="32"/>
          <w:szCs w:val="32"/>
          <w:lang w:val="en-US" w:eastAsia="zh-CN"/>
        </w:rPr>
        <w:t>0</w:t>
      </w:r>
      <w:r>
        <w:rPr>
          <w:rFonts w:hint="eastAsia" w:eastAsia="仿宋_GB2312" w:cs="仿宋_GB2312"/>
          <w:sz w:val="32"/>
          <w:szCs w:val="32"/>
        </w:rPr>
        <w:t>辆、金额</w:t>
      </w:r>
      <w:r>
        <w:rPr>
          <w:rFonts w:hint="eastAsia" w:eastAsia="仿宋_GB2312" w:cs="仿宋_GB2312"/>
          <w:sz w:val="32"/>
          <w:szCs w:val="32"/>
          <w:lang w:val="en-US" w:eastAsia="zh-CN"/>
        </w:rPr>
        <w:t>0</w:t>
      </w:r>
      <w:r>
        <w:rPr>
          <w:rFonts w:hint="eastAsia" w:eastAsia="仿宋_GB2312" w:cs="仿宋_GB2312"/>
          <w:sz w:val="32"/>
          <w:szCs w:val="32"/>
        </w:rPr>
        <w:t>万元。截至2025年12月31日，单位共有公务用车</w:t>
      </w:r>
      <w:r>
        <w:rPr>
          <w:rFonts w:hint="eastAsia" w:eastAsia="仿宋_GB2312" w:cs="仿宋_GB2312"/>
          <w:sz w:val="32"/>
          <w:szCs w:val="32"/>
          <w:lang w:val="en-US" w:eastAsia="zh-CN"/>
        </w:rPr>
        <w:t>91</w:t>
      </w:r>
      <w:r>
        <w:rPr>
          <w:rFonts w:hint="eastAsia" w:eastAsia="仿宋_GB2312" w:cs="仿宋_GB2312"/>
          <w:sz w:val="32"/>
          <w:szCs w:val="32"/>
        </w:rPr>
        <w:t>辆，其中：轿车</w:t>
      </w:r>
      <w:r>
        <w:rPr>
          <w:rFonts w:hint="eastAsia" w:eastAsia="仿宋_GB2312" w:cs="仿宋_GB2312"/>
          <w:sz w:val="32"/>
          <w:szCs w:val="32"/>
          <w:lang w:val="en-US" w:eastAsia="zh-CN"/>
        </w:rPr>
        <w:t>52</w:t>
      </w:r>
      <w:r>
        <w:rPr>
          <w:rFonts w:hint="eastAsia" w:eastAsia="仿宋_GB2312" w:cs="仿宋_GB2312"/>
          <w:sz w:val="32"/>
          <w:szCs w:val="32"/>
        </w:rPr>
        <w:t>辆、越野车</w:t>
      </w:r>
      <w:r>
        <w:rPr>
          <w:rFonts w:hint="eastAsia" w:eastAsia="仿宋_GB2312" w:cs="仿宋_GB2312"/>
          <w:sz w:val="32"/>
          <w:szCs w:val="32"/>
          <w:lang w:val="en-US" w:eastAsia="zh-CN"/>
        </w:rPr>
        <w:t>19</w:t>
      </w:r>
      <w:r>
        <w:rPr>
          <w:rFonts w:hint="eastAsia" w:eastAsia="仿宋_GB2312" w:cs="仿宋_GB2312"/>
          <w:sz w:val="32"/>
          <w:szCs w:val="32"/>
        </w:rPr>
        <w:t>辆、载客汽车</w:t>
      </w:r>
      <w:r>
        <w:rPr>
          <w:rFonts w:hint="eastAsia" w:eastAsia="仿宋_GB2312" w:cs="仿宋_GB2312"/>
          <w:sz w:val="32"/>
          <w:szCs w:val="32"/>
          <w:lang w:val="en-US" w:eastAsia="zh-CN"/>
        </w:rPr>
        <w:t>20</w:t>
      </w:r>
      <w:r>
        <w:rPr>
          <w:rFonts w:hint="eastAsia" w:eastAsia="仿宋_GB2312" w:cs="仿宋_GB2312"/>
          <w:sz w:val="32"/>
          <w:szCs w:val="32"/>
        </w:rPr>
        <w:t>辆。</w:t>
      </w:r>
    </w:p>
    <w:p>
      <w:pPr>
        <w:spacing w:line="600" w:lineRule="exact"/>
        <w:ind w:firstLine="640"/>
        <w:rPr>
          <w:rFonts w:ascii="仿宋_GB2312" w:eastAsia="仿宋_GB2312"/>
          <w:sz w:val="32"/>
          <w:szCs w:val="32"/>
        </w:rPr>
      </w:pPr>
      <w:r>
        <w:rPr>
          <w:rFonts w:hint="eastAsia" w:eastAsia="仿宋_GB2312" w:cs="仿宋_GB2312"/>
          <w:sz w:val="32"/>
          <w:szCs w:val="32"/>
        </w:rPr>
        <w:t>公务用车运行维护费支出</w:t>
      </w:r>
      <w:r>
        <w:rPr>
          <w:rFonts w:hint="eastAsia" w:eastAsia="仿宋_GB2312" w:cs="仿宋_GB2312"/>
          <w:sz w:val="32"/>
          <w:szCs w:val="32"/>
          <w:lang w:val="en-US" w:eastAsia="zh-CN"/>
        </w:rPr>
        <w:t>88.11</w:t>
      </w:r>
      <w:r>
        <w:rPr>
          <w:rFonts w:hint="eastAsia" w:eastAsia="仿宋_GB2312" w:cs="仿宋_GB2312"/>
          <w:sz w:val="32"/>
          <w:szCs w:val="32"/>
        </w:rPr>
        <w:t>万元。</w:t>
      </w:r>
      <w:r>
        <w:rPr>
          <w:rFonts w:hint="eastAsia" w:ascii="仿宋_GB2312" w:eastAsia="仿宋_GB2312"/>
          <w:sz w:val="32"/>
          <w:szCs w:val="32"/>
        </w:rPr>
        <w:t>主要用于侦查、办案、巡逻等所需的公务用车燃料费、维修费、过路过桥费、保险费等支出。</w:t>
      </w:r>
    </w:p>
    <w:p>
      <w:pPr>
        <w:spacing w:line="600" w:lineRule="exact"/>
        <w:ind w:firstLine="640"/>
        <w:rPr>
          <w:rFonts w:eastAsia="仿宋_GB2312" w:cs="仿宋_GB2312"/>
          <w:sz w:val="32"/>
          <w:szCs w:val="32"/>
        </w:rPr>
      </w:pPr>
      <w:r>
        <w:rPr>
          <w:rFonts w:hint="eastAsia" w:eastAsia="仿宋_GB2312" w:cs="仿宋_GB2312"/>
          <w:b/>
          <w:bCs/>
          <w:sz w:val="32"/>
          <w:szCs w:val="32"/>
        </w:rPr>
        <w:t>3.公务接待费支出</w:t>
      </w:r>
      <w:r>
        <w:rPr>
          <w:rFonts w:hint="eastAsia" w:eastAsia="仿宋_GB2312" w:cs="仿宋_GB2312"/>
          <w:b/>
          <w:bCs/>
          <w:sz w:val="32"/>
          <w:szCs w:val="32"/>
          <w:lang w:val="en-US" w:eastAsia="zh-CN"/>
        </w:rPr>
        <w:t>0</w:t>
      </w:r>
      <w:r>
        <w:rPr>
          <w:rFonts w:hint="eastAsia" w:eastAsia="仿宋_GB2312" w:cs="仿宋_GB2312"/>
          <w:b/>
          <w:bCs/>
          <w:sz w:val="32"/>
          <w:szCs w:val="32"/>
        </w:rPr>
        <w:t>万元，完成预算</w:t>
      </w:r>
      <w:r>
        <w:rPr>
          <w:rFonts w:hint="eastAsia" w:eastAsia="仿宋_GB2312" w:cs="仿宋_GB2312"/>
          <w:b/>
          <w:bCs/>
          <w:sz w:val="32"/>
          <w:szCs w:val="32"/>
          <w:lang w:val="en-US" w:eastAsia="zh-CN"/>
        </w:rPr>
        <w:t>0</w:t>
      </w:r>
      <w:r>
        <w:rPr>
          <w:rFonts w:hint="eastAsia" w:eastAsia="仿宋_GB2312" w:cs="仿宋_GB2312"/>
          <w:b/>
          <w:bCs/>
          <w:sz w:val="32"/>
          <w:szCs w:val="32"/>
        </w:rPr>
        <w:t>%。</w:t>
      </w:r>
      <w:r>
        <w:rPr>
          <w:rFonts w:hint="eastAsia" w:eastAsia="仿宋_GB2312" w:cs="仿宋_GB2312"/>
          <w:sz w:val="32"/>
          <w:szCs w:val="32"/>
        </w:rPr>
        <w:t>公务接待费支出决算比上年度减少</w:t>
      </w:r>
      <w:r>
        <w:rPr>
          <w:rFonts w:hint="eastAsia" w:eastAsia="仿宋_GB2312" w:cs="仿宋_GB2312"/>
          <w:sz w:val="32"/>
          <w:szCs w:val="32"/>
          <w:lang w:val="en-US" w:eastAsia="zh-CN"/>
        </w:rPr>
        <w:t>0.1</w:t>
      </w:r>
      <w:r>
        <w:rPr>
          <w:rFonts w:hint="eastAsia" w:eastAsia="仿宋_GB2312" w:cs="仿宋_GB2312"/>
          <w:sz w:val="32"/>
          <w:szCs w:val="32"/>
        </w:rPr>
        <w:t>万元，下降</w:t>
      </w:r>
      <w:r>
        <w:rPr>
          <w:rFonts w:hint="eastAsia" w:eastAsia="仿宋_GB2312" w:cs="仿宋_GB2312"/>
          <w:sz w:val="32"/>
          <w:szCs w:val="32"/>
          <w:lang w:val="en-US" w:eastAsia="zh-CN"/>
        </w:rPr>
        <w:t>100</w:t>
      </w:r>
      <w:r>
        <w:rPr>
          <w:rFonts w:hint="eastAsia" w:eastAsia="仿宋_GB2312" w:cs="仿宋_GB2312"/>
          <w:sz w:val="32"/>
          <w:szCs w:val="32"/>
        </w:rPr>
        <w:t>%。主要原因是</w:t>
      </w:r>
      <w:r>
        <w:rPr>
          <w:rFonts w:hint="eastAsia" w:eastAsia="仿宋_GB2312" w:cs="仿宋_GB2312"/>
          <w:sz w:val="32"/>
          <w:szCs w:val="32"/>
          <w:lang w:val="en-US" w:eastAsia="zh-CN"/>
        </w:rPr>
        <w:t>2025年没有接待业务</w:t>
      </w:r>
      <w:r>
        <w:rPr>
          <w:rFonts w:hint="eastAsia" w:eastAsia="仿宋_GB2312" w:cs="仿宋_GB2312"/>
          <w:sz w:val="32"/>
          <w:szCs w:val="32"/>
        </w:rPr>
        <w:t>。</w:t>
      </w:r>
    </w:p>
    <w:p>
      <w:pPr>
        <w:spacing w:line="600" w:lineRule="exact"/>
        <w:ind w:firstLine="643" w:firstLineChars="200"/>
        <w:rPr>
          <w:rFonts w:hint="eastAsia" w:ascii="仿宋_GB2312" w:eastAsia="仿宋_GB2312"/>
          <w:sz w:val="32"/>
          <w:szCs w:val="32"/>
        </w:rPr>
      </w:pPr>
      <w:r>
        <w:rPr>
          <w:rFonts w:hint="eastAsia" w:ascii="仿宋" w:hAnsi="仿宋" w:eastAsia="仿宋"/>
          <w:b/>
          <w:sz w:val="32"/>
          <w:szCs w:val="32"/>
        </w:rPr>
        <w:t>外事接待支出</w:t>
      </w:r>
      <w:r>
        <w:rPr>
          <w:rFonts w:ascii="仿宋" w:hAnsi="仿宋" w:eastAsia="仿宋"/>
          <w:b/>
          <w:sz w:val="32"/>
          <w:szCs w:val="32"/>
        </w:rPr>
        <w:t>0</w:t>
      </w:r>
      <w:r>
        <w:rPr>
          <w:rFonts w:hint="eastAsia" w:ascii="仿宋_GB2312" w:eastAsia="仿宋_GB2312"/>
          <w:sz w:val="32"/>
          <w:szCs w:val="32"/>
        </w:rPr>
        <w:t>万元，外事接待0批次，0人次（不包括陪同人员），共计支出0万元。</w:t>
      </w:r>
    </w:p>
    <w:p>
      <w:pPr>
        <w:spacing w:line="600" w:lineRule="exact"/>
        <w:ind w:firstLine="640"/>
        <w:outlineLvl w:val="1"/>
        <w:rPr>
          <w:rStyle w:val="37"/>
          <w:rFonts w:ascii="Times New Roman" w:hAnsi="Times New Roman" w:eastAsia="黑体"/>
        </w:rPr>
      </w:pPr>
      <w:r>
        <w:rPr>
          <w:rFonts w:hint="eastAsia" w:eastAsia="黑体"/>
          <w:sz w:val="32"/>
          <w:szCs w:val="32"/>
        </w:rPr>
        <w:t>八、</w:t>
      </w:r>
      <w:r>
        <w:rPr>
          <w:rStyle w:val="37"/>
          <w:rFonts w:hint="eastAsia" w:ascii="Times New Roman" w:hAnsi="Times New Roman" w:eastAsia="黑体"/>
          <w:b w:val="0"/>
        </w:rPr>
        <w:t>政府性基金预算支出决算情况说明</w:t>
      </w:r>
    </w:p>
    <w:p>
      <w:pPr>
        <w:ind w:left="105" w:leftChars="50" w:right="105" w:rightChars="50" w:firstLine="640" w:firstLineChars="200"/>
        <w:rPr>
          <w:rFonts w:hint="eastAsia" w:eastAsia="仿宋_GB2312" w:cs="仿宋_GB2312"/>
          <w:sz w:val="32"/>
          <w:szCs w:val="32"/>
        </w:rPr>
      </w:pPr>
      <w:r>
        <w:rPr>
          <w:rFonts w:hint="eastAsia" w:eastAsia="仿宋_GB2312" w:cs="仿宋_GB2312"/>
          <w:sz w:val="32"/>
          <w:szCs w:val="32"/>
        </w:rPr>
        <w:t>2025年度政府性基金预算财政拨款支出</w:t>
      </w:r>
      <w:r>
        <w:rPr>
          <w:rFonts w:hint="eastAsia" w:eastAsia="仿宋_GB2312" w:cs="仿宋_GB2312"/>
          <w:sz w:val="32"/>
          <w:szCs w:val="32"/>
          <w:lang w:val="en-US" w:eastAsia="zh-CN"/>
        </w:rPr>
        <w:t>0</w:t>
      </w:r>
      <w:r>
        <w:rPr>
          <w:rFonts w:hint="eastAsia" w:eastAsia="仿宋_GB2312" w:cs="仿宋_GB2312"/>
          <w:sz w:val="32"/>
          <w:szCs w:val="32"/>
        </w:rPr>
        <w:t>万元，占本年支出合计的</w:t>
      </w:r>
      <w:r>
        <w:rPr>
          <w:rFonts w:hint="eastAsia" w:eastAsia="仿宋_GB2312" w:cs="仿宋_GB2312"/>
          <w:sz w:val="32"/>
          <w:szCs w:val="32"/>
          <w:lang w:val="en-US" w:eastAsia="zh-CN"/>
        </w:rPr>
        <w:t>0</w:t>
      </w:r>
      <w:r>
        <w:rPr>
          <w:rFonts w:hint="eastAsia" w:eastAsia="仿宋_GB2312" w:cs="仿宋_GB2312"/>
          <w:sz w:val="32"/>
          <w:szCs w:val="32"/>
        </w:rPr>
        <w:t>%。与上年度相比，政府性基金预算财政拨款支出不变，都为0万元。</w:t>
      </w:r>
    </w:p>
    <w:p>
      <w:pPr>
        <w:spacing w:line="600" w:lineRule="exact"/>
        <w:ind w:left="630"/>
        <w:outlineLvl w:val="1"/>
        <w:rPr>
          <w:rStyle w:val="37"/>
          <w:rFonts w:ascii="Times New Roman" w:hAnsi="Times New Roman" w:eastAsia="黑体"/>
          <w:b w:val="0"/>
        </w:rPr>
      </w:pPr>
      <w:r>
        <w:rPr>
          <w:rStyle w:val="37"/>
          <w:rFonts w:hint="eastAsia" w:ascii="Times New Roman" w:hAnsi="Times New Roman" w:eastAsia="黑体"/>
          <w:b w:val="0"/>
        </w:rPr>
        <w:t>九、国有资本经营预算支出决算情况说明</w:t>
      </w:r>
    </w:p>
    <w:p>
      <w:pPr>
        <w:pStyle w:val="38"/>
        <w:rPr>
          <w:rFonts w:hint="eastAsia" w:eastAsia="仿宋_GB2312" w:cs="仿宋_GB2312"/>
          <w:sz w:val="32"/>
          <w:szCs w:val="32"/>
          <w:lang w:val="en-US" w:eastAsia="zh-CN"/>
        </w:rPr>
      </w:pPr>
      <w:r>
        <w:rPr>
          <w:rFonts w:hint="eastAsia" w:eastAsia="仿宋_GB2312" w:cs="仿宋_GB2312"/>
          <w:sz w:val="32"/>
          <w:szCs w:val="32"/>
        </w:rPr>
        <w:t>2025年度国有资本经营预算财政拨款支出</w:t>
      </w:r>
      <w:r>
        <w:rPr>
          <w:rFonts w:hint="eastAsia" w:eastAsia="仿宋_GB2312" w:cs="仿宋_GB2312"/>
          <w:sz w:val="32"/>
          <w:szCs w:val="32"/>
          <w:lang w:val="en-US" w:eastAsia="zh-CN"/>
        </w:rPr>
        <w:t>0</w:t>
      </w:r>
      <w:r>
        <w:rPr>
          <w:rFonts w:hint="eastAsia" w:eastAsia="仿宋_GB2312" w:cs="仿宋_GB2312"/>
          <w:sz w:val="32"/>
          <w:szCs w:val="32"/>
        </w:rPr>
        <w:t>万元，占本年支出合计的</w:t>
      </w:r>
      <w:r>
        <w:rPr>
          <w:rFonts w:hint="eastAsia" w:eastAsia="仿宋_GB2312" w:cs="仿宋_GB2312"/>
          <w:sz w:val="32"/>
          <w:szCs w:val="32"/>
          <w:lang w:val="en-US" w:eastAsia="zh-CN"/>
        </w:rPr>
        <w:t>0</w:t>
      </w:r>
      <w:r>
        <w:rPr>
          <w:rFonts w:hint="eastAsia" w:eastAsia="仿宋_GB2312" w:cs="仿宋_GB2312"/>
          <w:sz w:val="32"/>
          <w:szCs w:val="32"/>
        </w:rPr>
        <w:t>%。与上年度相比，国有资本经营预算财政拨款支出</w:t>
      </w:r>
      <w:r>
        <w:rPr>
          <w:rFonts w:hint="eastAsia" w:eastAsia="仿宋_GB2312" w:cs="仿宋_GB2312"/>
          <w:sz w:val="32"/>
          <w:szCs w:val="32"/>
          <w:lang w:eastAsia="zh-CN"/>
        </w:rPr>
        <w:t>不变，都为</w:t>
      </w:r>
      <w:r>
        <w:rPr>
          <w:rFonts w:hint="eastAsia" w:eastAsia="仿宋_GB2312" w:cs="仿宋_GB2312"/>
          <w:sz w:val="32"/>
          <w:szCs w:val="32"/>
          <w:lang w:val="en-US" w:eastAsia="zh-CN"/>
        </w:rPr>
        <w:t>0万元。</w:t>
      </w:r>
    </w:p>
    <w:p>
      <w:pPr>
        <w:spacing w:line="600" w:lineRule="exact"/>
        <w:ind w:left="630"/>
        <w:outlineLvl w:val="1"/>
        <w:rPr>
          <w:rStyle w:val="37"/>
          <w:rFonts w:ascii="Times New Roman" w:hAnsi="Times New Roman" w:eastAsia="黑体"/>
          <w:b w:val="0"/>
        </w:rPr>
      </w:pPr>
      <w:r>
        <w:rPr>
          <w:rStyle w:val="37"/>
          <w:rFonts w:hint="eastAsia" w:ascii="Times New Roman" w:hAnsi="Times New Roman" w:eastAsia="黑体"/>
          <w:b w:val="0"/>
        </w:rPr>
        <w:t>十、其他重要事项的情况说明</w:t>
      </w:r>
    </w:p>
    <w:p>
      <w:pPr>
        <w:spacing w:line="600" w:lineRule="exact"/>
        <w:ind w:firstLine="643" w:firstLineChars="200"/>
        <w:outlineLvl w:val="2"/>
        <w:rPr>
          <w:rFonts w:eastAsia="楷体_GB2312" w:cs="楷体_GB2312"/>
          <w:b/>
          <w:sz w:val="32"/>
          <w:szCs w:val="32"/>
        </w:rPr>
      </w:pPr>
      <w:r>
        <w:rPr>
          <w:rFonts w:hint="eastAsia" w:eastAsia="楷体_GB2312" w:cs="楷体_GB2312"/>
          <w:b/>
          <w:sz w:val="32"/>
          <w:szCs w:val="32"/>
        </w:rPr>
        <w:t>（一）机关运行经费支出情况</w:t>
      </w:r>
    </w:p>
    <w:p>
      <w:pPr>
        <w:snapToGrid w:val="0"/>
        <w:spacing w:line="520" w:lineRule="exact"/>
        <w:ind w:firstLine="640" w:firstLineChars="200"/>
        <w:rPr>
          <w:rFonts w:hint="default" w:eastAsia="仿宋_GB2312" w:cs="仿宋_GB2312"/>
          <w:sz w:val="32"/>
          <w:szCs w:val="32"/>
          <w:lang w:val="en-US"/>
        </w:rPr>
      </w:pPr>
      <w:r>
        <w:rPr>
          <w:rFonts w:hint="eastAsia" w:eastAsia="仿宋_GB2312" w:cs="仿宋_GB2312"/>
          <w:sz w:val="32"/>
          <w:szCs w:val="32"/>
        </w:rPr>
        <w:t>2025年度，</w:t>
      </w:r>
      <w:r>
        <w:rPr>
          <w:rFonts w:hint="eastAsia" w:ascii="仿宋_GB2312" w:hAnsi="仿宋_GB2312" w:eastAsia="仿宋_GB2312" w:cs="仿宋_GB2312"/>
          <w:sz w:val="32"/>
          <w:szCs w:val="32"/>
        </w:rPr>
        <w:t>攀枝花市公安局东区分局</w:t>
      </w:r>
      <w:r>
        <w:rPr>
          <w:rFonts w:hint="eastAsia" w:eastAsia="仿宋_GB2312" w:cs="仿宋_GB2312"/>
          <w:sz w:val="32"/>
          <w:szCs w:val="32"/>
        </w:rPr>
        <w:t>机关运行经费支出</w:t>
      </w:r>
      <w:r>
        <w:rPr>
          <w:rFonts w:hint="eastAsia" w:eastAsia="仿宋_GB2312" w:cs="仿宋_GB2312"/>
          <w:sz w:val="32"/>
          <w:szCs w:val="32"/>
          <w:lang w:val="en-US" w:eastAsia="zh-CN"/>
        </w:rPr>
        <w:t>960.72</w:t>
      </w:r>
      <w:r>
        <w:rPr>
          <w:rFonts w:hint="eastAsia" w:eastAsia="仿宋_GB2312" w:cs="仿宋_GB2312"/>
          <w:sz w:val="32"/>
          <w:szCs w:val="32"/>
        </w:rPr>
        <w:t>万元，比上年度减少</w:t>
      </w:r>
      <w:r>
        <w:rPr>
          <w:rFonts w:hint="eastAsia" w:eastAsia="仿宋_GB2312" w:cs="仿宋_GB2312"/>
          <w:sz w:val="32"/>
          <w:szCs w:val="32"/>
          <w:lang w:val="en-US" w:eastAsia="zh-CN"/>
        </w:rPr>
        <w:t>64.8</w:t>
      </w:r>
      <w:r>
        <w:rPr>
          <w:rFonts w:hint="eastAsia" w:eastAsia="仿宋_GB2312" w:cs="仿宋_GB2312"/>
          <w:sz w:val="32"/>
          <w:szCs w:val="32"/>
        </w:rPr>
        <w:t>万元，下降</w:t>
      </w:r>
      <w:r>
        <w:rPr>
          <w:rFonts w:hint="eastAsia" w:eastAsia="仿宋_GB2312" w:cs="仿宋_GB2312"/>
          <w:sz w:val="32"/>
          <w:szCs w:val="32"/>
          <w:lang w:val="en-US" w:eastAsia="zh-CN"/>
        </w:rPr>
        <w:t>6</w:t>
      </w:r>
      <w:r>
        <w:rPr>
          <w:rFonts w:hint="eastAsia" w:eastAsia="仿宋_GB2312" w:cs="仿宋_GB2312"/>
          <w:sz w:val="32"/>
          <w:szCs w:val="32"/>
        </w:rPr>
        <w:t>%。主要原因是</w:t>
      </w:r>
      <w:r>
        <w:rPr>
          <w:rFonts w:hint="eastAsia" w:ascii="仿宋_GB2312" w:hAnsi="仿宋" w:eastAsia="仿宋_GB2312"/>
          <w:sz w:val="32"/>
          <w:szCs w:val="32"/>
          <w:lang w:val="en-US" w:eastAsia="zh-CN"/>
        </w:rPr>
        <w:t>公务用车运行维护费减少。</w:t>
      </w:r>
    </w:p>
    <w:p>
      <w:pPr>
        <w:spacing w:line="600" w:lineRule="exact"/>
        <w:ind w:firstLine="643" w:firstLineChars="200"/>
        <w:outlineLvl w:val="2"/>
        <w:rPr>
          <w:rFonts w:eastAsia="楷体_GB2312" w:cs="楷体_GB2312"/>
          <w:b/>
          <w:sz w:val="32"/>
          <w:szCs w:val="32"/>
        </w:rPr>
      </w:pPr>
      <w:r>
        <w:rPr>
          <w:rFonts w:hint="eastAsia" w:eastAsia="楷体_GB2312" w:cs="楷体_GB2312"/>
          <w:b/>
          <w:sz w:val="32"/>
          <w:szCs w:val="32"/>
        </w:rPr>
        <w:t>（二）政府采购支出情况</w:t>
      </w:r>
    </w:p>
    <w:p>
      <w:pPr>
        <w:spacing w:line="600" w:lineRule="exact"/>
        <w:ind w:firstLine="640"/>
        <w:rPr>
          <w:rFonts w:eastAsia="仿宋_GB2312" w:cs="仿宋_GB2312"/>
          <w:sz w:val="32"/>
          <w:szCs w:val="32"/>
        </w:rPr>
      </w:pPr>
      <w:r>
        <w:rPr>
          <w:rFonts w:hint="eastAsia" w:eastAsia="仿宋_GB2312" w:cs="仿宋_GB2312"/>
          <w:sz w:val="32"/>
          <w:szCs w:val="32"/>
        </w:rPr>
        <w:t>2025年度，</w:t>
      </w:r>
      <w:r>
        <w:rPr>
          <w:rFonts w:hint="eastAsia" w:eastAsia="仿宋_GB2312" w:cs="仿宋_GB2312"/>
          <w:sz w:val="32"/>
          <w:szCs w:val="32"/>
          <w:lang w:eastAsia="zh-CN"/>
        </w:rPr>
        <w:t>攀枝花市公安局东区分局</w:t>
      </w:r>
      <w:r>
        <w:rPr>
          <w:rFonts w:hint="eastAsia" w:eastAsia="仿宋_GB2312" w:cs="仿宋_GB2312"/>
          <w:sz w:val="32"/>
          <w:szCs w:val="32"/>
        </w:rPr>
        <w:t>政府采购支出总额</w:t>
      </w:r>
      <w:r>
        <w:rPr>
          <w:rFonts w:hint="eastAsia" w:eastAsia="仿宋_GB2312" w:cs="仿宋_GB2312"/>
          <w:sz w:val="32"/>
          <w:szCs w:val="32"/>
          <w:lang w:val="en-US" w:eastAsia="zh-CN"/>
        </w:rPr>
        <w:t>130.12</w:t>
      </w:r>
      <w:r>
        <w:rPr>
          <w:rFonts w:hint="eastAsia" w:eastAsia="仿宋_GB2312" w:cs="仿宋_GB2312"/>
          <w:sz w:val="32"/>
          <w:szCs w:val="32"/>
        </w:rPr>
        <w:t>万元，其中：政府采购货物支出</w:t>
      </w:r>
      <w:r>
        <w:rPr>
          <w:rFonts w:hint="eastAsia" w:eastAsia="仿宋_GB2312" w:cs="仿宋_GB2312"/>
          <w:sz w:val="32"/>
          <w:szCs w:val="32"/>
          <w:lang w:val="en-US" w:eastAsia="zh-CN"/>
        </w:rPr>
        <w:t>75.45</w:t>
      </w:r>
      <w:r>
        <w:rPr>
          <w:rFonts w:hint="eastAsia" w:eastAsia="仿宋_GB2312" w:cs="仿宋_GB2312"/>
          <w:sz w:val="32"/>
          <w:szCs w:val="32"/>
        </w:rPr>
        <w:t>万元、政府采购工程支出</w:t>
      </w:r>
      <w:r>
        <w:rPr>
          <w:rFonts w:hint="eastAsia" w:eastAsia="仿宋_GB2312" w:cs="仿宋_GB2312"/>
          <w:sz w:val="32"/>
          <w:szCs w:val="32"/>
          <w:lang w:val="en-US" w:eastAsia="zh-CN"/>
        </w:rPr>
        <w:t>0</w:t>
      </w:r>
      <w:r>
        <w:rPr>
          <w:rFonts w:hint="eastAsia" w:eastAsia="仿宋_GB2312" w:cs="仿宋_GB2312"/>
          <w:sz w:val="32"/>
          <w:szCs w:val="32"/>
        </w:rPr>
        <w:t>万元、政府采购服务支出</w:t>
      </w:r>
      <w:r>
        <w:rPr>
          <w:rFonts w:hint="eastAsia" w:eastAsia="仿宋_GB2312" w:cs="仿宋_GB2312"/>
          <w:sz w:val="32"/>
          <w:szCs w:val="32"/>
          <w:lang w:val="en-US" w:eastAsia="zh-CN"/>
        </w:rPr>
        <w:t>54.67</w:t>
      </w:r>
      <w:r>
        <w:rPr>
          <w:rFonts w:hint="eastAsia" w:eastAsia="仿宋_GB2312" w:cs="仿宋_GB2312"/>
          <w:sz w:val="32"/>
          <w:szCs w:val="32"/>
        </w:rPr>
        <w:t>万元。主要用于</w:t>
      </w:r>
      <w:r>
        <w:rPr>
          <w:rFonts w:hint="eastAsia" w:ascii="仿宋_GB2312" w:eastAsia="仿宋_GB2312"/>
          <w:sz w:val="32"/>
          <w:szCs w:val="32"/>
        </w:rPr>
        <w:t>办公设备采购、装备采购</w:t>
      </w:r>
      <w:r>
        <w:rPr>
          <w:rFonts w:hint="eastAsia" w:ascii="仿宋_GB2312" w:eastAsia="仿宋_GB2312"/>
          <w:sz w:val="32"/>
          <w:szCs w:val="32"/>
          <w:lang w:eastAsia="zh-CN"/>
        </w:rPr>
        <w:t>、</w:t>
      </w:r>
      <w:r>
        <w:rPr>
          <w:rFonts w:hint="eastAsia" w:ascii="仿宋_GB2312" w:eastAsia="仿宋_GB2312"/>
          <w:sz w:val="32"/>
          <w:szCs w:val="32"/>
        </w:rPr>
        <w:t>刑侦设备的采购以及门卫、保安、食堂食材、劳务、物业等的服务采购</w:t>
      </w:r>
      <w:r>
        <w:rPr>
          <w:rFonts w:hint="eastAsia" w:eastAsia="仿宋_GB2312" w:cs="仿宋_GB2312"/>
          <w:sz w:val="32"/>
          <w:szCs w:val="32"/>
        </w:rPr>
        <w:t>。授予中小企业合同金额</w:t>
      </w:r>
      <w:r>
        <w:rPr>
          <w:rFonts w:hint="eastAsia" w:eastAsia="仿宋_GB2312" w:cs="仿宋_GB2312"/>
          <w:sz w:val="32"/>
          <w:szCs w:val="32"/>
          <w:lang w:val="en-US" w:eastAsia="zh-CN"/>
        </w:rPr>
        <w:t>126.6</w:t>
      </w:r>
      <w:r>
        <w:rPr>
          <w:rFonts w:hint="eastAsia" w:eastAsia="仿宋_GB2312" w:cs="仿宋_GB2312"/>
          <w:sz w:val="32"/>
          <w:szCs w:val="32"/>
        </w:rPr>
        <w:t>万元，占政府采购支出总额的</w:t>
      </w:r>
      <w:r>
        <w:rPr>
          <w:rFonts w:hint="eastAsia" w:eastAsia="仿宋_GB2312" w:cs="仿宋_GB2312"/>
          <w:sz w:val="32"/>
          <w:szCs w:val="32"/>
          <w:lang w:val="en-US" w:eastAsia="zh-CN"/>
        </w:rPr>
        <w:t>97</w:t>
      </w:r>
      <w:r>
        <w:rPr>
          <w:rFonts w:hint="eastAsia" w:eastAsia="仿宋_GB2312" w:cs="仿宋_GB2312"/>
          <w:sz w:val="32"/>
          <w:szCs w:val="32"/>
        </w:rPr>
        <w:t>%，其中：授予小微企业合同金额</w:t>
      </w:r>
      <w:r>
        <w:rPr>
          <w:rFonts w:hint="eastAsia" w:eastAsia="仿宋_GB2312" w:cs="仿宋_GB2312"/>
          <w:sz w:val="32"/>
          <w:szCs w:val="32"/>
          <w:lang w:val="en-US" w:eastAsia="zh-CN"/>
        </w:rPr>
        <w:t>83.28</w:t>
      </w:r>
      <w:r>
        <w:rPr>
          <w:rFonts w:hint="eastAsia" w:eastAsia="仿宋_GB2312" w:cs="仿宋_GB2312"/>
          <w:sz w:val="32"/>
          <w:szCs w:val="32"/>
        </w:rPr>
        <w:t>万元，占政府采购支出总额的</w:t>
      </w:r>
      <w:r>
        <w:rPr>
          <w:rFonts w:hint="eastAsia" w:eastAsia="仿宋_GB2312" w:cs="仿宋_GB2312"/>
          <w:sz w:val="32"/>
          <w:szCs w:val="32"/>
          <w:lang w:val="en-US" w:eastAsia="zh-CN"/>
        </w:rPr>
        <w:t>64</w:t>
      </w:r>
      <w:r>
        <w:rPr>
          <w:rFonts w:hint="eastAsia" w:eastAsia="仿宋_GB2312" w:cs="仿宋_GB2312"/>
          <w:sz w:val="32"/>
          <w:szCs w:val="32"/>
        </w:rPr>
        <w:t>%。</w:t>
      </w:r>
    </w:p>
    <w:p>
      <w:pPr>
        <w:spacing w:line="600" w:lineRule="exact"/>
        <w:ind w:firstLine="643" w:firstLineChars="200"/>
        <w:outlineLvl w:val="2"/>
        <w:rPr>
          <w:rFonts w:eastAsia="楷体_GB2312" w:cs="楷体_GB2312"/>
          <w:b/>
          <w:sz w:val="32"/>
          <w:szCs w:val="32"/>
        </w:rPr>
      </w:pPr>
      <w:r>
        <w:rPr>
          <w:rFonts w:hint="eastAsia" w:eastAsia="楷体_GB2312" w:cs="楷体_GB2312"/>
          <w:b/>
          <w:sz w:val="32"/>
          <w:szCs w:val="32"/>
        </w:rPr>
        <w:t>（三）国有资产占有使用情况</w:t>
      </w:r>
    </w:p>
    <w:p>
      <w:pPr>
        <w:spacing w:line="600" w:lineRule="exact"/>
        <w:ind w:firstLine="640"/>
        <w:rPr>
          <w:rFonts w:eastAsia="仿宋_GB2312" w:cs="仿宋_GB2312"/>
          <w:sz w:val="32"/>
          <w:szCs w:val="32"/>
        </w:rPr>
      </w:pPr>
      <w:r>
        <w:rPr>
          <w:rFonts w:hint="eastAsia" w:eastAsia="仿宋_GB2312" w:cs="仿宋_GB2312"/>
          <w:sz w:val="32"/>
          <w:szCs w:val="32"/>
        </w:rPr>
        <w:t>截至2025年12月31日，</w:t>
      </w:r>
      <w:r>
        <w:rPr>
          <w:rFonts w:hint="eastAsia" w:eastAsia="仿宋_GB2312" w:cs="仿宋_GB2312"/>
          <w:sz w:val="32"/>
          <w:szCs w:val="32"/>
          <w:lang w:eastAsia="zh-CN"/>
        </w:rPr>
        <w:t>攀枝花市公安局东区分局</w:t>
      </w:r>
      <w:r>
        <w:rPr>
          <w:rFonts w:hint="eastAsia" w:eastAsia="仿宋_GB2312" w:cs="仿宋_GB2312"/>
          <w:sz w:val="32"/>
          <w:szCs w:val="32"/>
        </w:rPr>
        <w:t>共有车辆</w:t>
      </w:r>
      <w:r>
        <w:rPr>
          <w:rFonts w:hint="eastAsia" w:eastAsia="仿宋_GB2312" w:cs="仿宋_GB2312"/>
          <w:sz w:val="32"/>
          <w:szCs w:val="32"/>
          <w:lang w:val="en-US" w:eastAsia="zh-CN"/>
        </w:rPr>
        <w:t>91</w:t>
      </w:r>
      <w:r>
        <w:rPr>
          <w:rFonts w:hint="eastAsia" w:eastAsia="仿宋_GB2312" w:cs="仿宋_GB2312"/>
          <w:sz w:val="32"/>
          <w:szCs w:val="32"/>
        </w:rPr>
        <w:t>辆，其中：副部（省）级及以上领导用车</w:t>
      </w:r>
      <w:r>
        <w:rPr>
          <w:rFonts w:hint="eastAsia" w:eastAsia="仿宋_GB2312" w:cs="仿宋_GB2312"/>
          <w:sz w:val="32"/>
          <w:szCs w:val="32"/>
          <w:lang w:val="en-US" w:eastAsia="zh-CN"/>
        </w:rPr>
        <w:t>0</w:t>
      </w:r>
      <w:r>
        <w:rPr>
          <w:rFonts w:hint="eastAsia" w:eastAsia="仿宋_GB2312" w:cs="仿宋_GB2312"/>
          <w:sz w:val="32"/>
          <w:szCs w:val="32"/>
        </w:rPr>
        <w:t>辆、主要负责人用车</w:t>
      </w:r>
      <w:r>
        <w:rPr>
          <w:rFonts w:hint="eastAsia" w:eastAsia="仿宋_GB2312" w:cs="仿宋_GB2312"/>
          <w:sz w:val="32"/>
          <w:szCs w:val="32"/>
          <w:lang w:val="en-US" w:eastAsia="zh-CN"/>
        </w:rPr>
        <w:t>0</w:t>
      </w:r>
      <w:r>
        <w:rPr>
          <w:rFonts w:hint="eastAsia" w:eastAsia="仿宋_GB2312" w:cs="仿宋_GB2312"/>
          <w:sz w:val="32"/>
          <w:szCs w:val="32"/>
        </w:rPr>
        <w:t>辆、机要通信用车</w:t>
      </w:r>
      <w:r>
        <w:rPr>
          <w:rFonts w:hint="eastAsia" w:eastAsia="仿宋_GB2312" w:cs="仿宋_GB2312"/>
          <w:sz w:val="32"/>
          <w:szCs w:val="32"/>
          <w:lang w:val="en-US" w:eastAsia="zh-CN"/>
        </w:rPr>
        <w:t>0</w:t>
      </w:r>
      <w:r>
        <w:rPr>
          <w:rFonts w:hint="eastAsia" w:eastAsia="仿宋_GB2312" w:cs="仿宋_GB2312"/>
          <w:sz w:val="32"/>
          <w:szCs w:val="32"/>
        </w:rPr>
        <w:t>辆、应急保障用车</w:t>
      </w:r>
      <w:r>
        <w:rPr>
          <w:rFonts w:hint="eastAsia" w:eastAsia="仿宋_GB2312" w:cs="仿宋_GB2312"/>
          <w:sz w:val="32"/>
          <w:szCs w:val="32"/>
          <w:lang w:val="en-US" w:eastAsia="zh-CN"/>
        </w:rPr>
        <w:t>0</w:t>
      </w:r>
      <w:r>
        <w:rPr>
          <w:rFonts w:hint="eastAsia" w:eastAsia="仿宋_GB2312" w:cs="仿宋_GB2312"/>
          <w:sz w:val="32"/>
          <w:szCs w:val="32"/>
        </w:rPr>
        <w:t>辆、执法执勤用车</w:t>
      </w:r>
      <w:r>
        <w:rPr>
          <w:rFonts w:hint="eastAsia" w:eastAsia="仿宋_GB2312" w:cs="仿宋_GB2312"/>
          <w:sz w:val="32"/>
          <w:szCs w:val="32"/>
          <w:lang w:val="en-US" w:eastAsia="zh-CN"/>
        </w:rPr>
        <w:t>91</w:t>
      </w:r>
      <w:r>
        <w:rPr>
          <w:rFonts w:hint="eastAsia" w:eastAsia="仿宋_GB2312" w:cs="仿宋_GB2312"/>
          <w:sz w:val="32"/>
          <w:szCs w:val="32"/>
        </w:rPr>
        <w:t>辆、特种专业技术用车</w:t>
      </w:r>
      <w:r>
        <w:rPr>
          <w:rFonts w:hint="eastAsia" w:eastAsia="仿宋_GB2312" w:cs="仿宋_GB2312"/>
          <w:sz w:val="32"/>
          <w:szCs w:val="32"/>
          <w:lang w:val="en-US" w:eastAsia="zh-CN"/>
        </w:rPr>
        <w:t>0</w:t>
      </w:r>
      <w:r>
        <w:rPr>
          <w:rFonts w:hint="eastAsia" w:eastAsia="仿宋_GB2312" w:cs="仿宋_GB2312"/>
          <w:sz w:val="32"/>
          <w:szCs w:val="32"/>
        </w:rPr>
        <w:t>辆、离退休干部服务用车</w:t>
      </w:r>
      <w:r>
        <w:rPr>
          <w:rFonts w:hint="eastAsia" w:eastAsia="仿宋_GB2312" w:cs="仿宋_GB2312"/>
          <w:sz w:val="32"/>
          <w:szCs w:val="32"/>
          <w:lang w:val="en-US" w:eastAsia="zh-CN"/>
        </w:rPr>
        <w:t>0</w:t>
      </w:r>
      <w:r>
        <w:rPr>
          <w:rFonts w:hint="eastAsia" w:eastAsia="仿宋_GB2312" w:cs="仿宋_GB2312"/>
          <w:sz w:val="32"/>
          <w:szCs w:val="32"/>
        </w:rPr>
        <w:t>辆、其他用车</w:t>
      </w:r>
      <w:r>
        <w:rPr>
          <w:rFonts w:hint="eastAsia" w:eastAsia="仿宋_GB2312" w:cs="仿宋_GB2312"/>
          <w:sz w:val="32"/>
          <w:szCs w:val="32"/>
          <w:lang w:val="en-US" w:eastAsia="zh-CN"/>
        </w:rPr>
        <w:t>0</w:t>
      </w:r>
      <w:r>
        <w:rPr>
          <w:rFonts w:hint="eastAsia" w:eastAsia="仿宋_GB2312" w:cs="仿宋_GB2312"/>
          <w:sz w:val="32"/>
          <w:szCs w:val="32"/>
        </w:rPr>
        <w:t>辆。单价100万元（含）以上设备（不含车辆）</w:t>
      </w:r>
      <w:r>
        <w:rPr>
          <w:rFonts w:hint="eastAsia" w:eastAsia="仿宋_GB2312" w:cs="仿宋_GB2312"/>
          <w:sz w:val="32"/>
          <w:szCs w:val="32"/>
          <w:lang w:val="en-US" w:eastAsia="zh-CN"/>
        </w:rPr>
        <w:t>0</w:t>
      </w:r>
      <w:r>
        <w:rPr>
          <w:rFonts w:hint="eastAsia" w:eastAsia="仿宋_GB2312" w:cs="仿宋_GB2312"/>
          <w:sz w:val="32"/>
          <w:szCs w:val="32"/>
        </w:rPr>
        <w:t>台（套）。</w:t>
      </w:r>
    </w:p>
    <w:p>
      <w:pPr>
        <w:spacing w:line="600" w:lineRule="exact"/>
        <w:ind w:firstLine="643" w:firstLineChars="200"/>
        <w:outlineLvl w:val="2"/>
        <w:rPr>
          <w:rFonts w:eastAsia="楷体_GB2312" w:cs="楷体_GB2312"/>
          <w:b/>
          <w:sz w:val="32"/>
          <w:szCs w:val="32"/>
        </w:rPr>
      </w:pPr>
      <w:r>
        <w:rPr>
          <w:rFonts w:hint="eastAsia" w:eastAsia="楷体_GB2312" w:cs="楷体_GB2312"/>
          <w:b/>
          <w:sz w:val="32"/>
          <w:szCs w:val="32"/>
        </w:rPr>
        <w:t>（四）预算绩效管理情况</w:t>
      </w:r>
    </w:p>
    <w:p>
      <w:pPr>
        <w:spacing w:line="600" w:lineRule="exact"/>
        <w:ind w:firstLine="640"/>
        <w:rPr>
          <w:rFonts w:eastAsia="仿宋_GB2312" w:cs="仿宋_GB2312"/>
          <w:sz w:val="32"/>
          <w:szCs w:val="32"/>
        </w:rPr>
      </w:pPr>
      <w:r>
        <w:rPr>
          <w:rFonts w:hint="eastAsia" w:eastAsia="仿宋_GB2312" w:cs="仿宋_GB2312"/>
          <w:sz w:val="32"/>
          <w:szCs w:val="32"/>
        </w:rPr>
        <w:t>根据预算绩效管理要求，</w:t>
      </w:r>
      <w:r>
        <w:rPr>
          <w:rFonts w:hint="eastAsia" w:eastAsia="仿宋_GB2312" w:cs="仿宋_GB2312"/>
          <w:sz w:val="32"/>
          <w:szCs w:val="32"/>
          <w:lang w:eastAsia="zh-CN"/>
        </w:rPr>
        <w:t>攀枝花市公安局东区</w:t>
      </w:r>
      <w:r>
        <w:rPr>
          <w:rFonts w:hint="eastAsia" w:eastAsia="仿宋_GB2312" w:cs="仿宋_GB2312"/>
          <w:sz w:val="32"/>
          <w:szCs w:val="32"/>
        </w:rPr>
        <w:t>在2025年度，组织对</w:t>
      </w:r>
      <w:r>
        <w:rPr>
          <w:rFonts w:hint="eastAsia" w:ascii="仿宋_GB2312" w:hAnsi="仿宋" w:eastAsia="仿宋_GB2312"/>
          <w:sz w:val="32"/>
          <w:szCs w:val="32"/>
        </w:rPr>
        <w:t>政法转移1</w:t>
      </w:r>
      <w:r>
        <w:rPr>
          <w:rFonts w:hint="eastAsia" w:ascii="仿宋_GB2312" w:hAnsi="仿宋" w:eastAsia="仿宋_GB2312"/>
          <w:sz w:val="32"/>
          <w:szCs w:val="32"/>
          <w:lang w:eastAsia="zh-CN"/>
        </w:rPr>
        <w:t>、</w:t>
      </w:r>
      <w:r>
        <w:rPr>
          <w:rFonts w:hint="eastAsia" w:ascii="仿宋_GB2312" w:hAnsi="仿宋" w:eastAsia="仿宋_GB2312"/>
          <w:sz w:val="32"/>
          <w:szCs w:val="32"/>
        </w:rPr>
        <w:t>2024年第二批</w:t>
      </w:r>
      <w:r>
        <w:rPr>
          <w:rFonts w:hint="eastAsia" w:ascii="仿宋_GB2312" w:hAnsi="仿宋" w:eastAsia="仿宋_GB2312" w:cs="Times New Roman"/>
          <w:sz w:val="32"/>
          <w:szCs w:val="32"/>
          <w:lang w:val="en-US" w:eastAsia="zh-CN"/>
        </w:rPr>
        <w:t>转移支付、2025年政法转移支付资金、司法救助、2025年攀枝花市公安局东区分局特别业务费</w:t>
      </w:r>
      <w:r>
        <w:rPr>
          <w:rFonts w:hint="eastAsia" w:eastAsia="仿宋_GB2312" w:cs="仿宋_GB2312"/>
          <w:sz w:val="32"/>
          <w:szCs w:val="32"/>
        </w:rPr>
        <w:t>等</w:t>
      </w:r>
      <w:r>
        <w:rPr>
          <w:rFonts w:hint="eastAsia" w:eastAsia="仿宋_GB2312" w:cs="仿宋_GB2312"/>
          <w:sz w:val="32"/>
          <w:szCs w:val="32"/>
          <w:lang w:val="en-US" w:eastAsia="zh-CN"/>
        </w:rPr>
        <w:t>5</w:t>
      </w:r>
      <w:r>
        <w:rPr>
          <w:rFonts w:hint="eastAsia" w:eastAsia="仿宋_GB2312" w:cs="仿宋_GB2312"/>
          <w:sz w:val="32"/>
          <w:szCs w:val="32"/>
        </w:rPr>
        <w:t>个项目涉及金额</w:t>
      </w:r>
      <w:r>
        <w:rPr>
          <w:rFonts w:hint="eastAsia" w:eastAsia="仿宋_GB2312" w:cs="仿宋_GB2312"/>
          <w:sz w:val="32"/>
          <w:szCs w:val="32"/>
          <w:lang w:val="en-US" w:eastAsia="zh-CN"/>
        </w:rPr>
        <w:t>982.98</w:t>
      </w:r>
      <w:r>
        <w:rPr>
          <w:rFonts w:hint="eastAsia" w:eastAsia="仿宋_GB2312" w:cs="仿宋_GB2312"/>
          <w:sz w:val="32"/>
          <w:szCs w:val="32"/>
        </w:rPr>
        <w:t>万元开展了事前绩效评估，对</w:t>
      </w:r>
      <w:r>
        <w:rPr>
          <w:rFonts w:hint="eastAsia" w:eastAsia="仿宋_GB2312" w:cs="仿宋_GB2312"/>
          <w:sz w:val="32"/>
          <w:szCs w:val="32"/>
          <w:lang w:val="en-US" w:eastAsia="zh-CN"/>
        </w:rPr>
        <w:t>5</w:t>
      </w:r>
      <w:r>
        <w:rPr>
          <w:rFonts w:hint="eastAsia" w:eastAsia="仿宋_GB2312" w:cs="仿宋_GB2312"/>
          <w:sz w:val="32"/>
          <w:szCs w:val="32"/>
        </w:rPr>
        <w:t>个项目编制了绩效目标，预算执行过程中，选取</w:t>
      </w:r>
      <w:r>
        <w:rPr>
          <w:rFonts w:hint="eastAsia" w:eastAsia="仿宋_GB2312" w:cs="仿宋_GB2312"/>
          <w:sz w:val="32"/>
          <w:szCs w:val="32"/>
          <w:lang w:val="en-US" w:eastAsia="zh-CN"/>
        </w:rPr>
        <w:t>5</w:t>
      </w:r>
      <w:r>
        <w:rPr>
          <w:rFonts w:hint="eastAsia" w:eastAsia="仿宋_GB2312" w:cs="仿宋_GB2312"/>
          <w:sz w:val="32"/>
          <w:szCs w:val="32"/>
        </w:rPr>
        <w:t>个项目开展绩效监控。</w:t>
      </w:r>
    </w:p>
    <w:p>
      <w:pPr>
        <w:spacing w:line="600" w:lineRule="exact"/>
        <w:ind w:firstLine="640"/>
        <w:rPr>
          <w:rFonts w:hint="eastAsia" w:eastAsia="仿宋_GB2312" w:cs="仿宋_GB2312"/>
          <w:sz w:val="32"/>
          <w:szCs w:val="32"/>
        </w:rPr>
      </w:pPr>
      <w:r>
        <w:rPr>
          <w:rFonts w:hint="eastAsia" w:eastAsia="仿宋_GB2312" w:cs="仿宋_GB2312"/>
          <w:sz w:val="32"/>
          <w:szCs w:val="32"/>
        </w:rPr>
        <w:t>组织对2025年度一般公共预算形成</w:t>
      </w:r>
      <w:r>
        <w:rPr>
          <w:rFonts w:hint="eastAsia" w:eastAsia="仿宋_GB2312" w:cs="仿宋_GB2312"/>
          <w:sz w:val="32"/>
          <w:szCs w:val="32"/>
          <w:lang w:eastAsia="zh-CN"/>
        </w:rPr>
        <w:t>攀枝花市公安局东区分局</w:t>
      </w:r>
      <w:r>
        <w:rPr>
          <w:rFonts w:hint="eastAsia" w:eastAsia="仿宋_GB2312" w:cs="仿宋_GB2312"/>
          <w:sz w:val="32"/>
          <w:szCs w:val="32"/>
        </w:rPr>
        <w:t>部门预算绩效自评报告、</w:t>
      </w:r>
      <w:r>
        <w:rPr>
          <w:rFonts w:hint="eastAsia" w:eastAsia="仿宋_GB2312" w:cs="仿宋_GB2312"/>
          <w:sz w:val="32"/>
          <w:szCs w:val="32"/>
          <w:lang w:eastAsia="zh-CN"/>
        </w:rPr>
        <w:t>攀枝花市公安局东区分局司法补助</w:t>
      </w:r>
      <w:r>
        <w:rPr>
          <w:rFonts w:hint="eastAsia" w:eastAsia="仿宋_GB2312" w:cs="仿宋_GB2312"/>
          <w:sz w:val="32"/>
          <w:szCs w:val="32"/>
        </w:rPr>
        <w:t>专项预算项目绩效自评报告，其中，</w:t>
      </w:r>
      <w:r>
        <w:rPr>
          <w:rFonts w:hint="eastAsia" w:eastAsia="仿宋_GB2312" w:cs="仿宋_GB2312"/>
          <w:sz w:val="32"/>
          <w:szCs w:val="32"/>
          <w:lang w:eastAsia="zh-CN"/>
        </w:rPr>
        <w:t>攀枝花市公安局东区分局</w:t>
      </w:r>
      <w:r>
        <w:rPr>
          <w:rFonts w:hint="eastAsia" w:eastAsia="仿宋_GB2312" w:cs="仿宋_GB2312"/>
          <w:sz w:val="32"/>
          <w:szCs w:val="32"/>
        </w:rPr>
        <w:t>部门预算绩效自评得分为</w:t>
      </w:r>
      <w:r>
        <w:rPr>
          <w:rFonts w:hint="eastAsia" w:eastAsia="仿宋_GB2312" w:cs="仿宋_GB2312"/>
          <w:sz w:val="32"/>
          <w:szCs w:val="32"/>
          <w:lang w:val="en-US" w:eastAsia="zh-CN"/>
        </w:rPr>
        <w:t>93</w:t>
      </w:r>
      <w:r>
        <w:rPr>
          <w:rFonts w:hint="eastAsia" w:eastAsia="仿宋_GB2312" w:cs="仿宋_GB2312"/>
          <w:sz w:val="32"/>
          <w:szCs w:val="32"/>
        </w:rPr>
        <w:t>分，绩效自评综述</w:t>
      </w:r>
      <w:r>
        <w:rPr>
          <w:rFonts w:hint="eastAsia" w:eastAsia="仿宋_GB2312" w:cs="仿宋_GB2312"/>
          <w:sz w:val="32"/>
          <w:szCs w:val="32"/>
          <w:lang w:eastAsia="zh-CN"/>
        </w:rPr>
        <w:t>严格执行预算管理制度，资金使用合规安全，预算执行总体到位、各项绩效目标基本完成</w:t>
      </w:r>
      <w:r>
        <w:rPr>
          <w:rFonts w:hint="eastAsia" w:eastAsia="仿宋_GB2312" w:cs="仿宋_GB2312"/>
          <w:sz w:val="32"/>
          <w:szCs w:val="32"/>
        </w:rPr>
        <w:t>；</w:t>
      </w:r>
      <w:r>
        <w:rPr>
          <w:rFonts w:hint="eastAsia" w:eastAsia="仿宋_GB2312" w:cs="仿宋_GB2312"/>
          <w:sz w:val="32"/>
          <w:szCs w:val="32"/>
          <w:lang w:eastAsia="zh-CN"/>
        </w:rPr>
        <w:t>攀枝花市公安局东区分局司法补助</w:t>
      </w:r>
      <w:r>
        <w:rPr>
          <w:rFonts w:hint="eastAsia" w:eastAsia="仿宋_GB2312" w:cs="仿宋_GB2312"/>
          <w:sz w:val="32"/>
          <w:szCs w:val="32"/>
        </w:rPr>
        <w:t>专项预算项目绩效自评得分为</w:t>
      </w:r>
      <w:r>
        <w:rPr>
          <w:rFonts w:hint="eastAsia" w:eastAsia="仿宋_GB2312" w:cs="仿宋_GB2312"/>
          <w:sz w:val="32"/>
          <w:szCs w:val="32"/>
          <w:lang w:val="en-US" w:eastAsia="zh-CN"/>
        </w:rPr>
        <w:t>85</w:t>
      </w:r>
      <w:r>
        <w:rPr>
          <w:rFonts w:hint="eastAsia" w:eastAsia="仿宋_GB2312" w:cs="仿宋_GB2312"/>
          <w:sz w:val="32"/>
          <w:szCs w:val="32"/>
        </w:rPr>
        <w:t>分，绩效自评综述</w:t>
      </w:r>
      <w:r>
        <w:rPr>
          <w:rFonts w:hint="eastAsia" w:eastAsia="仿宋_GB2312" w:cs="仿宋_GB2312"/>
          <w:sz w:val="32"/>
          <w:szCs w:val="32"/>
          <w:lang w:eastAsia="zh-CN"/>
        </w:rPr>
        <w:t>：</w:t>
      </w:r>
      <w:r>
        <w:rPr>
          <w:rFonts w:hint="eastAsia" w:eastAsia="仿宋_GB2312" w:cs="仿宋_GB2312"/>
          <w:sz w:val="32"/>
          <w:szCs w:val="32"/>
        </w:rPr>
        <w:t>本年度司法救助项目立项依据充分、资金管理规范、实施成效明显，较好完成了各项绩效目标，在保障困难群众权益、化解社会矛盾、维护社会稳定等方面发挥了重要作用。绩效自评报告详见附件。</w:t>
      </w:r>
    </w:p>
    <w:p>
      <w:pPr>
        <w:spacing w:line="600" w:lineRule="exact"/>
        <w:jc w:val="center"/>
        <w:outlineLvl w:val="0"/>
        <w:rPr>
          <w:rFonts w:hint="eastAsia" w:eastAsia="黑体"/>
          <w:sz w:val="44"/>
          <w:szCs w:val="44"/>
        </w:rPr>
      </w:pPr>
    </w:p>
    <w:p>
      <w:pPr>
        <w:spacing w:line="600" w:lineRule="exact"/>
        <w:jc w:val="center"/>
        <w:outlineLvl w:val="0"/>
        <w:rPr>
          <w:rFonts w:hint="eastAsia" w:eastAsia="黑体"/>
          <w:sz w:val="44"/>
          <w:szCs w:val="44"/>
        </w:rPr>
      </w:pPr>
    </w:p>
    <w:p>
      <w:pPr>
        <w:spacing w:line="600" w:lineRule="exact"/>
        <w:jc w:val="center"/>
        <w:outlineLvl w:val="0"/>
        <w:rPr>
          <w:rFonts w:hint="eastAsia" w:eastAsia="黑体"/>
          <w:sz w:val="44"/>
          <w:szCs w:val="44"/>
        </w:rPr>
      </w:pPr>
    </w:p>
    <w:p>
      <w:pPr>
        <w:pStyle w:val="2"/>
        <w:rPr>
          <w:rFonts w:hint="eastAsia"/>
        </w:rPr>
      </w:pPr>
    </w:p>
    <w:p>
      <w:pPr>
        <w:spacing w:line="600" w:lineRule="exact"/>
        <w:jc w:val="center"/>
        <w:outlineLvl w:val="0"/>
        <w:rPr>
          <w:rFonts w:hint="eastAsia" w:eastAsia="黑体"/>
          <w:sz w:val="44"/>
          <w:szCs w:val="44"/>
        </w:rPr>
      </w:pPr>
    </w:p>
    <w:p>
      <w:pPr>
        <w:spacing w:line="600" w:lineRule="exact"/>
        <w:jc w:val="center"/>
        <w:outlineLvl w:val="0"/>
        <w:rPr>
          <w:rFonts w:hint="eastAsia" w:eastAsia="黑体"/>
          <w:sz w:val="44"/>
          <w:szCs w:val="44"/>
        </w:rPr>
      </w:pPr>
    </w:p>
    <w:p>
      <w:pPr>
        <w:spacing w:line="600" w:lineRule="exact"/>
        <w:jc w:val="center"/>
        <w:outlineLvl w:val="0"/>
        <w:rPr>
          <w:rFonts w:hint="eastAsia" w:eastAsia="黑体"/>
          <w:sz w:val="44"/>
          <w:szCs w:val="44"/>
        </w:rPr>
      </w:pPr>
    </w:p>
    <w:p>
      <w:pPr>
        <w:spacing w:line="600" w:lineRule="exact"/>
        <w:jc w:val="center"/>
        <w:outlineLvl w:val="0"/>
        <w:rPr>
          <w:rFonts w:hint="eastAsia" w:eastAsia="黑体"/>
          <w:sz w:val="44"/>
          <w:szCs w:val="44"/>
        </w:rPr>
      </w:pPr>
    </w:p>
    <w:p>
      <w:pPr>
        <w:spacing w:line="600" w:lineRule="exact"/>
        <w:jc w:val="center"/>
        <w:outlineLvl w:val="0"/>
        <w:rPr>
          <w:rFonts w:hint="eastAsia" w:eastAsia="黑体"/>
          <w:sz w:val="44"/>
          <w:szCs w:val="44"/>
        </w:rPr>
      </w:pPr>
    </w:p>
    <w:p>
      <w:pPr>
        <w:spacing w:line="600" w:lineRule="exact"/>
        <w:jc w:val="center"/>
        <w:outlineLvl w:val="0"/>
        <w:rPr>
          <w:rFonts w:hint="eastAsia" w:eastAsia="黑体"/>
          <w:sz w:val="44"/>
          <w:szCs w:val="44"/>
        </w:rPr>
      </w:pPr>
    </w:p>
    <w:p>
      <w:pPr>
        <w:spacing w:line="600" w:lineRule="exact"/>
        <w:jc w:val="center"/>
        <w:outlineLvl w:val="0"/>
        <w:rPr>
          <w:rFonts w:hint="eastAsia" w:eastAsia="黑体"/>
          <w:sz w:val="44"/>
          <w:szCs w:val="44"/>
        </w:rPr>
      </w:pPr>
    </w:p>
    <w:p>
      <w:pPr>
        <w:spacing w:line="600" w:lineRule="exact"/>
        <w:jc w:val="center"/>
        <w:outlineLvl w:val="0"/>
        <w:rPr>
          <w:rFonts w:eastAsia="黑体"/>
          <w:sz w:val="44"/>
          <w:szCs w:val="44"/>
        </w:rPr>
      </w:pPr>
      <w:r>
        <w:rPr>
          <w:rFonts w:hint="eastAsia" w:eastAsia="黑体"/>
          <w:sz w:val="44"/>
          <w:szCs w:val="44"/>
        </w:rPr>
        <w:t>第三部分  名词解释</w:t>
      </w:r>
    </w:p>
    <w:p>
      <w:pPr>
        <w:spacing w:line="600" w:lineRule="exact"/>
        <w:jc w:val="left"/>
        <w:rPr>
          <w:b/>
          <w:sz w:val="44"/>
          <w:szCs w:val="44"/>
        </w:rPr>
      </w:pPr>
    </w:p>
    <w:p>
      <w:pPr>
        <w:pStyle w:val="26"/>
        <w:spacing w:after="160" w:line="560" w:lineRule="exact"/>
        <w:ind w:firstLine="640" w:firstLineChars="200"/>
        <w:rPr>
          <w:rFonts w:ascii="仿宋_GB2312" w:eastAsia="仿宋_GB2312"/>
          <w:color w:val="auto"/>
          <w:sz w:val="32"/>
          <w:szCs w:val="32"/>
        </w:rPr>
      </w:pPr>
      <w:r>
        <w:rPr>
          <w:rFonts w:ascii="仿宋_GB2312" w:eastAsia="仿宋_GB2312"/>
          <w:color w:val="auto"/>
          <w:sz w:val="32"/>
          <w:szCs w:val="32"/>
        </w:rPr>
        <w:t>1.</w:t>
      </w:r>
      <w:r>
        <w:rPr>
          <w:rFonts w:hint="eastAsia" w:ascii="仿宋_GB2312" w:eastAsia="仿宋_GB2312"/>
          <w:color w:val="auto"/>
          <w:sz w:val="32"/>
          <w:szCs w:val="32"/>
        </w:rPr>
        <w:t>财政拨款收入：指单位从同级财政部门取得的财政预算资金。</w:t>
      </w:r>
    </w:p>
    <w:p>
      <w:pPr>
        <w:pStyle w:val="26"/>
        <w:spacing w:after="160" w:line="560" w:lineRule="exact"/>
        <w:ind w:firstLine="640" w:firstLineChars="200"/>
        <w:rPr>
          <w:rFonts w:ascii="仿宋_GB2312" w:eastAsia="仿宋_GB2312"/>
          <w:color w:val="auto"/>
          <w:sz w:val="32"/>
          <w:szCs w:val="32"/>
        </w:rPr>
      </w:pPr>
      <w:r>
        <w:rPr>
          <w:rFonts w:ascii="仿宋_GB2312" w:eastAsia="仿宋_GB2312"/>
          <w:color w:val="auto"/>
          <w:sz w:val="32"/>
          <w:szCs w:val="32"/>
        </w:rPr>
        <w:t>2.</w:t>
      </w:r>
      <w:r>
        <w:rPr>
          <w:rFonts w:hint="eastAsia" w:ascii="仿宋_GB2312" w:eastAsia="仿宋_GB2312"/>
          <w:color w:val="auto"/>
          <w:sz w:val="32"/>
          <w:szCs w:val="32"/>
        </w:rPr>
        <w:t>事业收入：指事业单位开展专业业务活动及辅助活动取得的收入。</w:t>
      </w:r>
    </w:p>
    <w:p>
      <w:pPr>
        <w:pStyle w:val="26"/>
        <w:spacing w:after="160" w:line="560" w:lineRule="exact"/>
        <w:ind w:firstLine="640" w:firstLineChars="200"/>
        <w:rPr>
          <w:rFonts w:ascii="仿宋_GB2312" w:eastAsia="仿宋_GB2312"/>
          <w:color w:val="auto"/>
          <w:sz w:val="32"/>
          <w:szCs w:val="32"/>
        </w:rPr>
      </w:pPr>
      <w:r>
        <w:rPr>
          <w:rFonts w:ascii="仿宋_GB2312" w:eastAsia="仿宋_GB2312"/>
          <w:color w:val="auto"/>
          <w:sz w:val="32"/>
          <w:szCs w:val="32"/>
        </w:rPr>
        <w:t>3.</w:t>
      </w:r>
      <w:r>
        <w:rPr>
          <w:rFonts w:hint="eastAsia" w:ascii="仿宋_GB2312" w:eastAsia="仿宋_GB2312"/>
          <w:color w:val="auto"/>
          <w:sz w:val="32"/>
          <w:szCs w:val="32"/>
        </w:rPr>
        <w:t>经营收入：指事业单位在专业业务活动及其辅助活动之外开展非独立核算经营活动取得的收入。</w:t>
      </w:r>
    </w:p>
    <w:p>
      <w:pPr>
        <w:pStyle w:val="26"/>
        <w:spacing w:after="160" w:line="560" w:lineRule="exact"/>
        <w:ind w:firstLine="640" w:firstLineChars="200"/>
        <w:rPr>
          <w:rFonts w:ascii="仿宋_GB2312" w:eastAsia="仿宋_GB2312"/>
          <w:color w:val="auto"/>
          <w:sz w:val="32"/>
          <w:szCs w:val="32"/>
        </w:rPr>
      </w:pPr>
      <w:r>
        <w:rPr>
          <w:rFonts w:ascii="仿宋_GB2312" w:eastAsia="仿宋_GB2312"/>
          <w:color w:val="auto"/>
          <w:sz w:val="32"/>
          <w:szCs w:val="32"/>
        </w:rPr>
        <w:t>4.</w:t>
      </w:r>
      <w:r>
        <w:rPr>
          <w:rFonts w:hint="eastAsia" w:ascii="仿宋_GB2312" w:eastAsia="仿宋_GB2312"/>
          <w:color w:val="auto"/>
          <w:sz w:val="32"/>
          <w:szCs w:val="32"/>
        </w:rPr>
        <w:t>其他收入：指单位取得的除上述收入以外的各项收入。</w:t>
      </w:r>
    </w:p>
    <w:p>
      <w:pPr>
        <w:pStyle w:val="26"/>
        <w:spacing w:after="160" w:line="560" w:lineRule="exact"/>
        <w:ind w:firstLine="640" w:firstLineChars="200"/>
        <w:rPr>
          <w:rFonts w:ascii="仿宋_GB2312" w:eastAsia="仿宋_GB2312"/>
          <w:color w:val="auto"/>
          <w:sz w:val="32"/>
          <w:szCs w:val="32"/>
        </w:rPr>
      </w:pPr>
      <w:r>
        <w:rPr>
          <w:rFonts w:ascii="仿宋_GB2312" w:eastAsia="仿宋_GB2312"/>
          <w:color w:val="auto"/>
          <w:sz w:val="32"/>
          <w:szCs w:val="32"/>
        </w:rPr>
        <w:t>5.</w:t>
      </w:r>
      <w:r>
        <w:rPr>
          <w:rFonts w:hint="eastAsia" w:ascii="仿宋_GB2312" w:eastAsia="仿宋_GB2312"/>
          <w:color w:val="auto"/>
          <w:sz w:val="32"/>
          <w:szCs w:val="32"/>
        </w:rPr>
        <w:t>使用非财政拨款结余：指事业单位使用以前年度积累的非财政拨款结余弥补当年收支差额的金额。</w:t>
      </w:r>
    </w:p>
    <w:p>
      <w:pPr>
        <w:pStyle w:val="26"/>
        <w:spacing w:after="160" w:line="560" w:lineRule="exact"/>
        <w:ind w:firstLine="640" w:firstLineChars="200"/>
        <w:rPr>
          <w:rFonts w:ascii="仿宋_GB2312" w:eastAsia="仿宋_GB2312"/>
          <w:color w:val="auto"/>
          <w:sz w:val="32"/>
          <w:szCs w:val="32"/>
        </w:rPr>
      </w:pPr>
      <w:r>
        <w:rPr>
          <w:rFonts w:ascii="仿宋_GB2312" w:eastAsia="仿宋_GB2312"/>
          <w:color w:val="auto"/>
          <w:sz w:val="32"/>
          <w:szCs w:val="32"/>
        </w:rPr>
        <w:t>6.</w:t>
      </w:r>
      <w:r>
        <w:rPr>
          <w:rFonts w:hint="eastAsia" w:ascii="仿宋_GB2312" w:eastAsia="仿宋_GB2312"/>
          <w:color w:val="auto"/>
          <w:sz w:val="32"/>
          <w:szCs w:val="32"/>
        </w:rPr>
        <w:t>年初结转和结余：指以前年度尚未完成、结转到本年按有关规定继续使用的资金。</w:t>
      </w:r>
    </w:p>
    <w:p>
      <w:pPr>
        <w:pStyle w:val="26"/>
        <w:spacing w:after="160" w:line="560" w:lineRule="exact"/>
        <w:ind w:firstLine="640" w:firstLineChars="200"/>
        <w:rPr>
          <w:rFonts w:ascii="仿宋_GB2312" w:eastAsia="仿宋_GB2312"/>
          <w:color w:val="auto"/>
          <w:sz w:val="32"/>
          <w:szCs w:val="32"/>
        </w:rPr>
      </w:pPr>
      <w:r>
        <w:rPr>
          <w:rFonts w:ascii="仿宋_GB2312" w:eastAsia="仿宋_GB2312"/>
          <w:color w:val="auto"/>
          <w:sz w:val="32"/>
          <w:szCs w:val="32"/>
        </w:rPr>
        <w:t>7.</w:t>
      </w:r>
      <w:r>
        <w:rPr>
          <w:rFonts w:hint="eastAsia" w:ascii="仿宋_GB2312" w:eastAsia="仿宋_GB2312"/>
          <w:color w:val="auto"/>
          <w:sz w:val="32"/>
          <w:szCs w:val="32"/>
        </w:rPr>
        <w:t>结余分配：指事业单位按照会计制度规定缴纳的所得税、提取的专用结余以及转入非财政拨款结余的金额等。</w:t>
      </w:r>
    </w:p>
    <w:p>
      <w:pPr>
        <w:pStyle w:val="26"/>
        <w:spacing w:after="160" w:line="560" w:lineRule="exact"/>
        <w:ind w:firstLine="640" w:firstLineChars="200"/>
        <w:rPr>
          <w:rFonts w:ascii="仿宋_GB2312" w:eastAsia="仿宋_GB2312"/>
          <w:color w:val="auto"/>
          <w:sz w:val="32"/>
          <w:szCs w:val="32"/>
        </w:rPr>
      </w:pPr>
      <w:r>
        <w:rPr>
          <w:rFonts w:ascii="仿宋_GB2312" w:eastAsia="仿宋_GB2312"/>
          <w:color w:val="auto"/>
          <w:sz w:val="32"/>
          <w:szCs w:val="32"/>
        </w:rPr>
        <w:t>8</w:t>
      </w:r>
      <w:r>
        <w:rPr>
          <w:rFonts w:hint="eastAsia" w:ascii="仿宋_GB2312" w:eastAsia="仿宋_GB2312"/>
          <w:color w:val="auto"/>
          <w:sz w:val="32"/>
          <w:szCs w:val="32"/>
        </w:rPr>
        <w:t>.年末结转和结余：指单位按有关规定结转到下年或以后年度继续使用的资金。</w:t>
      </w:r>
    </w:p>
    <w:p>
      <w:pPr>
        <w:pStyle w:val="26"/>
        <w:spacing w:after="160" w:line="560" w:lineRule="exact"/>
        <w:ind w:firstLine="640" w:firstLineChars="200"/>
        <w:rPr>
          <w:rFonts w:ascii="仿宋_GB2312" w:eastAsia="仿宋_GB2312"/>
          <w:color w:val="auto"/>
          <w:sz w:val="32"/>
          <w:szCs w:val="32"/>
        </w:rPr>
      </w:pPr>
      <w:r>
        <w:rPr>
          <w:rFonts w:hint="eastAsia" w:ascii="仿宋_GB2312" w:eastAsia="仿宋_GB2312"/>
          <w:color w:val="auto"/>
          <w:sz w:val="32"/>
          <w:szCs w:val="32"/>
        </w:rPr>
        <w:t>9.公共安全支出（类）公安（款）行政运行（项）：指反映行政单位（包括实行公务员管理的事业单位）的基本支出。</w:t>
      </w:r>
    </w:p>
    <w:p>
      <w:pPr>
        <w:pStyle w:val="26"/>
        <w:spacing w:after="160" w:line="560" w:lineRule="exact"/>
        <w:ind w:firstLine="640" w:firstLineChars="200"/>
        <w:rPr>
          <w:rFonts w:ascii="仿宋_GB2312" w:eastAsia="仿宋_GB2312"/>
          <w:color w:val="auto"/>
          <w:sz w:val="32"/>
          <w:szCs w:val="32"/>
        </w:rPr>
      </w:pPr>
      <w:r>
        <w:rPr>
          <w:rFonts w:hint="eastAsia" w:ascii="仿宋_GB2312" w:eastAsia="仿宋_GB2312"/>
          <w:color w:val="auto"/>
          <w:sz w:val="32"/>
          <w:szCs w:val="32"/>
        </w:rPr>
        <w:t>10. 公共安全支出（类）公安（款）一般行政管理事务（项）: 反映行政单位（包括实行公务员管理的事业单位）未单独设置项级科目的其他项目支出。</w:t>
      </w:r>
    </w:p>
    <w:p>
      <w:pPr>
        <w:pStyle w:val="26"/>
        <w:spacing w:after="160" w:line="560" w:lineRule="exact"/>
        <w:ind w:firstLine="640" w:firstLineChars="200"/>
        <w:rPr>
          <w:rFonts w:ascii="仿宋_GB2312" w:eastAsia="仿宋_GB2312"/>
          <w:color w:val="auto"/>
          <w:sz w:val="32"/>
          <w:szCs w:val="32"/>
        </w:rPr>
      </w:pPr>
      <w:r>
        <w:rPr>
          <w:rFonts w:hint="eastAsia" w:ascii="仿宋_GB2312" w:eastAsia="仿宋_GB2312"/>
          <w:color w:val="auto"/>
          <w:sz w:val="32"/>
          <w:szCs w:val="32"/>
        </w:rPr>
        <w:t>11. 公共安全支出（类）其他公共安全支出（款）其他公共安全支出（项）: 反映其他用于公安方面的支出。</w:t>
      </w:r>
    </w:p>
    <w:p>
      <w:pPr>
        <w:pStyle w:val="26"/>
        <w:spacing w:after="160" w:line="560" w:lineRule="exact"/>
        <w:ind w:firstLine="640" w:firstLineChars="200"/>
        <w:rPr>
          <w:rFonts w:ascii="仿宋_GB2312" w:eastAsia="仿宋_GB2312"/>
          <w:color w:val="auto"/>
          <w:sz w:val="32"/>
          <w:szCs w:val="32"/>
        </w:rPr>
      </w:pPr>
      <w:r>
        <w:rPr>
          <w:rFonts w:hint="eastAsia" w:ascii="仿宋_GB2312" w:eastAsia="仿宋_GB2312"/>
          <w:color w:val="auto"/>
          <w:sz w:val="32"/>
          <w:szCs w:val="32"/>
        </w:rPr>
        <w:t>12.社会保障和就业支出（类）行政事业单位养老支出（款）行政单位离退休（项）：指反映行政单位（包括实行公务员管理的事业单位）开支的离退休经费。</w:t>
      </w:r>
    </w:p>
    <w:p>
      <w:pPr>
        <w:pStyle w:val="26"/>
        <w:spacing w:after="160" w:line="560" w:lineRule="exact"/>
        <w:ind w:firstLine="640" w:firstLineChars="200"/>
        <w:rPr>
          <w:rFonts w:ascii="仿宋_GB2312" w:eastAsia="仿宋_GB2312"/>
          <w:color w:val="auto"/>
          <w:sz w:val="32"/>
          <w:szCs w:val="32"/>
        </w:rPr>
      </w:pPr>
      <w:r>
        <w:rPr>
          <w:rFonts w:hint="eastAsia" w:ascii="仿宋_GB2312" w:eastAsia="仿宋_GB2312"/>
          <w:color w:val="auto"/>
          <w:sz w:val="32"/>
          <w:szCs w:val="32"/>
        </w:rPr>
        <w:t>13. 社会保障和就业支出（类）行政事业单位养老支出（款）机关事业单位基本养老保险缴费支出（项）:反映机关事业单位实施养老保险制度由单位缴纳的基本养老保险费支出。</w:t>
      </w:r>
    </w:p>
    <w:p>
      <w:pPr>
        <w:pStyle w:val="26"/>
        <w:spacing w:after="160" w:line="560" w:lineRule="exact"/>
        <w:ind w:firstLine="640" w:firstLineChars="200"/>
        <w:rPr>
          <w:rFonts w:ascii="仿宋_GB2312" w:eastAsia="仿宋_GB2312"/>
          <w:color w:val="auto"/>
          <w:sz w:val="32"/>
          <w:szCs w:val="32"/>
        </w:rPr>
      </w:pPr>
      <w:r>
        <w:rPr>
          <w:rFonts w:hint="eastAsia" w:ascii="仿宋_GB2312" w:eastAsia="仿宋_GB2312"/>
          <w:color w:val="auto"/>
          <w:sz w:val="32"/>
          <w:szCs w:val="32"/>
        </w:rPr>
        <w:t>14. 社会保障和就业支出（类）行政事业单位养老支出（款）机关事业单位职业年金缴费支出（项）:反映机关事业单位为其编制内工作人员建立和缴纳职业年金所发生的费用支出。</w:t>
      </w:r>
    </w:p>
    <w:p>
      <w:pPr>
        <w:pStyle w:val="26"/>
        <w:spacing w:after="160" w:line="560" w:lineRule="exact"/>
        <w:ind w:firstLine="640" w:firstLineChars="200"/>
        <w:rPr>
          <w:rFonts w:ascii="仿宋_GB2312" w:eastAsia="仿宋_GB2312"/>
          <w:color w:val="auto"/>
          <w:sz w:val="32"/>
          <w:szCs w:val="32"/>
        </w:rPr>
      </w:pPr>
      <w:r>
        <w:rPr>
          <w:rFonts w:hint="eastAsia" w:ascii="仿宋_GB2312" w:eastAsia="仿宋_GB2312"/>
          <w:color w:val="auto"/>
          <w:sz w:val="32"/>
          <w:szCs w:val="32"/>
        </w:rPr>
        <w:t>15. 社会保障和就业支出（类）抚恤（款）死亡抚恤（项）:反映按规定用于烈士和牺牲、病故人员家属的一次性和定期抚恤金、丧葬补助费以及烈士褒扬金。</w:t>
      </w:r>
    </w:p>
    <w:p>
      <w:pPr>
        <w:pStyle w:val="26"/>
        <w:spacing w:after="160" w:line="560" w:lineRule="exact"/>
        <w:ind w:firstLine="640" w:firstLineChars="200"/>
        <w:rPr>
          <w:rFonts w:ascii="仿宋_GB2312" w:eastAsia="仿宋_GB2312"/>
          <w:color w:val="auto"/>
          <w:sz w:val="32"/>
          <w:szCs w:val="32"/>
        </w:rPr>
      </w:pPr>
      <w:r>
        <w:rPr>
          <w:rFonts w:hint="eastAsia" w:ascii="仿宋_GB2312" w:eastAsia="仿宋_GB2312"/>
          <w:color w:val="auto"/>
          <w:sz w:val="32"/>
          <w:szCs w:val="32"/>
        </w:rPr>
        <w:t>16. 卫生健康支出（类）行政事业单位医疗支出（款）行政单位医疗支出（项）: 反映财政部门安排的行政单位（包括实行公务员管理的事业单位，下同）基本医疗保险缴费经费，未参加医疗保险的行政单位的公费医疗经费，按国家规定享受离休人员、红军老战士待遇人员的医疗经费。</w:t>
      </w:r>
    </w:p>
    <w:p>
      <w:pPr>
        <w:pStyle w:val="26"/>
        <w:spacing w:after="160" w:line="560" w:lineRule="exact"/>
        <w:ind w:firstLine="640" w:firstLineChars="200"/>
        <w:rPr>
          <w:rFonts w:ascii="仿宋_GB2312" w:eastAsia="仿宋_GB2312"/>
          <w:color w:val="auto"/>
          <w:sz w:val="32"/>
          <w:szCs w:val="32"/>
        </w:rPr>
      </w:pPr>
      <w:r>
        <w:rPr>
          <w:rFonts w:hint="eastAsia" w:ascii="仿宋_GB2312" w:eastAsia="仿宋_GB2312"/>
          <w:color w:val="auto"/>
          <w:sz w:val="32"/>
          <w:szCs w:val="32"/>
        </w:rPr>
        <w:t>17. 卫生健康支出（类）行政事业单位医疗支出（款）公务员医疗补助（项）: 反映财政部门安排的公务员医疗补助经费。</w:t>
      </w:r>
    </w:p>
    <w:p>
      <w:pPr>
        <w:pStyle w:val="26"/>
        <w:spacing w:after="160" w:line="560" w:lineRule="exact"/>
        <w:ind w:firstLine="640" w:firstLineChars="200"/>
        <w:rPr>
          <w:rFonts w:ascii="仿宋_GB2312" w:eastAsia="仿宋_GB2312"/>
          <w:color w:val="auto"/>
          <w:sz w:val="32"/>
          <w:szCs w:val="32"/>
        </w:rPr>
      </w:pPr>
      <w:r>
        <w:rPr>
          <w:rFonts w:hint="eastAsia" w:ascii="仿宋_GB2312" w:eastAsia="仿宋_GB2312"/>
          <w:color w:val="auto"/>
          <w:sz w:val="32"/>
          <w:szCs w:val="32"/>
        </w:rPr>
        <w:t>18.住房保障支出（类）住房改革支出（款）住房公积金（项）:反映行政事业单位按人力资源和社会保障部、财政部规定的基本工资何津贴补贴以及规定比例为职工缴纳的住房公积金。</w:t>
      </w:r>
    </w:p>
    <w:p>
      <w:pPr>
        <w:pStyle w:val="26"/>
        <w:spacing w:after="160" w:line="560" w:lineRule="exact"/>
        <w:ind w:firstLine="640" w:firstLineChars="200"/>
        <w:rPr>
          <w:rFonts w:hint="eastAsia" w:ascii="仿宋_GB2312" w:eastAsia="仿宋_GB2312"/>
          <w:color w:val="auto"/>
          <w:sz w:val="32"/>
          <w:szCs w:val="32"/>
          <w:lang w:eastAsia="zh-CN"/>
        </w:rPr>
      </w:pPr>
      <w:r>
        <w:rPr>
          <w:rFonts w:hint="eastAsia" w:ascii="仿宋_GB2312" w:eastAsia="仿宋_GB2312"/>
          <w:color w:val="auto"/>
          <w:sz w:val="32"/>
          <w:szCs w:val="32"/>
        </w:rPr>
        <w:t>19.</w:t>
      </w:r>
      <w:r>
        <w:rPr>
          <w:rFonts w:hint="eastAsia" w:ascii="仿宋_GB2312" w:eastAsia="仿宋_GB2312"/>
          <w:color w:val="auto"/>
          <w:sz w:val="32"/>
          <w:szCs w:val="32"/>
          <w:lang w:eastAsia="zh-CN"/>
        </w:rPr>
        <w:t>一般公共服务支出（类）其他共产党事务支出（款）其他共产党事务支出：反映其他用于中国共产党事务的支出。</w:t>
      </w:r>
    </w:p>
    <w:p>
      <w:pPr>
        <w:pStyle w:val="26"/>
        <w:spacing w:after="160" w:line="560" w:lineRule="exact"/>
        <w:ind w:firstLine="640" w:firstLineChars="200"/>
        <w:rPr>
          <w:rFonts w:hint="default" w:ascii="仿宋_GB2312" w:eastAsia="仿宋_GB2312"/>
          <w:color w:val="auto"/>
          <w:sz w:val="32"/>
          <w:szCs w:val="32"/>
          <w:lang w:val="en-US" w:eastAsia="zh-CN"/>
        </w:rPr>
      </w:pPr>
      <w:r>
        <w:rPr>
          <w:rFonts w:hint="eastAsia" w:ascii="仿宋_GB2312" w:eastAsia="仿宋_GB2312"/>
          <w:color w:val="auto"/>
          <w:sz w:val="32"/>
          <w:szCs w:val="32"/>
          <w:lang w:val="en-US" w:eastAsia="zh-CN"/>
        </w:rPr>
        <w:t>20.</w:t>
      </w:r>
      <w:r>
        <w:rPr>
          <w:rFonts w:hint="eastAsia" w:ascii="仿宋_GB2312" w:eastAsia="仿宋_GB2312"/>
          <w:color w:val="auto"/>
          <w:sz w:val="32"/>
          <w:szCs w:val="32"/>
          <w:lang w:eastAsia="zh-CN"/>
        </w:rPr>
        <w:t>一般公共服务支出（类）信访事务（款）信访业务（项）：反映各级政府用于接待群众来信来访方面的支出。</w:t>
      </w:r>
    </w:p>
    <w:p>
      <w:pPr>
        <w:pStyle w:val="26"/>
        <w:spacing w:after="160" w:line="560" w:lineRule="exact"/>
        <w:ind w:firstLine="640" w:firstLineChars="200"/>
        <w:rPr>
          <w:rFonts w:ascii="仿宋_GB2312" w:eastAsia="仿宋_GB2312"/>
          <w:color w:val="auto"/>
          <w:sz w:val="32"/>
          <w:szCs w:val="32"/>
        </w:rPr>
      </w:pPr>
      <w:r>
        <w:rPr>
          <w:rFonts w:hint="eastAsia" w:ascii="仿宋_GB2312" w:eastAsia="仿宋_GB2312"/>
          <w:color w:val="auto"/>
          <w:sz w:val="32"/>
          <w:szCs w:val="32"/>
          <w:lang w:val="en-US" w:eastAsia="zh-CN"/>
        </w:rPr>
        <w:t>21.</w:t>
      </w:r>
      <w:r>
        <w:rPr>
          <w:rFonts w:hint="eastAsia" w:ascii="仿宋_GB2312" w:eastAsia="仿宋_GB2312"/>
          <w:color w:val="auto"/>
          <w:sz w:val="32"/>
          <w:szCs w:val="32"/>
        </w:rPr>
        <w:t>基本支出：指为保障机构正常运转、完成日常工作任务而发生的人员支出和公用支出。</w:t>
      </w:r>
    </w:p>
    <w:p>
      <w:pPr>
        <w:pStyle w:val="26"/>
        <w:spacing w:after="160" w:line="560" w:lineRule="exact"/>
        <w:ind w:firstLine="640" w:firstLineChars="200"/>
        <w:rPr>
          <w:rFonts w:ascii="仿宋_GB2312" w:eastAsia="仿宋_GB2312"/>
          <w:color w:val="auto"/>
          <w:sz w:val="32"/>
          <w:szCs w:val="32"/>
        </w:rPr>
      </w:pPr>
      <w:r>
        <w:rPr>
          <w:rFonts w:hint="eastAsia" w:ascii="仿宋_GB2312" w:eastAsia="仿宋_GB2312"/>
          <w:color w:val="auto"/>
          <w:sz w:val="32"/>
          <w:szCs w:val="32"/>
        </w:rPr>
        <w:t>2</w:t>
      </w:r>
      <w:r>
        <w:rPr>
          <w:rFonts w:hint="eastAsia" w:ascii="仿宋_GB2312" w:eastAsia="仿宋_GB2312"/>
          <w:color w:val="auto"/>
          <w:sz w:val="32"/>
          <w:szCs w:val="32"/>
          <w:lang w:val="en-US" w:eastAsia="zh-CN"/>
        </w:rPr>
        <w:t>2</w:t>
      </w:r>
      <w:r>
        <w:rPr>
          <w:rFonts w:hint="eastAsia" w:ascii="仿宋_GB2312" w:eastAsia="仿宋_GB2312"/>
          <w:color w:val="auto"/>
          <w:sz w:val="32"/>
          <w:szCs w:val="32"/>
        </w:rPr>
        <w:t xml:space="preserve">.项目支出：指在基本支出之外为完成特定行政任务和事业发展目标所发生的支出。 </w:t>
      </w:r>
    </w:p>
    <w:p>
      <w:pPr>
        <w:pStyle w:val="26"/>
        <w:spacing w:after="160" w:line="560" w:lineRule="exact"/>
        <w:ind w:firstLine="640" w:firstLineChars="200"/>
        <w:rPr>
          <w:rFonts w:ascii="仿宋_GB2312" w:eastAsia="仿宋_GB2312"/>
          <w:color w:val="auto"/>
          <w:sz w:val="32"/>
          <w:szCs w:val="32"/>
        </w:rPr>
      </w:pPr>
      <w:r>
        <w:rPr>
          <w:rFonts w:hint="eastAsia" w:ascii="仿宋_GB2312" w:eastAsia="仿宋_GB2312"/>
          <w:color w:val="auto"/>
          <w:sz w:val="32"/>
          <w:szCs w:val="32"/>
        </w:rPr>
        <w:t>2</w:t>
      </w:r>
      <w:r>
        <w:rPr>
          <w:rFonts w:hint="eastAsia" w:ascii="仿宋_GB2312" w:eastAsia="仿宋_GB2312"/>
          <w:color w:val="auto"/>
          <w:sz w:val="32"/>
          <w:szCs w:val="32"/>
          <w:lang w:val="en-US" w:eastAsia="zh-CN"/>
        </w:rPr>
        <w:t>3</w:t>
      </w:r>
      <w:r>
        <w:rPr>
          <w:rFonts w:hint="eastAsia" w:ascii="仿宋_GB2312" w:eastAsia="仿宋_GB2312"/>
          <w:color w:val="auto"/>
          <w:sz w:val="32"/>
          <w:szCs w:val="32"/>
        </w:rPr>
        <w:t>.经营支出：指事业单位在专业业务活动及其辅助活动之外开展非独立核算经营活动发生的支出。</w:t>
      </w:r>
    </w:p>
    <w:p>
      <w:pPr>
        <w:pStyle w:val="26"/>
        <w:spacing w:after="160" w:line="560" w:lineRule="exact"/>
        <w:ind w:firstLine="640" w:firstLineChars="200"/>
        <w:rPr>
          <w:rFonts w:ascii="仿宋_GB2312" w:eastAsia="仿宋_GB2312"/>
          <w:color w:val="auto"/>
          <w:sz w:val="32"/>
          <w:szCs w:val="32"/>
        </w:rPr>
      </w:pPr>
      <w:r>
        <w:rPr>
          <w:rFonts w:hint="eastAsia" w:ascii="仿宋_GB2312" w:eastAsia="仿宋_GB2312"/>
          <w:color w:val="auto"/>
          <w:sz w:val="32"/>
          <w:szCs w:val="32"/>
        </w:rPr>
        <w:t>2</w:t>
      </w:r>
      <w:r>
        <w:rPr>
          <w:rFonts w:hint="eastAsia" w:ascii="仿宋_GB2312" w:eastAsia="仿宋_GB2312"/>
          <w:color w:val="auto"/>
          <w:sz w:val="32"/>
          <w:szCs w:val="32"/>
          <w:lang w:val="en-US" w:eastAsia="zh-CN"/>
        </w:rPr>
        <w:t>4</w:t>
      </w:r>
      <w:r>
        <w:rPr>
          <w:rFonts w:hint="eastAsia" w:ascii="仿宋_GB2312" w:eastAsia="仿宋_GB2312"/>
          <w:color w:val="auto"/>
          <w:sz w:val="32"/>
          <w:szCs w:val="32"/>
        </w:rPr>
        <w:t>.“三公”经费：指部门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等支出；公务接待费反映单位按规定开支的各类公务接待（含外宾接待）支出。</w:t>
      </w:r>
    </w:p>
    <w:p>
      <w:pPr>
        <w:pStyle w:val="26"/>
        <w:spacing w:after="160" w:line="560" w:lineRule="exact"/>
        <w:ind w:firstLine="640" w:firstLineChars="200"/>
        <w:rPr>
          <w:rFonts w:ascii="仿宋_GB2312" w:eastAsia="仿宋_GB2312"/>
          <w:color w:val="auto"/>
          <w:sz w:val="32"/>
          <w:szCs w:val="32"/>
        </w:rPr>
      </w:pPr>
      <w:r>
        <w:rPr>
          <w:rFonts w:hint="eastAsia" w:ascii="仿宋_GB2312" w:eastAsia="仿宋_GB2312"/>
          <w:color w:val="auto"/>
          <w:sz w:val="32"/>
          <w:szCs w:val="32"/>
        </w:rPr>
        <w:t>2</w:t>
      </w:r>
      <w:r>
        <w:rPr>
          <w:rFonts w:hint="eastAsia" w:ascii="仿宋_GB2312" w:eastAsia="仿宋_GB2312"/>
          <w:color w:val="auto"/>
          <w:sz w:val="32"/>
          <w:szCs w:val="32"/>
          <w:lang w:val="en-US" w:eastAsia="zh-CN"/>
        </w:rPr>
        <w:t>5</w:t>
      </w:r>
      <w:r>
        <w:rPr>
          <w:rFonts w:hint="eastAsia" w:ascii="仿宋_GB2312" w:eastAsia="仿宋_GB2312"/>
          <w:color w:val="auto"/>
          <w:sz w:val="32"/>
          <w:szCs w:val="32"/>
        </w:rPr>
        <w:t>.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pPr>
        <w:pStyle w:val="3"/>
        <w:ind w:left="105" w:leftChars="50" w:right="105" w:rightChars="50" w:firstLine="0" w:firstLineChars="0"/>
      </w:pPr>
    </w:p>
    <w:p>
      <w:pPr>
        <w:pStyle w:val="3"/>
        <w:ind w:left="105" w:leftChars="50" w:right="105" w:rightChars="50" w:firstLine="0" w:firstLineChars="0"/>
      </w:pPr>
    </w:p>
    <w:p/>
    <w:p>
      <w:pPr>
        <w:pStyle w:val="2"/>
      </w:pPr>
    </w:p>
    <w:p>
      <w:pPr>
        <w:pStyle w:val="3"/>
      </w:pPr>
    </w:p>
    <w:p/>
    <w:p>
      <w:pPr>
        <w:pStyle w:val="2"/>
      </w:pPr>
    </w:p>
    <w:p>
      <w:pPr>
        <w:pStyle w:val="3"/>
      </w:pPr>
    </w:p>
    <w:p/>
    <w:p>
      <w:pPr>
        <w:pStyle w:val="2"/>
      </w:pPr>
    </w:p>
    <w:p>
      <w:pPr>
        <w:pStyle w:val="3"/>
      </w:pPr>
    </w:p>
    <w:p/>
    <w:p>
      <w:pPr>
        <w:pStyle w:val="2"/>
      </w:pPr>
    </w:p>
    <w:p>
      <w:pPr>
        <w:pStyle w:val="3"/>
      </w:pPr>
    </w:p>
    <w:p/>
    <w:p>
      <w:pPr>
        <w:pStyle w:val="2"/>
      </w:pPr>
    </w:p>
    <w:p>
      <w:pPr>
        <w:pStyle w:val="3"/>
      </w:pPr>
    </w:p>
    <w:p/>
    <w:p>
      <w:pPr>
        <w:pStyle w:val="2"/>
      </w:pPr>
    </w:p>
    <w:p>
      <w:pPr>
        <w:pStyle w:val="3"/>
      </w:pPr>
    </w:p>
    <w:p/>
    <w:p>
      <w:pPr>
        <w:pStyle w:val="2"/>
      </w:pPr>
    </w:p>
    <w:p>
      <w:pPr>
        <w:pStyle w:val="3"/>
      </w:pPr>
    </w:p>
    <w:p/>
    <w:p>
      <w:pPr>
        <w:pStyle w:val="2"/>
      </w:pPr>
    </w:p>
    <w:p>
      <w:pPr>
        <w:pStyle w:val="3"/>
      </w:pPr>
    </w:p>
    <w:p/>
    <w:p>
      <w:pPr>
        <w:pStyle w:val="2"/>
      </w:pPr>
    </w:p>
    <w:p>
      <w:pPr>
        <w:pStyle w:val="3"/>
      </w:pPr>
    </w:p>
    <w:p/>
    <w:p>
      <w:pPr>
        <w:pStyle w:val="2"/>
      </w:pPr>
    </w:p>
    <w:p>
      <w:pPr>
        <w:spacing w:line="600" w:lineRule="exact"/>
        <w:jc w:val="center"/>
        <w:rPr>
          <w:rStyle w:val="36"/>
          <w:rFonts w:eastAsia="黑体"/>
          <w:b w:val="0"/>
        </w:rPr>
      </w:pPr>
      <w:bookmarkStart w:id="16" w:name="_Toc15396614"/>
      <w:r>
        <w:rPr>
          <w:rFonts w:hint="eastAsia" w:eastAsia="黑体"/>
          <w:sz w:val="44"/>
          <w:szCs w:val="44"/>
        </w:rPr>
        <w:t>第四部分  附件</w:t>
      </w:r>
      <w:bookmarkEnd w:id="16"/>
    </w:p>
    <w:p>
      <w:pPr>
        <w:spacing w:line="600" w:lineRule="exact"/>
        <w:jc w:val="center"/>
        <w:outlineLvl w:val="0"/>
        <w:rPr>
          <w:sz w:val="32"/>
          <w:szCs w:val="32"/>
        </w:rPr>
      </w:pPr>
      <w:r>
        <w:rPr>
          <w:rFonts w:hint="eastAsia"/>
          <w:sz w:val="32"/>
          <w:szCs w:val="32"/>
        </w:rPr>
        <w:t xml:space="preserve">  </w:t>
      </w:r>
      <w:bookmarkStart w:id="17" w:name="_Toc208392013"/>
      <w:r>
        <w:rPr>
          <w:rFonts w:hint="eastAsia"/>
          <w:sz w:val="32"/>
          <w:szCs w:val="32"/>
          <w:lang w:val="en-US" w:eastAsia="zh-CN"/>
        </w:rPr>
        <w:t xml:space="preserve">    </w:t>
      </w:r>
      <w:r>
        <w:rPr>
          <w:rFonts w:hint="eastAsia"/>
          <w:sz w:val="32"/>
          <w:szCs w:val="32"/>
        </w:rPr>
        <w:t>部门预算项目支出绩效自评表（202</w:t>
      </w:r>
      <w:r>
        <w:rPr>
          <w:rFonts w:hint="eastAsia"/>
          <w:sz w:val="32"/>
          <w:szCs w:val="32"/>
          <w:lang w:val="en-US" w:eastAsia="zh-CN"/>
        </w:rPr>
        <w:t>5</w:t>
      </w:r>
      <w:r>
        <w:rPr>
          <w:rFonts w:hint="eastAsia"/>
          <w:sz w:val="32"/>
          <w:szCs w:val="32"/>
        </w:rPr>
        <w:t>年度）见附件《攀枝花市公安局东区分局部门预算项目支出绩效自评表》。</w:t>
      </w:r>
      <w:bookmarkEnd w:id="17"/>
    </w:p>
    <w:p>
      <w:pPr>
        <w:pStyle w:val="3"/>
      </w:pPr>
    </w:p>
    <w:p/>
    <w:p>
      <w:pPr>
        <w:pStyle w:val="2"/>
      </w:pPr>
    </w:p>
    <w:p>
      <w:pPr>
        <w:pStyle w:val="3"/>
      </w:pPr>
    </w:p>
    <w:p/>
    <w:p>
      <w:pPr>
        <w:pStyle w:val="2"/>
      </w:pPr>
    </w:p>
    <w:p>
      <w:pPr>
        <w:pStyle w:val="3"/>
      </w:pPr>
    </w:p>
    <w:p/>
    <w:p>
      <w:pPr>
        <w:pStyle w:val="2"/>
      </w:pPr>
    </w:p>
    <w:p>
      <w:pPr>
        <w:pStyle w:val="3"/>
      </w:pPr>
    </w:p>
    <w:p/>
    <w:p>
      <w:pPr>
        <w:pStyle w:val="2"/>
      </w:pPr>
    </w:p>
    <w:p>
      <w:pPr>
        <w:pStyle w:val="3"/>
      </w:pPr>
    </w:p>
    <w:p/>
    <w:p>
      <w:pPr>
        <w:pStyle w:val="2"/>
      </w:pPr>
    </w:p>
    <w:p>
      <w:pPr>
        <w:pStyle w:val="3"/>
      </w:pPr>
    </w:p>
    <w:p/>
    <w:p>
      <w:pPr>
        <w:pStyle w:val="2"/>
      </w:pPr>
    </w:p>
    <w:p>
      <w:pPr>
        <w:pStyle w:val="3"/>
      </w:pPr>
    </w:p>
    <w:p/>
    <w:p>
      <w:pPr>
        <w:pStyle w:val="2"/>
      </w:pPr>
    </w:p>
    <w:p>
      <w:pPr>
        <w:pStyle w:val="3"/>
      </w:pPr>
    </w:p>
    <w:p/>
    <w:p>
      <w:pPr>
        <w:pStyle w:val="2"/>
      </w:pPr>
    </w:p>
    <w:p>
      <w:pPr>
        <w:pStyle w:val="3"/>
      </w:pPr>
    </w:p>
    <w:p/>
    <w:p>
      <w:pPr>
        <w:pStyle w:val="2"/>
      </w:pPr>
    </w:p>
    <w:p>
      <w:pPr>
        <w:pStyle w:val="3"/>
      </w:pPr>
    </w:p>
    <w:p/>
    <w:p>
      <w:pPr>
        <w:pStyle w:val="2"/>
      </w:pPr>
    </w:p>
    <w:p>
      <w:pPr>
        <w:pStyle w:val="3"/>
      </w:pPr>
    </w:p>
    <w:p/>
    <w:p>
      <w:pPr>
        <w:pStyle w:val="2"/>
      </w:pPr>
    </w:p>
    <w:p>
      <w:pPr>
        <w:pStyle w:val="3"/>
      </w:pPr>
    </w:p>
    <w:p/>
    <w:p>
      <w:pPr>
        <w:pStyle w:val="2"/>
      </w:pPr>
    </w:p>
    <w:p>
      <w:pPr>
        <w:pStyle w:val="3"/>
      </w:pPr>
    </w:p>
    <w:p/>
    <w:p>
      <w:pPr>
        <w:widowControl/>
        <w:jc w:val="center"/>
        <w:rPr>
          <w:rFonts w:eastAsia="仿宋"/>
        </w:rPr>
      </w:pPr>
      <w:r>
        <w:rPr>
          <w:rFonts w:hint="eastAsia" w:eastAsia="黑体"/>
          <w:sz w:val="44"/>
          <w:szCs w:val="44"/>
        </w:rPr>
        <w:t>第</w:t>
      </w:r>
      <w:r>
        <w:rPr>
          <w:rStyle w:val="36"/>
          <w:rFonts w:hint="eastAsia" w:eastAsia="黑体"/>
          <w:b w:val="0"/>
        </w:rPr>
        <w:t>五部分 附表</w:t>
      </w:r>
      <w:bookmarkStart w:id="18" w:name="_Toc15396619"/>
    </w:p>
    <w:p>
      <w:pPr>
        <w:pStyle w:val="14"/>
        <w:adjustRightInd w:val="0"/>
        <w:snapToGrid w:val="0"/>
        <w:spacing w:line="560" w:lineRule="exact"/>
        <w:jc w:val="left"/>
        <w:rPr>
          <w:rFonts w:eastAsia="仿宋_GB2312" w:cs="仿宋_GB2312"/>
          <w:sz w:val="32"/>
          <w:szCs w:val="32"/>
        </w:rPr>
      </w:pPr>
    </w:p>
    <w:p>
      <w:pPr>
        <w:pStyle w:val="14"/>
        <w:adjustRightInd w:val="0"/>
        <w:snapToGrid w:val="0"/>
        <w:spacing w:line="560" w:lineRule="exact"/>
        <w:jc w:val="left"/>
        <w:rPr>
          <w:rFonts w:eastAsia="仿宋_GB2312" w:cs="仿宋_GB2312"/>
          <w:sz w:val="32"/>
          <w:szCs w:val="32"/>
        </w:rPr>
      </w:pPr>
      <w:r>
        <w:rPr>
          <w:rFonts w:hint="eastAsia" w:eastAsia="仿宋_GB2312" w:cs="仿宋_GB2312"/>
          <w:sz w:val="32"/>
          <w:szCs w:val="32"/>
        </w:rPr>
        <w:t>一、收入支出决算总表</w:t>
      </w:r>
      <w:bookmarkEnd w:id="18"/>
    </w:p>
    <w:p>
      <w:pPr>
        <w:pStyle w:val="14"/>
        <w:adjustRightInd w:val="0"/>
        <w:snapToGrid w:val="0"/>
        <w:spacing w:line="560" w:lineRule="exact"/>
        <w:jc w:val="left"/>
        <w:rPr>
          <w:rFonts w:eastAsia="仿宋_GB2312" w:cs="仿宋_GB2312"/>
          <w:sz w:val="32"/>
          <w:szCs w:val="32"/>
        </w:rPr>
      </w:pPr>
      <w:bookmarkStart w:id="19" w:name="_Toc15396620"/>
      <w:r>
        <w:rPr>
          <w:rFonts w:hint="eastAsia" w:eastAsia="仿宋_GB2312" w:cs="仿宋_GB2312"/>
          <w:sz w:val="32"/>
          <w:szCs w:val="32"/>
        </w:rPr>
        <w:t>二、收入决算表</w:t>
      </w:r>
      <w:bookmarkEnd w:id="19"/>
    </w:p>
    <w:p>
      <w:pPr>
        <w:pStyle w:val="14"/>
        <w:adjustRightInd w:val="0"/>
        <w:snapToGrid w:val="0"/>
        <w:spacing w:line="560" w:lineRule="exact"/>
        <w:jc w:val="left"/>
        <w:rPr>
          <w:rFonts w:eastAsia="仿宋_GB2312" w:cs="仿宋_GB2312"/>
          <w:sz w:val="32"/>
          <w:szCs w:val="32"/>
        </w:rPr>
      </w:pPr>
      <w:bookmarkStart w:id="20" w:name="_Toc15396621"/>
      <w:r>
        <w:rPr>
          <w:rFonts w:hint="eastAsia" w:eastAsia="仿宋_GB2312" w:cs="仿宋_GB2312"/>
          <w:sz w:val="32"/>
          <w:szCs w:val="32"/>
        </w:rPr>
        <w:t>三、支出决算表</w:t>
      </w:r>
      <w:bookmarkEnd w:id="20"/>
    </w:p>
    <w:p>
      <w:pPr>
        <w:pStyle w:val="14"/>
        <w:adjustRightInd w:val="0"/>
        <w:snapToGrid w:val="0"/>
        <w:spacing w:line="560" w:lineRule="exact"/>
        <w:jc w:val="left"/>
        <w:rPr>
          <w:rFonts w:eastAsia="仿宋_GB2312" w:cs="仿宋_GB2312"/>
          <w:sz w:val="32"/>
          <w:szCs w:val="32"/>
        </w:rPr>
      </w:pPr>
      <w:bookmarkStart w:id="21" w:name="_Toc15396622"/>
      <w:r>
        <w:rPr>
          <w:rFonts w:hint="eastAsia" w:eastAsia="仿宋_GB2312" w:cs="仿宋_GB2312"/>
          <w:sz w:val="32"/>
          <w:szCs w:val="32"/>
        </w:rPr>
        <w:t>四、财政拨款收入支出决算总表</w:t>
      </w:r>
      <w:bookmarkEnd w:id="21"/>
    </w:p>
    <w:p>
      <w:pPr>
        <w:pStyle w:val="14"/>
        <w:adjustRightInd w:val="0"/>
        <w:snapToGrid w:val="0"/>
        <w:spacing w:line="560" w:lineRule="exact"/>
        <w:jc w:val="left"/>
        <w:rPr>
          <w:rFonts w:eastAsia="仿宋_GB2312" w:cs="仿宋_GB2312"/>
          <w:sz w:val="32"/>
          <w:szCs w:val="32"/>
        </w:rPr>
      </w:pPr>
      <w:bookmarkStart w:id="22" w:name="_Toc15396623"/>
      <w:r>
        <w:rPr>
          <w:rFonts w:hint="eastAsia" w:eastAsia="仿宋_GB2312" w:cs="仿宋_GB2312"/>
          <w:sz w:val="32"/>
          <w:szCs w:val="32"/>
        </w:rPr>
        <w:t>五、财政拨款支出决算明细表</w:t>
      </w:r>
      <w:bookmarkEnd w:id="22"/>
      <w:bookmarkStart w:id="23" w:name="_Toc15396624"/>
    </w:p>
    <w:p>
      <w:pPr>
        <w:pStyle w:val="14"/>
        <w:adjustRightInd w:val="0"/>
        <w:snapToGrid w:val="0"/>
        <w:spacing w:line="560" w:lineRule="exact"/>
        <w:jc w:val="left"/>
        <w:rPr>
          <w:rFonts w:eastAsia="仿宋_GB2312" w:cs="仿宋_GB2312"/>
          <w:sz w:val="32"/>
          <w:szCs w:val="32"/>
        </w:rPr>
      </w:pPr>
      <w:r>
        <w:rPr>
          <w:rFonts w:hint="eastAsia" w:eastAsia="仿宋_GB2312" w:cs="仿宋_GB2312"/>
          <w:sz w:val="32"/>
          <w:szCs w:val="32"/>
        </w:rPr>
        <w:t>六、一般公共预算财政拨款支出决算表</w:t>
      </w:r>
      <w:bookmarkEnd w:id="23"/>
    </w:p>
    <w:p>
      <w:pPr>
        <w:pStyle w:val="14"/>
        <w:adjustRightInd w:val="0"/>
        <w:snapToGrid w:val="0"/>
        <w:spacing w:line="560" w:lineRule="exact"/>
        <w:jc w:val="left"/>
        <w:rPr>
          <w:rFonts w:eastAsia="仿宋_GB2312" w:cs="仿宋_GB2312"/>
          <w:sz w:val="32"/>
          <w:szCs w:val="32"/>
        </w:rPr>
      </w:pPr>
      <w:bookmarkStart w:id="24" w:name="_Toc15396625"/>
      <w:r>
        <w:rPr>
          <w:rFonts w:hint="eastAsia" w:eastAsia="仿宋_GB2312" w:cs="仿宋_GB2312"/>
          <w:sz w:val="32"/>
          <w:szCs w:val="32"/>
        </w:rPr>
        <w:t>七、一般公共预算财政拨款支出决算明细表</w:t>
      </w:r>
      <w:bookmarkEnd w:id="24"/>
    </w:p>
    <w:p>
      <w:pPr>
        <w:pStyle w:val="14"/>
        <w:adjustRightInd w:val="0"/>
        <w:snapToGrid w:val="0"/>
        <w:spacing w:line="560" w:lineRule="exact"/>
        <w:jc w:val="left"/>
        <w:rPr>
          <w:rFonts w:eastAsia="仿宋_GB2312" w:cs="仿宋_GB2312"/>
          <w:sz w:val="32"/>
          <w:szCs w:val="32"/>
        </w:rPr>
      </w:pPr>
      <w:bookmarkStart w:id="25" w:name="_Toc15396626"/>
      <w:r>
        <w:rPr>
          <w:rFonts w:hint="eastAsia" w:eastAsia="仿宋_GB2312" w:cs="仿宋_GB2312"/>
          <w:sz w:val="32"/>
          <w:szCs w:val="32"/>
        </w:rPr>
        <w:t>八、一般公共预算财政拨款基本支出决算表</w:t>
      </w:r>
      <w:bookmarkEnd w:id="25"/>
    </w:p>
    <w:p>
      <w:pPr>
        <w:pStyle w:val="14"/>
        <w:adjustRightInd w:val="0"/>
        <w:snapToGrid w:val="0"/>
        <w:spacing w:line="560" w:lineRule="exact"/>
        <w:jc w:val="left"/>
        <w:rPr>
          <w:rFonts w:eastAsia="仿宋_GB2312" w:cs="仿宋_GB2312"/>
          <w:sz w:val="32"/>
          <w:szCs w:val="32"/>
        </w:rPr>
      </w:pPr>
      <w:bookmarkStart w:id="26" w:name="_Toc15396627"/>
      <w:r>
        <w:rPr>
          <w:rFonts w:hint="eastAsia" w:eastAsia="仿宋_GB2312" w:cs="仿宋_GB2312"/>
          <w:sz w:val="32"/>
          <w:szCs w:val="32"/>
        </w:rPr>
        <w:t>九、一般公共预算财政拨款项目支出决算表</w:t>
      </w:r>
      <w:bookmarkEnd w:id="26"/>
    </w:p>
    <w:p>
      <w:pPr>
        <w:pStyle w:val="14"/>
        <w:adjustRightInd w:val="0"/>
        <w:snapToGrid w:val="0"/>
        <w:spacing w:line="560" w:lineRule="exact"/>
        <w:jc w:val="left"/>
        <w:rPr>
          <w:rFonts w:eastAsia="仿宋_GB2312" w:cs="仿宋_GB2312"/>
          <w:sz w:val="32"/>
          <w:szCs w:val="32"/>
        </w:rPr>
      </w:pPr>
      <w:bookmarkStart w:id="27" w:name="_Toc15396628"/>
      <w:r>
        <w:rPr>
          <w:rFonts w:hint="eastAsia" w:eastAsia="仿宋_GB2312" w:cs="仿宋_GB2312"/>
          <w:sz w:val="32"/>
          <w:szCs w:val="32"/>
        </w:rPr>
        <w:t>十、</w:t>
      </w:r>
      <w:bookmarkEnd w:id="27"/>
      <w:r>
        <w:rPr>
          <w:rFonts w:hint="eastAsia" w:eastAsia="仿宋_GB2312" w:cs="仿宋_GB2312"/>
          <w:sz w:val="32"/>
          <w:szCs w:val="32"/>
        </w:rPr>
        <w:t>政府性基金预算财政拨款收入支出决算表</w:t>
      </w:r>
    </w:p>
    <w:p>
      <w:pPr>
        <w:pStyle w:val="14"/>
        <w:adjustRightInd w:val="0"/>
        <w:snapToGrid w:val="0"/>
        <w:spacing w:line="560" w:lineRule="exact"/>
        <w:jc w:val="left"/>
        <w:rPr>
          <w:rFonts w:eastAsia="仿宋_GB2312" w:cs="仿宋_GB2312"/>
          <w:sz w:val="32"/>
          <w:szCs w:val="32"/>
        </w:rPr>
      </w:pPr>
      <w:bookmarkStart w:id="28" w:name="_Toc15396629"/>
      <w:r>
        <w:rPr>
          <w:rFonts w:hint="eastAsia" w:eastAsia="仿宋_GB2312" w:cs="仿宋_GB2312"/>
          <w:sz w:val="32"/>
          <w:szCs w:val="32"/>
        </w:rPr>
        <w:t>十一、</w:t>
      </w:r>
      <w:bookmarkEnd w:id="28"/>
      <w:r>
        <w:rPr>
          <w:rFonts w:hint="eastAsia" w:eastAsia="仿宋_GB2312" w:cs="仿宋_GB2312"/>
          <w:sz w:val="32"/>
          <w:szCs w:val="32"/>
        </w:rPr>
        <w:t>国有资本经营预算财政拨款收入支出决算表</w:t>
      </w:r>
    </w:p>
    <w:p>
      <w:pPr>
        <w:pStyle w:val="14"/>
        <w:adjustRightInd w:val="0"/>
        <w:snapToGrid w:val="0"/>
        <w:spacing w:line="560" w:lineRule="exact"/>
        <w:jc w:val="left"/>
        <w:rPr>
          <w:rFonts w:eastAsia="仿宋_GB2312" w:cs="仿宋_GB2312"/>
          <w:sz w:val="32"/>
          <w:szCs w:val="32"/>
        </w:rPr>
      </w:pPr>
      <w:bookmarkStart w:id="29" w:name="_Toc15396630"/>
      <w:r>
        <w:rPr>
          <w:rFonts w:hint="eastAsia" w:eastAsia="仿宋_GB2312" w:cs="仿宋_GB2312"/>
          <w:sz w:val="32"/>
          <w:szCs w:val="32"/>
        </w:rPr>
        <w:t>十二、</w:t>
      </w:r>
      <w:bookmarkEnd w:id="29"/>
      <w:r>
        <w:rPr>
          <w:rFonts w:hint="eastAsia" w:eastAsia="仿宋_GB2312" w:cs="仿宋_GB2312"/>
          <w:sz w:val="32"/>
          <w:szCs w:val="32"/>
        </w:rPr>
        <w:t>国有资本经营预算财政拨款支出决算表</w:t>
      </w:r>
    </w:p>
    <w:p>
      <w:pPr>
        <w:pStyle w:val="14"/>
        <w:adjustRightInd w:val="0"/>
        <w:snapToGrid w:val="0"/>
        <w:spacing w:line="560" w:lineRule="exact"/>
        <w:jc w:val="left"/>
        <w:rPr>
          <w:rFonts w:eastAsia="仿宋_GB2312" w:cs="仿宋_GB2312"/>
          <w:sz w:val="32"/>
          <w:szCs w:val="32"/>
        </w:rPr>
      </w:pPr>
      <w:bookmarkStart w:id="30" w:name="_Toc15396631"/>
      <w:r>
        <w:rPr>
          <w:rFonts w:hint="eastAsia" w:eastAsia="仿宋_GB2312" w:cs="仿宋_GB2312"/>
          <w:sz w:val="32"/>
          <w:szCs w:val="32"/>
        </w:rPr>
        <w:t>十三、</w:t>
      </w:r>
      <w:bookmarkEnd w:id="30"/>
      <w:r>
        <w:rPr>
          <w:rFonts w:hint="eastAsia" w:eastAsia="仿宋_GB2312" w:cs="仿宋_GB2312"/>
          <w:sz w:val="32"/>
          <w:szCs w:val="32"/>
        </w:rPr>
        <w:t>财政拨款“三公”经费支出决算表</w:t>
      </w:r>
    </w:p>
    <w:p/>
    <w:p>
      <w:pPr>
        <w:pStyle w:val="2"/>
      </w:pPr>
    </w:p>
    <w:p>
      <w:pPr>
        <w:pStyle w:val="3"/>
      </w:pPr>
    </w:p>
    <w:p/>
    <w:p>
      <w:pPr>
        <w:pStyle w:val="2"/>
      </w:pPr>
    </w:p>
    <w:p>
      <w:pPr>
        <w:pStyle w:val="3"/>
      </w:pPr>
    </w:p>
    <w:p/>
    <w:p/>
    <w:sectPr>
      <w:footerReference r:id="rId8" w:type="first"/>
      <w:footerReference r:id="rId7" w:type="default"/>
      <w:pgSz w:w="11906" w:h="16838"/>
      <w:pgMar w:top="1440" w:right="1800" w:bottom="1440" w:left="1800" w:header="851" w:footer="992" w:gutter="0"/>
      <w:pgNumType w:start="1"/>
      <w:cols w:space="425" w:num="1"/>
      <w:titlePg/>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embedRegular r:id="rId1" w:fontKey="{8B20DE6B-24C9-430D-BD35-934853589442}"/>
  </w:font>
  <w:font w:name="Arial">
    <w:panose1 w:val="020B0604020202020204"/>
    <w:charset w:val="01"/>
    <w:family w:val="swiss"/>
    <w:pitch w:val="default"/>
    <w:sig w:usb0="E0002AFF" w:usb1="C0007843" w:usb2="00000009" w:usb3="00000000" w:csb0="400001FF" w:csb1="FFFF0000"/>
    <w:embedRegular r:id="rId2" w:fontKey="{F7E8EBBD-BC10-4D46-8C8D-A4DB38A60A19}"/>
  </w:font>
  <w:font w:name="黑体">
    <w:panose1 w:val="02010609060101010101"/>
    <w:charset w:val="86"/>
    <w:family w:val="auto"/>
    <w:pitch w:val="default"/>
    <w:sig w:usb0="800002BF" w:usb1="38CF7CFA" w:usb2="00000016" w:usb3="00000000" w:csb0="00040001" w:csb1="00000000"/>
    <w:embedRegular r:id="rId3" w:fontKey="{F375EF85-663D-4F9D-AEDF-4D057D9F2466}"/>
  </w:font>
  <w:font w:name="Courier New">
    <w:panose1 w:val="02070309020205020404"/>
    <w:charset w:val="01"/>
    <w:family w:val="modern"/>
    <w:pitch w:val="default"/>
    <w:sig w:usb0="E0002AFF" w:usb1="C0007843" w:usb2="00000009" w:usb3="00000000" w:csb0="400001FF" w:csb1="FFFF0000"/>
    <w:embedRegular r:id="rId4" w:fontKey="{26A5A69F-0336-4A81-A83B-AEADB946B1A5}"/>
  </w:font>
  <w:font w:name="Symbol">
    <w:panose1 w:val="05050102010706020507"/>
    <w:charset w:val="02"/>
    <w:family w:val="roman"/>
    <w:pitch w:val="default"/>
    <w:sig w:usb0="00000000" w:usb1="00000000" w:usb2="00000000" w:usb3="00000000" w:csb0="80000000" w:csb1="00000000"/>
    <w:embedRegular r:id="rId5" w:fontKey="{4C9FAE93-B369-456B-A655-902AD7C5EF75}"/>
  </w:font>
  <w:font w:name="Calibri">
    <w:panose1 w:val="020F0502020204030204"/>
    <w:charset w:val="00"/>
    <w:family w:val="swiss"/>
    <w:pitch w:val="default"/>
    <w:sig w:usb0="E00002FF" w:usb1="4000ACFF" w:usb2="00000001" w:usb3="00000000" w:csb0="2000019F" w:csb1="00000000"/>
    <w:embedRegular r:id="rId6" w:fontKey="{C0C47F13-9E47-49AF-B503-9755A421F45F}"/>
  </w:font>
  <w:font w:name="Cambria">
    <w:panose1 w:val="02040503050406030204"/>
    <w:charset w:val="00"/>
    <w:family w:val="roman"/>
    <w:pitch w:val="default"/>
    <w:sig w:usb0="E00002FF" w:usb1="400004FF" w:usb2="00000000" w:usb3="00000000" w:csb0="2000019F" w:csb1="00000000"/>
    <w:embedRegular r:id="rId7" w:fontKey="{21D1A8D0-90E1-4A3A-8835-0C6EA77DE1D1}"/>
  </w:font>
  <w:font w:name="仿宋_GB2312">
    <w:panose1 w:val="02010609030101010101"/>
    <w:charset w:val="86"/>
    <w:family w:val="modern"/>
    <w:pitch w:val="default"/>
    <w:sig w:usb0="00000001" w:usb1="080E0000" w:usb2="00000000" w:usb3="00000000" w:csb0="00040000" w:csb1="00000000"/>
    <w:embedRegular r:id="rId8" w:fontKey="{BC6DA0E9-7B6D-4087-82B4-7CAD64765B31}"/>
  </w:font>
  <w:font w:name="仿宋">
    <w:panose1 w:val="02010609060101010101"/>
    <w:charset w:val="86"/>
    <w:family w:val="auto"/>
    <w:pitch w:val="default"/>
    <w:sig w:usb0="800002BF" w:usb1="38CF7CFA" w:usb2="00000016" w:usb3="00000000" w:csb0="00040001" w:csb1="00000000"/>
    <w:embedRegular r:id="rId9" w:fontKey="{AA123F02-76AB-4AB7-9E91-9E2A260506DD}"/>
  </w:font>
  <w:font w:name="??">
    <w:altName w:val="Segoe Print"/>
    <w:panose1 w:val="00000000000000000000"/>
    <w:charset w:val="00"/>
    <w:family w:val="roman"/>
    <w:pitch w:val="default"/>
    <w:sig w:usb0="00000000" w:usb1="00000000" w:usb2="00000000" w:usb3="00000000" w:csb0="00000000" w:csb1="00000000"/>
    <w:embedRegular r:id="rId10" w:fontKey="{39DB98F3-0E0D-4646-9B25-1C46CEF7608C}"/>
  </w:font>
  <w:font w:name="方正小标宋简体">
    <w:altName w:val="方正舒体"/>
    <w:panose1 w:val="00000000000000000000"/>
    <w:charset w:val="86"/>
    <w:family w:val="script"/>
    <w:pitch w:val="default"/>
    <w:sig w:usb0="00000000" w:usb1="00000000" w:usb2="00000000" w:usb3="00000000" w:csb0="00040000" w:csb1="00000000"/>
    <w:embedRegular r:id="rId11" w:fontKey="{A7972362-15C5-45F7-BE73-B8204F1D59B0}"/>
  </w:font>
  <w:font w:name="方正小标宋_GBK">
    <w:panose1 w:val="03000509000000000000"/>
    <w:charset w:val="86"/>
    <w:family w:val="auto"/>
    <w:pitch w:val="default"/>
    <w:sig w:usb0="00000001" w:usb1="080E0000" w:usb2="00000000" w:usb3="00000000" w:csb0="00040000" w:csb1="00000000"/>
    <w:embedRegular r:id="rId12" w:fontKey="{02EDA2A8-1705-43AC-B799-1A66FA14EC02}"/>
  </w:font>
  <w:font w:name="楷体_GB2312">
    <w:panose1 w:val="02010609030101010101"/>
    <w:charset w:val="86"/>
    <w:family w:val="auto"/>
    <w:pitch w:val="default"/>
    <w:sig w:usb0="00000001" w:usb1="080E0000" w:usb2="00000000" w:usb3="00000000" w:csb0="00040000" w:csb1="00000000"/>
    <w:embedRegular r:id="rId13" w:fontKey="{B4266420-D19A-43CA-BA1B-335C14676200}"/>
  </w:font>
  <w:font w:name="方正舒体">
    <w:panose1 w:val="02010601030101010101"/>
    <w:charset w:val="86"/>
    <w:family w:val="auto"/>
    <w:pitch w:val="default"/>
    <w:sig w:usb0="00000003" w:usb1="080E0000" w:usb2="00000000" w:usb3="00000000" w:csb0="00040000" w:csb1="00000000"/>
  </w:font>
  <w:font w:name="Segoe Print">
    <w:panose1 w:val="02000600000000000000"/>
    <w:charset w:val="00"/>
    <w:family w:val="auto"/>
    <w:pitch w:val="default"/>
    <w:sig w:usb0="0000028F" w:usb1="00000000" w:usb2="00000000" w:usb3="00000000" w:csb0="2000009F" w:csb1="47010000"/>
    <w:embedRegular r:id="rId14" w:fontKey="{FD654399-92C3-4116-9005-93F152B7A4D5}"/>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jc w:val="center"/>
    </w:pPr>
  </w:p>
  <w:p>
    <w:pPr>
      <w:pStyle w:val="11"/>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jc w:val="center"/>
    </w:pPr>
  </w:p>
  <w:p>
    <w:pPr>
      <w:pStyle w:val="11"/>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jc w:val="center"/>
    </w:pPr>
    <w:r>
      <mc:AlternateContent>
        <mc:Choice Requires="wps">
          <w:drawing>
            <wp:anchor distT="0" distB="0" distL="114300" distR="114300" simplePos="0" relativeHeight="251659264" behindDoc="0" locked="0" layoutInCell="1" allowOverlap="1">
              <wp:simplePos x="0" y="0"/>
              <wp:positionH relativeFrom="margin">
                <wp:align>right</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1"/>
                          </w:pPr>
                          <w:r>
                            <w:t xml:space="preserve">第 </w:t>
                          </w:r>
                          <w:r>
                            <w:fldChar w:fldCharType="begin"/>
                          </w:r>
                          <w:r>
                            <w:instrText xml:space="preserve"> PAGE  \* MERGEFORMAT </w:instrText>
                          </w:r>
                          <w:r>
                            <w:fldChar w:fldCharType="separate"/>
                          </w:r>
                          <w:r>
                            <w:t>- 2 -</w:t>
                          </w:r>
                          <w:r>
                            <w:fldChar w:fldCharType="end"/>
                          </w:r>
                          <w:r>
                            <w:t xml:space="preserve"> 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LNJ&#10;WO7QAAAABQEAAA8AAAAAAAAAAQAgAAAAIgAAAGRycy9kb3ducmV2LnhtbFBLAQIUABQAAAAIAIdO&#10;4kAFYYw/KwIAAFUEAAAOAAAAAAAAAAEAIAAAAB8BAABkcnMvZTJvRG9jLnhtbFBLBQYAAAAABgAG&#10;AFkBAAC8BQAAAAA=&#10;">
              <v:fill on="f" focussize="0,0"/>
              <v:stroke on="f" weight="0.5pt"/>
              <v:imagedata o:title=""/>
              <o:lock v:ext="edit" aspectratio="f"/>
              <v:textbox inset="0mm,0mm,0mm,0mm" style="mso-fit-shape-to-text:t;">
                <w:txbxContent>
                  <w:p>
                    <w:pPr>
                      <w:pStyle w:val="11"/>
                    </w:pPr>
                    <w:r>
                      <w:t xml:space="preserve">第 </w:t>
                    </w:r>
                    <w:r>
                      <w:fldChar w:fldCharType="begin"/>
                    </w:r>
                    <w:r>
                      <w:instrText xml:space="preserve"> PAGE  \* MERGEFORMAT </w:instrText>
                    </w:r>
                    <w:r>
                      <w:fldChar w:fldCharType="separate"/>
                    </w:r>
                    <w:r>
                      <w:t>- 2 -</w:t>
                    </w:r>
                    <w:r>
                      <w:fldChar w:fldCharType="end"/>
                    </w:r>
                    <w:r>
                      <w:t xml:space="preserve"> 页</w:t>
                    </w:r>
                  </w:p>
                </w:txbxContent>
              </v:textbox>
            </v:shape>
          </w:pict>
        </mc:Fallback>
      </mc:AlternateContent>
    </w:r>
  </w:p>
  <w:p>
    <w:pPr>
      <w:pStyle w:val="11"/>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pPr>
    <w:r>
      <mc:AlternateContent>
        <mc:Choice Requires="wps">
          <w:drawing>
            <wp:anchor distT="0" distB="0" distL="114300" distR="114300" simplePos="0" relativeHeight="251660288" behindDoc="0" locked="0" layoutInCell="1" allowOverlap="1">
              <wp:simplePos x="0" y="0"/>
              <wp:positionH relativeFrom="margin">
                <wp:align>right</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1"/>
                            <w:rPr>
                              <w:sz w:val="22"/>
                              <w:szCs w:val="22"/>
                            </w:rPr>
                          </w:pPr>
                          <w:r>
                            <w:rPr>
                              <w:sz w:val="22"/>
                              <w:szCs w:val="22"/>
                            </w:rPr>
                            <w:t xml:space="preserve">第 </w:t>
                          </w:r>
                          <w:r>
                            <w:rPr>
                              <w:sz w:val="22"/>
                              <w:szCs w:val="22"/>
                            </w:rPr>
                            <w:fldChar w:fldCharType="begin"/>
                          </w:r>
                          <w:r>
                            <w:rPr>
                              <w:sz w:val="22"/>
                              <w:szCs w:val="22"/>
                            </w:rPr>
                            <w:instrText xml:space="preserve"> PAGE  \* MERGEFORMAT </w:instrText>
                          </w:r>
                          <w:r>
                            <w:rPr>
                              <w:sz w:val="22"/>
                              <w:szCs w:val="22"/>
                            </w:rPr>
                            <w:fldChar w:fldCharType="separate"/>
                          </w:r>
                          <w:r>
                            <w:rPr>
                              <w:sz w:val="22"/>
                              <w:szCs w:val="22"/>
                            </w:rPr>
                            <w:t>- 1 -</w:t>
                          </w:r>
                          <w:r>
                            <w:rPr>
                              <w:sz w:val="22"/>
                              <w:szCs w:val="22"/>
                            </w:rPr>
                            <w:fldChar w:fldCharType="end"/>
                          </w:r>
                          <w:r>
                            <w:rPr>
                              <w:sz w:val="22"/>
                              <w:szCs w:val="22"/>
                            </w:rPr>
                            <w:t xml:space="preserve"> 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0O3bcsAgAAV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PQa5aFrd5ZHqGj&#10;eN6ujgECtrpGUToleq3QbW1l+smI7fznvo16+hssHw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vQ7dtywCAABVBAAADgAAAAAAAAABACAAAAAfAQAAZHJzL2Uyb0RvYy54bWxQSwUGAAAAAAYA&#10;BgBZAQAAvQUAAAAA&#10;">
              <v:fill on="f" focussize="0,0"/>
              <v:stroke on="f" weight="0.5pt"/>
              <v:imagedata o:title=""/>
              <o:lock v:ext="edit" aspectratio="f"/>
              <v:textbox inset="0mm,0mm,0mm,0mm" style="mso-fit-shape-to-text:t;">
                <w:txbxContent>
                  <w:p>
                    <w:pPr>
                      <w:pStyle w:val="11"/>
                      <w:rPr>
                        <w:sz w:val="22"/>
                        <w:szCs w:val="22"/>
                      </w:rPr>
                    </w:pPr>
                    <w:r>
                      <w:rPr>
                        <w:sz w:val="22"/>
                        <w:szCs w:val="22"/>
                      </w:rPr>
                      <w:t xml:space="preserve">第 </w:t>
                    </w:r>
                    <w:r>
                      <w:rPr>
                        <w:sz w:val="22"/>
                        <w:szCs w:val="22"/>
                      </w:rPr>
                      <w:fldChar w:fldCharType="begin"/>
                    </w:r>
                    <w:r>
                      <w:rPr>
                        <w:sz w:val="22"/>
                        <w:szCs w:val="22"/>
                      </w:rPr>
                      <w:instrText xml:space="preserve"> PAGE  \* MERGEFORMAT </w:instrText>
                    </w:r>
                    <w:r>
                      <w:rPr>
                        <w:sz w:val="22"/>
                        <w:szCs w:val="22"/>
                      </w:rPr>
                      <w:fldChar w:fldCharType="separate"/>
                    </w:r>
                    <w:r>
                      <w:rPr>
                        <w:sz w:val="22"/>
                        <w:szCs w:val="22"/>
                      </w:rPr>
                      <w:t>- 1 -</w:t>
                    </w:r>
                    <w:r>
                      <w:rPr>
                        <w:sz w:val="22"/>
                        <w:szCs w:val="22"/>
                      </w:rPr>
                      <w:fldChar w:fldCharType="end"/>
                    </w:r>
                    <w:r>
                      <w:rPr>
                        <w:sz w:val="22"/>
                        <w:szCs w:val="22"/>
                      </w:rPr>
                      <w:t xml:space="preserve"> 页</w:t>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2"/>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8FFE49B"/>
    <w:multiLevelType w:val="singleLevel"/>
    <w:tmpl w:val="08FFE49B"/>
    <w:lvl w:ilvl="0" w:tentative="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TrueTypeFonts/>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GI4YWUxYzk2Y2YzYzU0YmUxN2YzNjdmNmU5YjQ1YjgifQ=="/>
  </w:docVars>
  <w:rsids>
    <w:rsidRoot w:val="00F1361C"/>
    <w:rsid w:val="00021546"/>
    <w:rsid w:val="000222C6"/>
    <w:rsid w:val="0002549F"/>
    <w:rsid w:val="00031209"/>
    <w:rsid w:val="00031A15"/>
    <w:rsid w:val="00037ED5"/>
    <w:rsid w:val="00041CE7"/>
    <w:rsid w:val="000468DB"/>
    <w:rsid w:val="00057138"/>
    <w:rsid w:val="0006487A"/>
    <w:rsid w:val="00065F8F"/>
    <w:rsid w:val="00070A43"/>
    <w:rsid w:val="000768F2"/>
    <w:rsid w:val="0009184B"/>
    <w:rsid w:val="00094236"/>
    <w:rsid w:val="0009593C"/>
    <w:rsid w:val="00097322"/>
    <w:rsid w:val="000A1F72"/>
    <w:rsid w:val="000A676F"/>
    <w:rsid w:val="000A6A92"/>
    <w:rsid w:val="000B047F"/>
    <w:rsid w:val="000B5923"/>
    <w:rsid w:val="000B5A48"/>
    <w:rsid w:val="000B6FF3"/>
    <w:rsid w:val="000C3467"/>
    <w:rsid w:val="000C3CA6"/>
    <w:rsid w:val="000D1267"/>
    <w:rsid w:val="000D1D50"/>
    <w:rsid w:val="000D5782"/>
    <w:rsid w:val="000D66BF"/>
    <w:rsid w:val="000E6613"/>
    <w:rsid w:val="000E7119"/>
    <w:rsid w:val="00114E9B"/>
    <w:rsid w:val="00142216"/>
    <w:rsid w:val="00144D6A"/>
    <w:rsid w:val="0014729F"/>
    <w:rsid w:val="00147687"/>
    <w:rsid w:val="00147874"/>
    <w:rsid w:val="00157BAB"/>
    <w:rsid w:val="00163267"/>
    <w:rsid w:val="001654D1"/>
    <w:rsid w:val="00174518"/>
    <w:rsid w:val="0018106D"/>
    <w:rsid w:val="001877A7"/>
    <w:rsid w:val="00190F1B"/>
    <w:rsid w:val="00191536"/>
    <w:rsid w:val="00196687"/>
    <w:rsid w:val="001B5863"/>
    <w:rsid w:val="001C0962"/>
    <w:rsid w:val="001D7531"/>
    <w:rsid w:val="001E737D"/>
    <w:rsid w:val="001F0592"/>
    <w:rsid w:val="001F5E7A"/>
    <w:rsid w:val="001F66BA"/>
    <w:rsid w:val="001F6D16"/>
    <w:rsid w:val="001F7506"/>
    <w:rsid w:val="002006CD"/>
    <w:rsid w:val="00201805"/>
    <w:rsid w:val="00202B36"/>
    <w:rsid w:val="00204B7A"/>
    <w:rsid w:val="00204CDE"/>
    <w:rsid w:val="00206DE6"/>
    <w:rsid w:val="00210295"/>
    <w:rsid w:val="0021101A"/>
    <w:rsid w:val="00220536"/>
    <w:rsid w:val="00235629"/>
    <w:rsid w:val="0023657E"/>
    <w:rsid w:val="00237F22"/>
    <w:rsid w:val="00243463"/>
    <w:rsid w:val="002517FC"/>
    <w:rsid w:val="00260C38"/>
    <w:rsid w:val="002616C0"/>
    <w:rsid w:val="00265372"/>
    <w:rsid w:val="002662AA"/>
    <w:rsid w:val="002722CE"/>
    <w:rsid w:val="00280496"/>
    <w:rsid w:val="00284158"/>
    <w:rsid w:val="00294DC9"/>
    <w:rsid w:val="00295495"/>
    <w:rsid w:val="002A31DE"/>
    <w:rsid w:val="002B2613"/>
    <w:rsid w:val="002C1A1F"/>
    <w:rsid w:val="002C6ECD"/>
    <w:rsid w:val="002D6D05"/>
    <w:rsid w:val="002E0BA1"/>
    <w:rsid w:val="002F1818"/>
    <w:rsid w:val="002F567B"/>
    <w:rsid w:val="00304976"/>
    <w:rsid w:val="00310F83"/>
    <w:rsid w:val="00315BEF"/>
    <w:rsid w:val="003216A9"/>
    <w:rsid w:val="00326404"/>
    <w:rsid w:val="0033203F"/>
    <w:rsid w:val="00335A74"/>
    <w:rsid w:val="00346839"/>
    <w:rsid w:val="00364B74"/>
    <w:rsid w:val="0036513E"/>
    <w:rsid w:val="0036561B"/>
    <w:rsid w:val="0037013F"/>
    <w:rsid w:val="00372AB6"/>
    <w:rsid w:val="00380C92"/>
    <w:rsid w:val="003925D4"/>
    <w:rsid w:val="003A484F"/>
    <w:rsid w:val="003A4883"/>
    <w:rsid w:val="003B0BE0"/>
    <w:rsid w:val="003B0C1B"/>
    <w:rsid w:val="003B688C"/>
    <w:rsid w:val="003C0291"/>
    <w:rsid w:val="003C39AE"/>
    <w:rsid w:val="003C7AB4"/>
    <w:rsid w:val="003C7B60"/>
    <w:rsid w:val="003D0C0F"/>
    <w:rsid w:val="003D1FB2"/>
    <w:rsid w:val="003D66DA"/>
    <w:rsid w:val="003E1310"/>
    <w:rsid w:val="003E426E"/>
    <w:rsid w:val="003E6F55"/>
    <w:rsid w:val="00402C84"/>
    <w:rsid w:val="00406254"/>
    <w:rsid w:val="00411838"/>
    <w:rsid w:val="0041505A"/>
    <w:rsid w:val="004223DE"/>
    <w:rsid w:val="00434489"/>
    <w:rsid w:val="00437085"/>
    <w:rsid w:val="004376CF"/>
    <w:rsid w:val="00443880"/>
    <w:rsid w:val="004464F4"/>
    <w:rsid w:val="0045006E"/>
    <w:rsid w:val="00471401"/>
    <w:rsid w:val="00473F31"/>
    <w:rsid w:val="0048263A"/>
    <w:rsid w:val="00487E5D"/>
    <w:rsid w:val="004A1F63"/>
    <w:rsid w:val="004A711F"/>
    <w:rsid w:val="004B199D"/>
    <w:rsid w:val="004B4690"/>
    <w:rsid w:val="004C6308"/>
    <w:rsid w:val="004E0A2D"/>
    <w:rsid w:val="004E206B"/>
    <w:rsid w:val="004E6DF7"/>
    <w:rsid w:val="004F0FBD"/>
    <w:rsid w:val="004F4F32"/>
    <w:rsid w:val="00505A47"/>
    <w:rsid w:val="00507789"/>
    <w:rsid w:val="00512FDA"/>
    <w:rsid w:val="00520DA0"/>
    <w:rsid w:val="005362F0"/>
    <w:rsid w:val="00555467"/>
    <w:rsid w:val="00555769"/>
    <w:rsid w:val="00560977"/>
    <w:rsid w:val="00565F63"/>
    <w:rsid w:val="005664BB"/>
    <w:rsid w:val="00566FFA"/>
    <w:rsid w:val="005674B6"/>
    <w:rsid w:val="00572E23"/>
    <w:rsid w:val="0057481D"/>
    <w:rsid w:val="0058486E"/>
    <w:rsid w:val="00585B33"/>
    <w:rsid w:val="0059014D"/>
    <w:rsid w:val="00592D60"/>
    <w:rsid w:val="005B5C64"/>
    <w:rsid w:val="005C5337"/>
    <w:rsid w:val="005C6BD0"/>
    <w:rsid w:val="005D1C8B"/>
    <w:rsid w:val="005D2B36"/>
    <w:rsid w:val="005D468D"/>
    <w:rsid w:val="005D5CED"/>
    <w:rsid w:val="005F1A4C"/>
    <w:rsid w:val="00605688"/>
    <w:rsid w:val="0060569E"/>
    <w:rsid w:val="006070AF"/>
    <w:rsid w:val="00607E6C"/>
    <w:rsid w:val="006101B1"/>
    <w:rsid w:val="00614E44"/>
    <w:rsid w:val="0062270A"/>
    <w:rsid w:val="00622830"/>
    <w:rsid w:val="00622A2D"/>
    <w:rsid w:val="00623DA0"/>
    <w:rsid w:val="00630AEF"/>
    <w:rsid w:val="006325F8"/>
    <w:rsid w:val="00633463"/>
    <w:rsid w:val="00634C9A"/>
    <w:rsid w:val="006440E4"/>
    <w:rsid w:val="00657918"/>
    <w:rsid w:val="0066343B"/>
    <w:rsid w:val="00664777"/>
    <w:rsid w:val="006671D2"/>
    <w:rsid w:val="006748A4"/>
    <w:rsid w:val="00681A31"/>
    <w:rsid w:val="00683E73"/>
    <w:rsid w:val="00694CD6"/>
    <w:rsid w:val="006A3141"/>
    <w:rsid w:val="006A5E34"/>
    <w:rsid w:val="006B2422"/>
    <w:rsid w:val="006B2B9A"/>
    <w:rsid w:val="006B4AE8"/>
    <w:rsid w:val="006C1937"/>
    <w:rsid w:val="006E7369"/>
    <w:rsid w:val="006F020C"/>
    <w:rsid w:val="00704FB0"/>
    <w:rsid w:val="007127B7"/>
    <w:rsid w:val="0071798E"/>
    <w:rsid w:val="007416B6"/>
    <w:rsid w:val="00746F48"/>
    <w:rsid w:val="0075404D"/>
    <w:rsid w:val="00757EEB"/>
    <w:rsid w:val="0076182A"/>
    <w:rsid w:val="0076362A"/>
    <w:rsid w:val="00765E5F"/>
    <w:rsid w:val="00767B7E"/>
    <w:rsid w:val="007770C3"/>
    <w:rsid w:val="007819B2"/>
    <w:rsid w:val="0078492C"/>
    <w:rsid w:val="00784D24"/>
    <w:rsid w:val="00785FBA"/>
    <w:rsid w:val="00786E4A"/>
    <w:rsid w:val="007875EB"/>
    <w:rsid w:val="007929DB"/>
    <w:rsid w:val="0079426B"/>
    <w:rsid w:val="007D1682"/>
    <w:rsid w:val="007D312A"/>
    <w:rsid w:val="007D3F19"/>
    <w:rsid w:val="007E23B0"/>
    <w:rsid w:val="007E23E5"/>
    <w:rsid w:val="007F1991"/>
    <w:rsid w:val="007F2C2F"/>
    <w:rsid w:val="007F55FC"/>
    <w:rsid w:val="007F5665"/>
    <w:rsid w:val="007F77E1"/>
    <w:rsid w:val="00800112"/>
    <w:rsid w:val="00802929"/>
    <w:rsid w:val="00810007"/>
    <w:rsid w:val="00813348"/>
    <w:rsid w:val="00813B8E"/>
    <w:rsid w:val="008253BB"/>
    <w:rsid w:val="0083706E"/>
    <w:rsid w:val="008408F6"/>
    <w:rsid w:val="008423A5"/>
    <w:rsid w:val="00850625"/>
    <w:rsid w:val="00853718"/>
    <w:rsid w:val="008547D2"/>
    <w:rsid w:val="00855221"/>
    <w:rsid w:val="00860645"/>
    <w:rsid w:val="0087181A"/>
    <w:rsid w:val="00871F71"/>
    <w:rsid w:val="00872FD8"/>
    <w:rsid w:val="008734A2"/>
    <w:rsid w:val="00881927"/>
    <w:rsid w:val="00885AF4"/>
    <w:rsid w:val="008939CD"/>
    <w:rsid w:val="008B768C"/>
    <w:rsid w:val="008C4DB1"/>
    <w:rsid w:val="008C4EAF"/>
    <w:rsid w:val="008C5176"/>
    <w:rsid w:val="008C5AE3"/>
    <w:rsid w:val="008C7FD0"/>
    <w:rsid w:val="008E1DE7"/>
    <w:rsid w:val="008E707C"/>
    <w:rsid w:val="00900B08"/>
    <w:rsid w:val="00902155"/>
    <w:rsid w:val="00902FA3"/>
    <w:rsid w:val="00923564"/>
    <w:rsid w:val="0092392E"/>
    <w:rsid w:val="009315F9"/>
    <w:rsid w:val="00933499"/>
    <w:rsid w:val="00935C98"/>
    <w:rsid w:val="00946945"/>
    <w:rsid w:val="00950DC6"/>
    <w:rsid w:val="00951248"/>
    <w:rsid w:val="0095152F"/>
    <w:rsid w:val="00954C49"/>
    <w:rsid w:val="00955E37"/>
    <w:rsid w:val="00967181"/>
    <w:rsid w:val="0097099F"/>
    <w:rsid w:val="00971997"/>
    <w:rsid w:val="00971FFC"/>
    <w:rsid w:val="0098660A"/>
    <w:rsid w:val="009931C3"/>
    <w:rsid w:val="00997F58"/>
    <w:rsid w:val="009A2A02"/>
    <w:rsid w:val="009B2C43"/>
    <w:rsid w:val="009B4EAE"/>
    <w:rsid w:val="009B7573"/>
    <w:rsid w:val="009C22F4"/>
    <w:rsid w:val="009C2A4B"/>
    <w:rsid w:val="009C2E98"/>
    <w:rsid w:val="009D3447"/>
    <w:rsid w:val="009D4711"/>
    <w:rsid w:val="009F1185"/>
    <w:rsid w:val="009F18CD"/>
    <w:rsid w:val="009F2A13"/>
    <w:rsid w:val="009F7527"/>
    <w:rsid w:val="00A04EB0"/>
    <w:rsid w:val="00A13CC1"/>
    <w:rsid w:val="00A16847"/>
    <w:rsid w:val="00A237D8"/>
    <w:rsid w:val="00A268C4"/>
    <w:rsid w:val="00A307CD"/>
    <w:rsid w:val="00A331C8"/>
    <w:rsid w:val="00A3350C"/>
    <w:rsid w:val="00A40A00"/>
    <w:rsid w:val="00A4142F"/>
    <w:rsid w:val="00A422EB"/>
    <w:rsid w:val="00A45BB7"/>
    <w:rsid w:val="00A56DF2"/>
    <w:rsid w:val="00A56E6E"/>
    <w:rsid w:val="00A61394"/>
    <w:rsid w:val="00A67AB5"/>
    <w:rsid w:val="00A733B2"/>
    <w:rsid w:val="00A741C2"/>
    <w:rsid w:val="00A77DE3"/>
    <w:rsid w:val="00A91760"/>
    <w:rsid w:val="00A93B00"/>
    <w:rsid w:val="00A93C21"/>
    <w:rsid w:val="00AA1382"/>
    <w:rsid w:val="00AB64C9"/>
    <w:rsid w:val="00AC3C6A"/>
    <w:rsid w:val="00AD436B"/>
    <w:rsid w:val="00AD5620"/>
    <w:rsid w:val="00AD656B"/>
    <w:rsid w:val="00AD7C1B"/>
    <w:rsid w:val="00AE16BA"/>
    <w:rsid w:val="00AE1EBE"/>
    <w:rsid w:val="00AF3D3D"/>
    <w:rsid w:val="00AF604A"/>
    <w:rsid w:val="00B03C9D"/>
    <w:rsid w:val="00B060AE"/>
    <w:rsid w:val="00B074C8"/>
    <w:rsid w:val="00B10517"/>
    <w:rsid w:val="00B14E76"/>
    <w:rsid w:val="00B161B8"/>
    <w:rsid w:val="00B2048C"/>
    <w:rsid w:val="00B267DA"/>
    <w:rsid w:val="00B310B9"/>
    <w:rsid w:val="00B332C7"/>
    <w:rsid w:val="00B35F3F"/>
    <w:rsid w:val="00B36CBB"/>
    <w:rsid w:val="00B425E0"/>
    <w:rsid w:val="00B440AA"/>
    <w:rsid w:val="00B44B70"/>
    <w:rsid w:val="00B50DCD"/>
    <w:rsid w:val="00B51B60"/>
    <w:rsid w:val="00B53C56"/>
    <w:rsid w:val="00B57DAF"/>
    <w:rsid w:val="00B77EA6"/>
    <w:rsid w:val="00B81598"/>
    <w:rsid w:val="00B841F1"/>
    <w:rsid w:val="00B944D6"/>
    <w:rsid w:val="00BA159A"/>
    <w:rsid w:val="00BB4DF0"/>
    <w:rsid w:val="00BC289F"/>
    <w:rsid w:val="00BC2D50"/>
    <w:rsid w:val="00BC301E"/>
    <w:rsid w:val="00BC5361"/>
    <w:rsid w:val="00BC5460"/>
    <w:rsid w:val="00BC6B50"/>
    <w:rsid w:val="00BC7484"/>
    <w:rsid w:val="00BD0E25"/>
    <w:rsid w:val="00BD4385"/>
    <w:rsid w:val="00BF5BD6"/>
    <w:rsid w:val="00C0081E"/>
    <w:rsid w:val="00C03E31"/>
    <w:rsid w:val="00C30D53"/>
    <w:rsid w:val="00C324DF"/>
    <w:rsid w:val="00C33E72"/>
    <w:rsid w:val="00C354B2"/>
    <w:rsid w:val="00C35554"/>
    <w:rsid w:val="00C42709"/>
    <w:rsid w:val="00C533CC"/>
    <w:rsid w:val="00C55102"/>
    <w:rsid w:val="00C5751C"/>
    <w:rsid w:val="00C6130D"/>
    <w:rsid w:val="00C61BFC"/>
    <w:rsid w:val="00C62B85"/>
    <w:rsid w:val="00C65438"/>
    <w:rsid w:val="00C87FD8"/>
    <w:rsid w:val="00C91381"/>
    <w:rsid w:val="00C91CBB"/>
    <w:rsid w:val="00CB4E70"/>
    <w:rsid w:val="00CC09B6"/>
    <w:rsid w:val="00CC666F"/>
    <w:rsid w:val="00CD1E3F"/>
    <w:rsid w:val="00CD65B7"/>
    <w:rsid w:val="00CE44F6"/>
    <w:rsid w:val="00CE49DA"/>
    <w:rsid w:val="00CE7B61"/>
    <w:rsid w:val="00CF331D"/>
    <w:rsid w:val="00D00095"/>
    <w:rsid w:val="00D114F0"/>
    <w:rsid w:val="00D14592"/>
    <w:rsid w:val="00D20620"/>
    <w:rsid w:val="00D2228E"/>
    <w:rsid w:val="00D254F7"/>
    <w:rsid w:val="00D26091"/>
    <w:rsid w:val="00D2685C"/>
    <w:rsid w:val="00D302F9"/>
    <w:rsid w:val="00D31FF9"/>
    <w:rsid w:val="00D34E7C"/>
    <w:rsid w:val="00D35489"/>
    <w:rsid w:val="00D36AFE"/>
    <w:rsid w:val="00D477A8"/>
    <w:rsid w:val="00D51276"/>
    <w:rsid w:val="00D512A9"/>
    <w:rsid w:val="00D66EDE"/>
    <w:rsid w:val="00D7035F"/>
    <w:rsid w:val="00DA634F"/>
    <w:rsid w:val="00DA65AC"/>
    <w:rsid w:val="00DB1913"/>
    <w:rsid w:val="00DC410D"/>
    <w:rsid w:val="00DC5A81"/>
    <w:rsid w:val="00DC68CA"/>
    <w:rsid w:val="00DC739F"/>
    <w:rsid w:val="00DC7CBA"/>
    <w:rsid w:val="00DD73B7"/>
    <w:rsid w:val="00DF0292"/>
    <w:rsid w:val="00DF28BC"/>
    <w:rsid w:val="00DF34B9"/>
    <w:rsid w:val="00E01053"/>
    <w:rsid w:val="00E07ACF"/>
    <w:rsid w:val="00E12BD2"/>
    <w:rsid w:val="00E331A1"/>
    <w:rsid w:val="00E33202"/>
    <w:rsid w:val="00E336A9"/>
    <w:rsid w:val="00E472B1"/>
    <w:rsid w:val="00E50624"/>
    <w:rsid w:val="00E54633"/>
    <w:rsid w:val="00E568DF"/>
    <w:rsid w:val="00E64269"/>
    <w:rsid w:val="00E82267"/>
    <w:rsid w:val="00E83E02"/>
    <w:rsid w:val="00E84023"/>
    <w:rsid w:val="00E84ADF"/>
    <w:rsid w:val="00E853CE"/>
    <w:rsid w:val="00E861B1"/>
    <w:rsid w:val="00E86613"/>
    <w:rsid w:val="00E867B6"/>
    <w:rsid w:val="00EA010F"/>
    <w:rsid w:val="00ED0F01"/>
    <w:rsid w:val="00ED1B63"/>
    <w:rsid w:val="00ED3C1F"/>
    <w:rsid w:val="00ED4085"/>
    <w:rsid w:val="00ED420E"/>
    <w:rsid w:val="00ED6FBE"/>
    <w:rsid w:val="00EE2DB2"/>
    <w:rsid w:val="00EE2F57"/>
    <w:rsid w:val="00EF154A"/>
    <w:rsid w:val="00EF1685"/>
    <w:rsid w:val="00EF4C34"/>
    <w:rsid w:val="00EF77C6"/>
    <w:rsid w:val="00F05438"/>
    <w:rsid w:val="00F1361C"/>
    <w:rsid w:val="00F156F0"/>
    <w:rsid w:val="00F160C7"/>
    <w:rsid w:val="00F2408F"/>
    <w:rsid w:val="00F240E9"/>
    <w:rsid w:val="00F249A0"/>
    <w:rsid w:val="00F36D8F"/>
    <w:rsid w:val="00F409EF"/>
    <w:rsid w:val="00F41040"/>
    <w:rsid w:val="00F417B1"/>
    <w:rsid w:val="00F45853"/>
    <w:rsid w:val="00F602DF"/>
    <w:rsid w:val="00F754A1"/>
    <w:rsid w:val="00F75F52"/>
    <w:rsid w:val="00F81FD9"/>
    <w:rsid w:val="00F83312"/>
    <w:rsid w:val="00F841AA"/>
    <w:rsid w:val="00F84A94"/>
    <w:rsid w:val="00F87E96"/>
    <w:rsid w:val="00FA23E8"/>
    <w:rsid w:val="00FD3CC1"/>
    <w:rsid w:val="00FD5278"/>
    <w:rsid w:val="00FE106F"/>
    <w:rsid w:val="00FF0AA4"/>
    <w:rsid w:val="00FF1E02"/>
    <w:rsid w:val="00FF30B4"/>
    <w:rsid w:val="012A5EC2"/>
    <w:rsid w:val="015975B8"/>
    <w:rsid w:val="02FEBE30"/>
    <w:rsid w:val="04916F1E"/>
    <w:rsid w:val="061E35DE"/>
    <w:rsid w:val="062718BA"/>
    <w:rsid w:val="066E0107"/>
    <w:rsid w:val="07996F6E"/>
    <w:rsid w:val="07DFD8BA"/>
    <w:rsid w:val="09867E8F"/>
    <w:rsid w:val="0A2032A3"/>
    <w:rsid w:val="0CA8290A"/>
    <w:rsid w:val="0D35B1ED"/>
    <w:rsid w:val="0E254B6B"/>
    <w:rsid w:val="0F98263C"/>
    <w:rsid w:val="101860EC"/>
    <w:rsid w:val="101F47CC"/>
    <w:rsid w:val="10C055FF"/>
    <w:rsid w:val="11694EBD"/>
    <w:rsid w:val="11772AA4"/>
    <w:rsid w:val="118107EC"/>
    <w:rsid w:val="12E24EE2"/>
    <w:rsid w:val="13D50BC4"/>
    <w:rsid w:val="14B17F78"/>
    <w:rsid w:val="165E0673"/>
    <w:rsid w:val="16B831D5"/>
    <w:rsid w:val="16BB723D"/>
    <w:rsid w:val="17E50567"/>
    <w:rsid w:val="186504BB"/>
    <w:rsid w:val="19A445FC"/>
    <w:rsid w:val="1BE8440E"/>
    <w:rsid w:val="1BFA408B"/>
    <w:rsid w:val="1D155CEE"/>
    <w:rsid w:val="1D1638FE"/>
    <w:rsid w:val="1E312DEB"/>
    <w:rsid w:val="1E740ACF"/>
    <w:rsid w:val="1FF35744"/>
    <w:rsid w:val="1FF6BC77"/>
    <w:rsid w:val="2186353C"/>
    <w:rsid w:val="23860B96"/>
    <w:rsid w:val="240371BF"/>
    <w:rsid w:val="244F3473"/>
    <w:rsid w:val="24C97D99"/>
    <w:rsid w:val="25A718F0"/>
    <w:rsid w:val="25BB59F6"/>
    <w:rsid w:val="260F557C"/>
    <w:rsid w:val="26970054"/>
    <w:rsid w:val="281408E2"/>
    <w:rsid w:val="29FD04D3"/>
    <w:rsid w:val="2BFF7BC6"/>
    <w:rsid w:val="2C8A61B5"/>
    <w:rsid w:val="2DF04E50"/>
    <w:rsid w:val="2E586DFA"/>
    <w:rsid w:val="2E663A59"/>
    <w:rsid w:val="2F040D46"/>
    <w:rsid w:val="2F6B035B"/>
    <w:rsid w:val="2FAE5751"/>
    <w:rsid w:val="2FB1A395"/>
    <w:rsid w:val="2FD9A7D8"/>
    <w:rsid w:val="2FDBF714"/>
    <w:rsid w:val="30AB6865"/>
    <w:rsid w:val="30AF0E11"/>
    <w:rsid w:val="314512E4"/>
    <w:rsid w:val="319F7F4E"/>
    <w:rsid w:val="32BD1EF1"/>
    <w:rsid w:val="3304709D"/>
    <w:rsid w:val="33A773CB"/>
    <w:rsid w:val="349D6851"/>
    <w:rsid w:val="36AA5135"/>
    <w:rsid w:val="36BE0DA7"/>
    <w:rsid w:val="376B6AA6"/>
    <w:rsid w:val="376D39B2"/>
    <w:rsid w:val="37E16F03"/>
    <w:rsid w:val="37F53A3B"/>
    <w:rsid w:val="38783CA2"/>
    <w:rsid w:val="389B6C89"/>
    <w:rsid w:val="38D469F0"/>
    <w:rsid w:val="39627CCD"/>
    <w:rsid w:val="397BAF1F"/>
    <w:rsid w:val="3A3E1ED2"/>
    <w:rsid w:val="3AB79AF3"/>
    <w:rsid w:val="3AE834C0"/>
    <w:rsid w:val="3B7EF35A"/>
    <w:rsid w:val="3B9FDB6C"/>
    <w:rsid w:val="3BF5BC2F"/>
    <w:rsid w:val="3CEBA265"/>
    <w:rsid w:val="3D98207C"/>
    <w:rsid w:val="3DEE7CF3"/>
    <w:rsid w:val="3E740A63"/>
    <w:rsid w:val="3E78745D"/>
    <w:rsid w:val="3EE17838"/>
    <w:rsid w:val="3F55381A"/>
    <w:rsid w:val="3F7F7599"/>
    <w:rsid w:val="3FF4CAE0"/>
    <w:rsid w:val="3FF7B227"/>
    <w:rsid w:val="41F54F58"/>
    <w:rsid w:val="44E268DA"/>
    <w:rsid w:val="450D13D7"/>
    <w:rsid w:val="45506656"/>
    <w:rsid w:val="486A6C7A"/>
    <w:rsid w:val="4A627F82"/>
    <w:rsid w:val="4B0E749A"/>
    <w:rsid w:val="4B2477C4"/>
    <w:rsid w:val="4B4F25DA"/>
    <w:rsid w:val="4BE068DB"/>
    <w:rsid w:val="4D577224"/>
    <w:rsid w:val="4DBF1CEB"/>
    <w:rsid w:val="4DF0007C"/>
    <w:rsid w:val="4EAB630A"/>
    <w:rsid w:val="4ECE2238"/>
    <w:rsid w:val="4F833267"/>
    <w:rsid w:val="4FE9BD67"/>
    <w:rsid w:val="4FFB052F"/>
    <w:rsid w:val="537E6D0A"/>
    <w:rsid w:val="53F74C96"/>
    <w:rsid w:val="55170BA8"/>
    <w:rsid w:val="553218C9"/>
    <w:rsid w:val="567E1AA5"/>
    <w:rsid w:val="56E47B74"/>
    <w:rsid w:val="57175D52"/>
    <w:rsid w:val="57503CE3"/>
    <w:rsid w:val="57615221"/>
    <w:rsid w:val="57BD3DD4"/>
    <w:rsid w:val="5AF92295"/>
    <w:rsid w:val="5B250254"/>
    <w:rsid w:val="5BDD79E6"/>
    <w:rsid w:val="5BF561CA"/>
    <w:rsid w:val="5BFF5DFC"/>
    <w:rsid w:val="5CD71FC4"/>
    <w:rsid w:val="5D1F11B5"/>
    <w:rsid w:val="5D695134"/>
    <w:rsid w:val="5DAE1B18"/>
    <w:rsid w:val="5DE7D9E5"/>
    <w:rsid w:val="5ECEC941"/>
    <w:rsid w:val="5F2E310B"/>
    <w:rsid w:val="5F525338"/>
    <w:rsid w:val="5FBF9FF3"/>
    <w:rsid w:val="5FCD4E2C"/>
    <w:rsid w:val="5FEF394A"/>
    <w:rsid w:val="5FF67715"/>
    <w:rsid w:val="62BF3928"/>
    <w:rsid w:val="63B3701E"/>
    <w:rsid w:val="64353571"/>
    <w:rsid w:val="647F5392"/>
    <w:rsid w:val="65E66580"/>
    <w:rsid w:val="664B1D71"/>
    <w:rsid w:val="664B4E8E"/>
    <w:rsid w:val="67277B67"/>
    <w:rsid w:val="67AA3209"/>
    <w:rsid w:val="698D0931"/>
    <w:rsid w:val="6A7FE5F3"/>
    <w:rsid w:val="6B053271"/>
    <w:rsid w:val="6BDD78B3"/>
    <w:rsid w:val="6C4A05C8"/>
    <w:rsid w:val="6C8742B8"/>
    <w:rsid w:val="6C894799"/>
    <w:rsid w:val="6DBF5E93"/>
    <w:rsid w:val="6DFF077E"/>
    <w:rsid w:val="6E714EF0"/>
    <w:rsid w:val="6E7E3605"/>
    <w:rsid w:val="6E7FDCC7"/>
    <w:rsid w:val="6ED6A62E"/>
    <w:rsid w:val="6EE00B15"/>
    <w:rsid w:val="6F6FB3EB"/>
    <w:rsid w:val="6F8731EA"/>
    <w:rsid w:val="6FCE6052"/>
    <w:rsid w:val="6FD57C00"/>
    <w:rsid w:val="6FEFFFD8"/>
    <w:rsid w:val="6FF5CC65"/>
    <w:rsid w:val="6FFB47EC"/>
    <w:rsid w:val="6FFF034A"/>
    <w:rsid w:val="70484440"/>
    <w:rsid w:val="70510A14"/>
    <w:rsid w:val="710C3EEE"/>
    <w:rsid w:val="712A28F1"/>
    <w:rsid w:val="715C0E4B"/>
    <w:rsid w:val="71992E7C"/>
    <w:rsid w:val="72233669"/>
    <w:rsid w:val="72734D90"/>
    <w:rsid w:val="73160E6D"/>
    <w:rsid w:val="7332FE48"/>
    <w:rsid w:val="73AB61DA"/>
    <w:rsid w:val="73AD73D5"/>
    <w:rsid w:val="73B6EB34"/>
    <w:rsid w:val="73FA497D"/>
    <w:rsid w:val="744731E5"/>
    <w:rsid w:val="74BBD01D"/>
    <w:rsid w:val="74ED5379"/>
    <w:rsid w:val="75DEEEC2"/>
    <w:rsid w:val="75E32345"/>
    <w:rsid w:val="76E3355F"/>
    <w:rsid w:val="76FF5125"/>
    <w:rsid w:val="776F6FFA"/>
    <w:rsid w:val="778769C8"/>
    <w:rsid w:val="77A75DCA"/>
    <w:rsid w:val="77DC22F5"/>
    <w:rsid w:val="783E271A"/>
    <w:rsid w:val="78616DE9"/>
    <w:rsid w:val="78E875D7"/>
    <w:rsid w:val="79086DAD"/>
    <w:rsid w:val="79D7FD79"/>
    <w:rsid w:val="79EE5BA4"/>
    <w:rsid w:val="7A894339"/>
    <w:rsid w:val="7AD284E8"/>
    <w:rsid w:val="7AFF7572"/>
    <w:rsid w:val="7B151B69"/>
    <w:rsid w:val="7B6C7DFB"/>
    <w:rsid w:val="7BBFBED0"/>
    <w:rsid w:val="7BC3E394"/>
    <w:rsid w:val="7C1F3737"/>
    <w:rsid w:val="7CBFC87B"/>
    <w:rsid w:val="7CFE0F48"/>
    <w:rsid w:val="7D272ABC"/>
    <w:rsid w:val="7D7EC23E"/>
    <w:rsid w:val="7E8ADEBF"/>
    <w:rsid w:val="7EEF11D3"/>
    <w:rsid w:val="7EFE4840"/>
    <w:rsid w:val="7F0971A6"/>
    <w:rsid w:val="7F1D62E7"/>
    <w:rsid w:val="7F3F679B"/>
    <w:rsid w:val="7F4FC4EF"/>
    <w:rsid w:val="7F5E4D54"/>
    <w:rsid w:val="7F6E0135"/>
    <w:rsid w:val="7F79F205"/>
    <w:rsid w:val="7FA30C79"/>
    <w:rsid w:val="7FA79C44"/>
    <w:rsid w:val="7FAF8ABF"/>
    <w:rsid w:val="7FB7269E"/>
    <w:rsid w:val="7FC96657"/>
    <w:rsid w:val="7FDA9588"/>
    <w:rsid w:val="7FDF220F"/>
    <w:rsid w:val="7FEDC5F7"/>
    <w:rsid w:val="7FEDD9DE"/>
    <w:rsid w:val="7FF5890D"/>
    <w:rsid w:val="7FF93490"/>
    <w:rsid w:val="99FF2014"/>
    <w:rsid w:val="A6DD0D7F"/>
    <w:rsid w:val="ACFF4FBB"/>
    <w:rsid w:val="ADC6F725"/>
    <w:rsid w:val="B7CF06AB"/>
    <w:rsid w:val="B7CFA926"/>
    <w:rsid w:val="B7F8786B"/>
    <w:rsid w:val="BABB6AA1"/>
    <w:rsid w:val="BB2F4199"/>
    <w:rsid w:val="BCFFB442"/>
    <w:rsid w:val="BD079C78"/>
    <w:rsid w:val="BD733540"/>
    <w:rsid w:val="BF3735D5"/>
    <w:rsid w:val="BF7F09AC"/>
    <w:rsid w:val="BFD475C3"/>
    <w:rsid w:val="BFDE5EA6"/>
    <w:rsid w:val="CF6FC6F3"/>
    <w:rsid w:val="CFD3D3D7"/>
    <w:rsid w:val="CFDF1009"/>
    <w:rsid w:val="D7D7B16A"/>
    <w:rsid w:val="D8D6DB89"/>
    <w:rsid w:val="DB6F4CAB"/>
    <w:rsid w:val="DB777682"/>
    <w:rsid w:val="DD1FB521"/>
    <w:rsid w:val="DEFBFEAE"/>
    <w:rsid w:val="DF1F3B80"/>
    <w:rsid w:val="DF6F9789"/>
    <w:rsid w:val="DFE9BE81"/>
    <w:rsid w:val="DFFFA9E8"/>
    <w:rsid w:val="E5F4E9DC"/>
    <w:rsid w:val="E70FE695"/>
    <w:rsid w:val="EB2E368B"/>
    <w:rsid w:val="ECFED1BC"/>
    <w:rsid w:val="ED1D69BB"/>
    <w:rsid w:val="ED7FD312"/>
    <w:rsid w:val="EF2E1AC6"/>
    <w:rsid w:val="EF53993F"/>
    <w:rsid w:val="EF6FD633"/>
    <w:rsid w:val="EFBFB2F4"/>
    <w:rsid w:val="EFBFFA21"/>
    <w:rsid w:val="F2BEBCB8"/>
    <w:rsid w:val="F36FB518"/>
    <w:rsid w:val="F3DE1A04"/>
    <w:rsid w:val="F3F722E5"/>
    <w:rsid w:val="F4FBCD07"/>
    <w:rsid w:val="FA5F1E70"/>
    <w:rsid w:val="FA5FDB97"/>
    <w:rsid w:val="FB7F486A"/>
    <w:rsid w:val="FBFF5B2E"/>
    <w:rsid w:val="FD7FFE2B"/>
    <w:rsid w:val="FDEE196B"/>
    <w:rsid w:val="FDFE6575"/>
    <w:rsid w:val="FEDFDDC2"/>
    <w:rsid w:val="FEED32F6"/>
    <w:rsid w:val="FEF781DD"/>
    <w:rsid w:val="FF3F7E3F"/>
    <w:rsid w:val="FFBA12D7"/>
    <w:rsid w:val="FFCBD314"/>
    <w:rsid w:val="FFDFF91C"/>
    <w:rsid w:val="FFDFFAEE"/>
    <w:rsid w:val="FFEF6777"/>
    <w:rsid w:val="FFF9B57B"/>
    <w:rsid w:val="FFFD61D9"/>
    <w:rsid w:val="FFFD8F59"/>
    <w:rsid w:val="FFFF2BB1"/>
    <w:rsid w:val="FFFFB04D"/>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nhideWhenUsed="0" w:uiPriority="0" w:name="footnote text"/>
    <w:lsdException w:uiPriority="99" w:name="annotation text"/>
    <w:lsdException w:qFormat="1" w:unhideWhenUsed="0" w:uiPriority="99"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99"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99"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5">
    <w:name w:val="heading 1"/>
    <w:basedOn w:val="1"/>
    <w:next w:val="1"/>
    <w:link w:val="36"/>
    <w:qFormat/>
    <w:uiPriority w:val="9"/>
    <w:pPr>
      <w:keepNext/>
      <w:keepLines/>
      <w:spacing w:before="340" w:after="330" w:line="578" w:lineRule="auto"/>
      <w:outlineLvl w:val="0"/>
    </w:pPr>
    <w:rPr>
      <w:b/>
      <w:bCs/>
      <w:kern w:val="44"/>
      <w:sz w:val="44"/>
      <w:szCs w:val="44"/>
    </w:rPr>
  </w:style>
  <w:style w:type="paragraph" w:styleId="6">
    <w:name w:val="heading 2"/>
    <w:basedOn w:val="1"/>
    <w:next w:val="1"/>
    <w:link w:val="37"/>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7">
    <w:name w:val="heading 3"/>
    <w:basedOn w:val="1"/>
    <w:next w:val="1"/>
    <w:link w:val="32"/>
    <w:unhideWhenUsed/>
    <w:qFormat/>
    <w:uiPriority w:val="9"/>
    <w:pPr>
      <w:keepNext/>
      <w:keepLines/>
      <w:spacing w:before="260" w:after="260" w:line="416" w:lineRule="auto"/>
      <w:outlineLvl w:val="2"/>
    </w:pPr>
    <w:rPr>
      <w:b/>
      <w:bCs/>
      <w:sz w:val="32"/>
      <w:szCs w:val="32"/>
    </w:rPr>
  </w:style>
  <w:style w:type="character" w:default="1" w:styleId="16">
    <w:name w:val="Default Paragraph Font"/>
    <w:semiHidden/>
    <w:unhideWhenUsed/>
    <w:qFormat/>
    <w:uiPriority w:val="1"/>
  </w:style>
  <w:style w:type="table" w:default="1" w:styleId="15">
    <w:name w:val="Normal Table"/>
    <w:semiHidden/>
    <w:unhideWhenUsed/>
    <w:qFormat/>
    <w:uiPriority w:val="99"/>
    <w:tblPr>
      <w:tblCellMar>
        <w:top w:w="0" w:type="dxa"/>
        <w:left w:w="108" w:type="dxa"/>
        <w:bottom w:w="0" w:type="dxa"/>
        <w:right w:w="108" w:type="dxa"/>
      </w:tblCellMar>
    </w:tblPr>
  </w:style>
  <w:style w:type="paragraph" w:styleId="2">
    <w:name w:val="footnote text"/>
    <w:basedOn w:val="1"/>
    <w:next w:val="3"/>
    <w:semiHidden/>
    <w:qFormat/>
    <w:uiPriority w:val="0"/>
    <w:pPr>
      <w:snapToGrid w:val="0"/>
      <w:jc w:val="left"/>
    </w:pPr>
    <w:rPr>
      <w:sz w:val="18"/>
      <w:szCs w:val="18"/>
    </w:rPr>
  </w:style>
  <w:style w:type="paragraph" w:styleId="3">
    <w:name w:val="Body Text First Indent 2"/>
    <w:basedOn w:val="4"/>
    <w:next w:val="1"/>
    <w:unhideWhenUsed/>
    <w:qFormat/>
    <w:uiPriority w:val="99"/>
    <w:pPr>
      <w:ind w:firstLine="420" w:firstLineChars="200"/>
    </w:pPr>
  </w:style>
  <w:style w:type="paragraph" w:styleId="4">
    <w:name w:val="Body Text Indent"/>
    <w:basedOn w:val="1"/>
    <w:next w:val="3"/>
    <w:qFormat/>
    <w:uiPriority w:val="0"/>
    <w:pPr>
      <w:spacing w:after="120"/>
      <w:ind w:left="200" w:leftChars="200"/>
    </w:pPr>
    <w:rPr>
      <w:rFonts w:ascii="仿宋_GB2312"/>
      <w:szCs w:val="32"/>
    </w:rPr>
  </w:style>
  <w:style w:type="paragraph" w:styleId="8">
    <w:name w:val="Body Text"/>
    <w:basedOn w:val="1"/>
    <w:link w:val="25"/>
    <w:qFormat/>
    <w:uiPriority w:val="99"/>
    <w:pPr>
      <w:spacing w:beforeLines="30"/>
    </w:pPr>
    <w:rPr>
      <w:rFonts w:ascii="仿宋_GB2312" w:eastAsia="仿宋_GB2312"/>
      <w:kern w:val="0"/>
      <w:sz w:val="30"/>
    </w:rPr>
  </w:style>
  <w:style w:type="paragraph" w:styleId="9">
    <w:name w:val="toc 3"/>
    <w:basedOn w:val="1"/>
    <w:next w:val="1"/>
    <w:unhideWhenUsed/>
    <w:qFormat/>
    <w:uiPriority w:val="39"/>
    <w:pPr>
      <w:tabs>
        <w:tab w:val="right" w:leader="dot" w:pos="8296"/>
      </w:tabs>
      <w:ind w:left="840" w:leftChars="400"/>
    </w:pPr>
  </w:style>
  <w:style w:type="paragraph" w:styleId="10">
    <w:name w:val="Balloon Text"/>
    <w:basedOn w:val="1"/>
    <w:link w:val="31"/>
    <w:semiHidden/>
    <w:unhideWhenUsed/>
    <w:qFormat/>
    <w:uiPriority w:val="99"/>
    <w:rPr>
      <w:sz w:val="18"/>
      <w:szCs w:val="18"/>
    </w:rPr>
  </w:style>
  <w:style w:type="paragraph" w:styleId="11">
    <w:name w:val="footer"/>
    <w:basedOn w:val="1"/>
    <w:link w:val="23"/>
    <w:qFormat/>
    <w:uiPriority w:val="99"/>
    <w:pPr>
      <w:tabs>
        <w:tab w:val="center" w:pos="4153"/>
        <w:tab w:val="right" w:pos="8306"/>
      </w:tabs>
      <w:snapToGrid w:val="0"/>
      <w:jc w:val="left"/>
    </w:pPr>
    <w:rPr>
      <w:rFonts w:ascii="Calibri" w:hAnsi="Calibri"/>
      <w:kern w:val="0"/>
      <w:sz w:val="18"/>
      <w:szCs w:val="18"/>
    </w:rPr>
  </w:style>
  <w:style w:type="paragraph" w:styleId="12">
    <w:name w:val="header"/>
    <w:basedOn w:val="1"/>
    <w:link w:val="21"/>
    <w:semiHidden/>
    <w:qFormat/>
    <w:uiPriority w:val="99"/>
    <w:pPr>
      <w:pBdr>
        <w:bottom w:val="single" w:color="auto" w:sz="6" w:space="1"/>
      </w:pBdr>
      <w:tabs>
        <w:tab w:val="center" w:pos="4153"/>
        <w:tab w:val="right" w:pos="8306"/>
      </w:tabs>
      <w:snapToGrid w:val="0"/>
      <w:jc w:val="center"/>
    </w:pPr>
    <w:rPr>
      <w:rFonts w:ascii="Calibri" w:hAnsi="Calibri"/>
      <w:kern w:val="0"/>
      <w:sz w:val="18"/>
      <w:szCs w:val="18"/>
    </w:rPr>
  </w:style>
  <w:style w:type="paragraph" w:styleId="13">
    <w:name w:val="toc 1"/>
    <w:basedOn w:val="1"/>
    <w:next w:val="1"/>
    <w:unhideWhenUsed/>
    <w:qFormat/>
    <w:uiPriority w:val="39"/>
    <w:pPr>
      <w:tabs>
        <w:tab w:val="right" w:leader="dot" w:pos="8296"/>
      </w:tabs>
      <w:spacing w:before="93"/>
      <w:jc w:val="center"/>
    </w:pPr>
    <w:rPr>
      <w:rFonts w:ascii="仿宋" w:hAnsi="仿宋" w:eastAsia="仿宋"/>
      <w:sz w:val="28"/>
      <w:szCs w:val="28"/>
    </w:rPr>
  </w:style>
  <w:style w:type="paragraph" w:styleId="14">
    <w:name w:val="toc 2"/>
    <w:basedOn w:val="1"/>
    <w:next w:val="1"/>
    <w:unhideWhenUsed/>
    <w:qFormat/>
    <w:uiPriority w:val="39"/>
    <w:pPr>
      <w:tabs>
        <w:tab w:val="right" w:leader="dot" w:pos="8296"/>
      </w:tabs>
      <w:ind w:left="420" w:leftChars="200"/>
    </w:pPr>
  </w:style>
  <w:style w:type="character" w:styleId="17">
    <w:name w:val="Strong"/>
    <w:basedOn w:val="16"/>
    <w:qFormat/>
    <w:uiPriority w:val="99"/>
    <w:rPr>
      <w:b/>
    </w:rPr>
  </w:style>
  <w:style w:type="character" w:styleId="18">
    <w:name w:val="Hyperlink"/>
    <w:basedOn w:val="16"/>
    <w:unhideWhenUsed/>
    <w:qFormat/>
    <w:uiPriority w:val="99"/>
    <w:rPr>
      <w:color w:val="0000FF" w:themeColor="hyperlink"/>
      <w:u w:val="single"/>
      <w14:textFill>
        <w14:solidFill>
          <w14:schemeClr w14:val="hlink"/>
        </w14:solidFill>
      </w14:textFill>
    </w:rPr>
  </w:style>
  <w:style w:type="paragraph" w:customStyle="1" w:styleId="19">
    <w:name w:val="标题 5（有编号）（绿盟科技）"/>
    <w:next w:val="1"/>
    <w:qFormat/>
    <w:uiPriority w:val="99"/>
    <w:pPr>
      <w:keepNext/>
      <w:keepLines/>
      <w:widowControl w:val="0"/>
      <w:spacing w:before="280" w:after="156" w:line="377" w:lineRule="auto"/>
      <w:outlineLvl w:val="4"/>
    </w:pPr>
    <w:rPr>
      <w:rFonts w:ascii="Arial" w:hAnsi="Arial" w:eastAsia="黑体" w:cs="Times New Roman"/>
      <w:b/>
      <w:kern w:val="2"/>
      <w:sz w:val="24"/>
      <w:szCs w:val="28"/>
      <w:lang w:val="en-US" w:eastAsia="zh-CN" w:bidi="ar-SA"/>
    </w:rPr>
  </w:style>
  <w:style w:type="character" w:customStyle="1" w:styleId="20">
    <w:name w:val="Header Char"/>
    <w:basedOn w:val="16"/>
    <w:semiHidden/>
    <w:qFormat/>
    <w:uiPriority w:val="99"/>
    <w:rPr>
      <w:rFonts w:ascii="Times New Roman" w:hAnsi="Times New Roman"/>
      <w:sz w:val="18"/>
      <w:szCs w:val="18"/>
    </w:rPr>
  </w:style>
  <w:style w:type="character" w:customStyle="1" w:styleId="21">
    <w:name w:val="页眉 字符"/>
    <w:link w:val="12"/>
    <w:semiHidden/>
    <w:qFormat/>
    <w:locked/>
    <w:uiPriority w:val="99"/>
    <w:rPr>
      <w:sz w:val="18"/>
    </w:rPr>
  </w:style>
  <w:style w:type="character" w:customStyle="1" w:styleId="22">
    <w:name w:val="Footer Char"/>
    <w:basedOn w:val="16"/>
    <w:semiHidden/>
    <w:qFormat/>
    <w:uiPriority w:val="99"/>
    <w:rPr>
      <w:rFonts w:ascii="Times New Roman" w:hAnsi="Times New Roman"/>
      <w:sz w:val="18"/>
      <w:szCs w:val="18"/>
    </w:rPr>
  </w:style>
  <w:style w:type="character" w:customStyle="1" w:styleId="23">
    <w:name w:val="页脚 字符"/>
    <w:link w:val="11"/>
    <w:qFormat/>
    <w:locked/>
    <w:uiPriority w:val="99"/>
    <w:rPr>
      <w:sz w:val="18"/>
    </w:rPr>
  </w:style>
  <w:style w:type="character" w:customStyle="1" w:styleId="24">
    <w:name w:val="Body Text Char"/>
    <w:basedOn w:val="16"/>
    <w:semiHidden/>
    <w:qFormat/>
    <w:uiPriority w:val="99"/>
    <w:rPr>
      <w:rFonts w:ascii="Times New Roman" w:hAnsi="Times New Roman"/>
      <w:szCs w:val="24"/>
    </w:rPr>
  </w:style>
  <w:style w:type="character" w:customStyle="1" w:styleId="25">
    <w:name w:val="正文文本 字符"/>
    <w:link w:val="8"/>
    <w:qFormat/>
    <w:locked/>
    <w:uiPriority w:val="99"/>
    <w:rPr>
      <w:rFonts w:ascii="仿宋_GB2312" w:hAnsi="Times New Roman" w:eastAsia="仿宋_GB2312"/>
      <w:sz w:val="24"/>
    </w:rPr>
  </w:style>
  <w:style w:type="paragraph" w:customStyle="1" w:styleId="26">
    <w:name w:val="Default"/>
    <w:qFormat/>
    <w:uiPriority w:val="99"/>
    <w:pPr>
      <w:widowControl w:val="0"/>
      <w:autoSpaceDE w:val="0"/>
      <w:autoSpaceDN w:val="0"/>
      <w:adjustRightInd w:val="0"/>
    </w:pPr>
    <w:rPr>
      <w:rFonts w:ascii="仿宋" w:hAnsi="Calibri" w:eastAsia="仿宋" w:cs="仿宋"/>
      <w:color w:val="000000"/>
      <w:sz w:val="24"/>
      <w:szCs w:val="24"/>
      <w:lang w:val="en-US" w:eastAsia="zh-CN" w:bidi="ar-SA"/>
    </w:rPr>
  </w:style>
  <w:style w:type="paragraph" w:styleId="27">
    <w:name w:val="List Paragraph"/>
    <w:basedOn w:val="1"/>
    <w:qFormat/>
    <w:uiPriority w:val="34"/>
    <w:pPr>
      <w:ind w:firstLine="420" w:firstLineChars="200"/>
    </w:pPr>
  </w:style>
  <w:style w:type="character" w:customStyle="1" w:styleId="28">
    <w:name w:val="标题 1 字符"/>
    <w:basedOn w:val="16"/>
    <w:link w:val="5"/>
    <w:qFormat/>
    <w:uiPriority w:val="9"/>
    <w:rPr>
      <w:rFonts w:ascii="Times New Roman" w:hAnsi="Times New Roman"/>
      <w:b/>
      <w:bCs/>
      <w:kern w:val="44"/>
      <w:sz w:val="44"/>
      <w:szCs w:val="44"/>
    </w:rPr>
  </w:style>
  <w:style w:type="character" w:customStyle="1" w:styleId="29">
    <w:name w:val="标题 2 字符"/>
    <w:basedOn w:val="16"/>
    <w:link w:val="6"/>
    <w:qFormat/>
    <w:uiPriority w:val="9"/>
    <w:rPr>
      <w:rFonts w:asciiTheme="majorHAnsi" w:hAnsiTheme="majorHAnsi" w:eastAsiaTheme="majorEastAsia" w:cstheme="majorBidi"/>
      <w:b/>
      <w:bCs/>
      <w:kern w:val="2"/>
      <w:sz w:val="32"/>
      <w:szCs w:val="32"/>
    </w:rPr>
  </w:style>
  <w:style w:type="paragraph" w:customStyle="1" w:styleId="30">
    <w:name w:val="TOC 标题1"/>
    <w:basedOn w:val="5"/>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character" w:customStyle="1" w:styleId="31">
    <w:name w:val="批注框文本 字符"/>
    <w:basedOn w:val="16"/>
    <w:link w:val="10"/>
    <w:semiHidden/>
    <w:qFormat/>
    <w:uiPriority w:val="99"/>
    <w:rPr>
      <w:rFonts w:ascii="Times New Roman" w:hAnsi="Times New Roman"/>
      <w:kern w:val="2"/>
      <w:sz w:val="18"/>
      <w:szCs w:val="18"/>
    </w:rPr>
  </w:style>
  <w:style w:type="character" w:customStyle="1" w:styleId="32">
    <w:name w:val="标题 3 字符"/>
    <w:basedOn w:val="16"/>
    <w:link w:val="7"/>
    <w:qFormat/>
    <w:uiPriority w:val="9"/>
    <w:rPr>
      <w:rFonts w:ascii="Times New Roman" w:hAnsi="Times New Roman"/>
      <w:b/>
      <w:bCs/>
      <w:kern w:val="2"/>
      <w:sz w:val="32"/>
      <w:szCs w:val="32"/>
    </w:rPr>
  </w:style>
  <w:style w:type="paragraph" w:customStyle="1" w:styleId="33">
    <w:name w:val="TOC 标题2"/>
    <w:basedOn w:val="5"/>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paragraph" w:customStyle="1" w:styleId="34">
    <w:name w:val="四号正文"/>
    <w:basedOn w:val="1"/>
    <w:qFormat/>
    <w:uiPriority w:val="0"/>
    <w:pPr>
      <w:spacing w:line="360" w:lineRule="auto"/>
    </w:pPr>
    <w:rPr>
      <w:rFonts w:ascii="??" w:hAnsi="??"/>
      <w:color w:val="000000"/>
      <w:kern w:val="0"/>
      <w:sz w:val="28"/>
      <w:szCs w:val="21"/>
      <w:lang w:val="zh-CN"/>
    </w:rPr>
  </w:style>
  <w:style w:type="paragraph" w:customStyle="1" w:styleId="35">
    <w:name w:val="TOC Heading"/>
    <w:basedOn w:val="5"/>
    <w:next w:val="1"/>
    <w:unhideWhenUsed/>
    <w:qFormat/>
    <w:uiPriority w:val="39"/>
    <w:pPr>
      <w:widowControl/>
      <w:spacing w:before="240" w:after="0" w:line="259" w:lineRule="auto"/>
      <w:jc w:val="left"/>
      <w:outlineLvl w:val="9"/>
    </w:pPr>
    <w:rPr>
      <w:rFonts w:asciiTheme="majorHAnsi" w:hAnsiTheme="majorHAnsi" w:eastAsiaTheme="majorEastAsia" w:cstheme="majorBidi"/>
      <w:b w:val="0"/>
      <w:bCs w:val="0"/>
      <w:color w:val="376092" w:themeColor="accent1" w:themeShade="BF"/>
      <w:kern w:val="0"/>
      <w:sz w:val="32"/>
      <w:szCs w:val="32"/>
    </w:rPr>
  </w:style>
  <w:style w:type="character" w:customStyle="1" w:styleId="36">
    <w:name w:val="标题 1 Char"/>
    <w:basedOn w:val="16"/>
    <w:link w:val="5"/>
    <w:qFormat/>
    <w:uiPriority w:val="9"/>
    <w:rPr>
      <w:rFonts w:ascii="Times New Roman" w:hAnsi="Times New Roman"/>
      <w:b/>
      <w:bCs/>
      <w:kern w:val="44"/>
      <w:sz w:val="44"/>
      <w:szCs w:val="44"/>
    </w:rPr>
  </w:style>
  <w:style w:type="character" w:customStyle="1" w:styleId="37">
    <w:name w:val="标题 2 Char"/>
    <w:basedOn w:val="16"/>
    <w:link w:val="6"/>
    <w:qFormat/>
    <w:uiPriority w:val="9"/>
    <w:rPr>
      <w:rFonts w:asciiTheme="majorHAnsi" w:hAnsiTheme="majorHAnsi" w:eastAsiaTheme="majorEastAsia" w:cstheme="majorBidi"/>
      <w:b/>
      <w:bCs/>
      <w:kern w:val="2"/>
      <w:sz w:val="32"/>
      <w:szCs w:val="32"/>
    </w:rPr>
  </w:style>
  <w:style w:type="paragraph" w:customStyle="1" w:styleId="38">
    <w:name w:val="正文-公1"/>
    <w:basedOn w:val="39"/>
    <w:next w:val="1"/>
    <w:qFormat/>
    <w:uiPriority w:val="0"/>
    <w:pPr>
      <w:ind w:firstLine="200" w:firstLineChars="200"/>
    </w:pPr>
  </w:style>
  <w:style w:type="paragraph" w:customStyle="1" w:styleId="39">
    <w:name w:val="正文 New New New New New New New New New New New New New New New New New New New New New New New New New New New New New New New New New New New New New New New New New New New New New New New New New New New New New New New New New New New New New New Ne"/>
    <w:next w:val="38"/>
    <w:qFormat/>
    <w:uiPriority w:val="0"/>
    <w:pPr>
      <w:widowControl w:val="0"/>
      <w:jc w:val="both"/>
    </w:pPr>
    <w:rPr>
      <w:rFonts w:ascii="Calibri" w:hAnsi="Calibri" w:eastAsia="宋体" w:cs="Times New Roman"/>
      <w:kern w:val="2"/>
      <w:sz w:val="21"/>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5.xml"/><Relationship Id="rId7" Type="http://schemas.openxmlformats.org/officeDocument/2006/relationships/footer" Target="footer4.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9" Type="http://schemas.openxmlformats.org/officeDocument/2006/relationships/fontTable" Target="fontTable.xml"/><Relationship Id="rId18" Type="http://schemas.openxmlformats.org/officeDocument/2006/relationships/numbering" Target="numbering.xml"/><Relationship Id="rId17" Type="http://schemas.openxmlformats.org/officeDocument/2006/relationships/customXml" Target="../customXml/item1.xml"/><Relationship Id="rId16" Type="http://schemas.openxmlformats.org/officeDocument/2006/relationships/chart" Target="charts/chart7.xml"/><Relationship Id="rId15" Type="http://schemas.openxmlformats.org/officeDocument/2006/relationships/chart" Target="charts/chart6.xml"/><Relationship Id="rId14" Type="http://schemas.openxmlformats.org/officeDocument/2006/relationships/chart" Target="charts/chart5.xml"/><Relationship Id="rId13" Type="http://schemas.openxmlformats.org/officeDocument/2006/relationships/chart" Target="charts/chart4.xml"/><Relationship Id="rId12" Type="http://schemas.openxmlformats.org/officeDocument/2006/relationships/chart" Target="charts/chart3.xml"/><Relationship Id="rId11" Type="http://schemas.openxmlformats.org/officeDocument/2006/relationships/chart" Target="charts/chart2.xml"/><Relationship Id="rId10" Type="http://schemas.openxmlformats.org/officeDocument/2006/relationships/chart" Target="charts/chart1.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4" Type="http://schemas.openxmlformats.org/officeDocument/2006/relationships/font" Target="fonts/font14.odttf"/><Relationship Id="rId13" Type="http://schemas.openxmlformats.org/officeDocument/2006/relationships/font" Target="fonts/font13.odttf"/><Relationship Id="rId12" Type="http://schemas.openxmlformats.org/officeDocument/2006/relationships/font" Target="fonts/font12.odttf"/><Relationship Id="rId11" Type="http://schemas.openxmlformats.org/officeDocument/2006/relationships/font" Target="fonts/font11.odttf"/><Relationship Id="rId10" Type="http://schemas.openxmlformats.org/officeDocument/2006/relationships/font" Target="fonts/font10.odttf"/><Relationship Id="rId1" Type="http://schemas.openxmlformats.org/officeDocument/2006/relationships/font" Target="fonts/font1.odttf"/></Relationships>
</file>

<file path=word/charts/_rels/chart1.xml.rels><?xml version="1.0" encoding="UTF-8" standalone="yes"?>
<Relationships xmlns="http://schemas.openxmlformats.org/package/2006/relationships"><Relationship Id="rId3" Type="http://schemas.microsoft.com/office/2011/relationships/chartColorStyle" Target="colors1.xml"/><Relationship Id="rId2" Type="http://schemas.microsoft.com/office/2011/relationships/chartStyle" Target="style1.xml"/><Relationship Id="rId1" Type="http://schemas.openxmlformats.org/officeDocument/2006/relationships/package" Target="../embeddings/Workbook1.xlsx"/></Relationships>
</file>

<file path=word/charts/_rels/chart2.xml.rels><?xml version="1.0" encoding="UTF-8" standalone="yes"?>
<Relationships xmlns="http://schemas.openxmlformats.org/package/2006/relationships"><Relationship Id="rId1" Type="http://schemas.openxmlformats.org/officeDocument/2006/relationships/package" Target="../embeddings/Workbook2.xlsx"/></Relationships>
</file>

<file path=word/charts/_rels/chart3.xml.rels><?xml version="1.0" encoding="UTF-8" standalone="yes"?>
<Relationships xmlns="http://schemas.openxmlformats.org/package/2006/relationships"><Relationship Id="rId3" Type="http://schemas.microsoft.com/office/2011/relationships/chartColorStyle" Target="colors2.xml"/><Relationship Id="rId2" Type="http://schemas.microsoft.com/office/2011/relationships/chartStyle" Target="style2.xml"/><Relationship Id="rId1" Type="http://schemas.openxmlformats.org/officeDocument/2006/relationships/package" Target="../embeddings/Workbook3.xlsx"/></Relationships>
</file>

<file path=word/charts/_rels/chart4.xml.rels><?xml version="1.0" encoding="UTF-8" standalone="yes"?>
<Relationships xmlns="http://schemas.openxmlformats.org/package/2006/relationships"><Relationship Id="rId3" Type="http://schemas.microsoft.com/office/2011/relationships/chartColorStyle" Target="colors6.xml"/><Relationship Id="rId2" Type="http://schemas.microsoft.com/office/2011/relationships/chartStyle" Target="style6.xml"/><Relationship Id="rId1" Type="http://schemas.openxmlformats.org/officeDocument/2006/relationships/package" Target="../embeddings/Workbook7.xlsx"/></Relationships>
</file>

<file path=word/charts/_rels/chart5.xml.rels><?xml version="1.0" encoding="UTF-8" standalone="yes"?>
<Relationships xmlns="http://schemas.openxmlformats.org/package/2006/relationships"><Relationship Id="rId3" Type="http://schemas.microsoft.com/office/2011/relationships/chartColorStyle" Target="colors3.xml"/><Relationship Id="rId2" Type="http://schemas.microsoft.com/office/2011/relationships/chartStyle" Target="style3.xml"/><Relationship Id="rId1" Type="http://schemas.openxmlformats.org/officeDocument/2006/relationships/package" Target="../embeddings/Workbook4.xlsx"/></Relationships>
</file>

<file path=word/charts/_rels/chart6.xml.rels><?xml version="1.0" encoding="UTF-8" standalone="yes"?>
<Relationships xmlns="http://schemas.openxmlformats.org/package/2006/relationships"><Relationship Id="rId3" Type="http://schemas.microsoft.com/office/2011/relationships/chartColorStyle" Target="colors5.xml"/><Relationship Id="rId2" Type="http://schemas.microsoft.com/office/2011/relationships/chartStyle" Target="style5.xml"/><Relationship Id="rId1" Type="http://schemas.openxmlformats.org/officeDocument/2006/relationships/package" Target="../embeddings/Workbook6.xlsx"/></Relationships>
</file>

<file path=word/charts/_rels/chart7.xml.rels><?xml version="1.0" encoding="UTF-8" standalone="yes"?>
<Relationships xmlns="http://schemas.openxmlformats.org/package/2006/relationships"><Relationship Id="rId3" Type="http://schemas.microsoft.com/office/2011/relationships/chartColorStyle" Target="colors4.xml"/><Relationship Id="rId2" Type="http://schemas.microsoft.com/office/2011/relationships/chartStyle" Target="style4.xml"/><Relationship Id="rId1" Type="http://schemas.openxmlformats.org/officeDocument/2006/relationships/package" Target="../embeddings/Workbook5.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rPr lang="zh-CN" altLang="en-US"/>
              <a:t>收入支出对比（单位：万元）</a:t>
            </a:r>
            <a:endParaRPr lang="zh-CN" altLang="en-US"/>
          </a:p>
        </c:rich>
      </c:tx>
      <c:layout/>
      <c:overlay val="0"/>
      <c:spPr>
        <a:noFill/>
        <a:ln>
          <a:noFill/>
        </a:ln>
        <a:effectLst/>
      </c:spPr>
    </c:title>
    <c:autoTitleDeleted val="0"/>
    <c:plotArea>
      <c:layout/>
      <c:barChart>
        <c:barDir val="col"/>
        <c:grouping val="clustered"/>
        <c:varyColors val="0"/>
        <c:ser>
          <c:idx val="0"/>
          <c:order val="0"/>
          <c:tx>
            <c:strRef>
              <c:f>Sheet1!$B$1</c:f>
              <c:strCache>
                <c:ptCount val="1"/>
                <c:pt idx="0">
                  <c:v>2025年</c:v>
                </c:pt>
              </c:strCache>
            </c:strRef>
          </c:tx>
          <c:spPr>
            <a:solidFill>
              <a:schemeClr val="accent1"/>
            </a:solidFill>
            <a:ln>
              <a:noFill/>
            </a:ln>
            <a:effectLst/>
          </c:spPr>
          <c:invertIfNegative val="0"/>
          <c:dLbls>
            <c:delete val="1"/>
          </c:dLbls>
          <c:cat>
            <c:strRef>
              <c:f>Sheet1!$A$2:$A$5</c:f>
              <c:strCache>
                <c:ptCount val="4"/>
                <c:pt idx="0">
                  <c:v>收入</c:v>
                </c:pt>
                <c:pt idx="1">
                  <c:v>支出</c:v>
                </c:pt>
              </c:strCache>
            </c:strRef>
          </c:cat>
          <c:val>
            <c:numRef>
              <c:f>Sheet1!$B$2:$B$5</c:f>
              <c:numCache>
                <c:formatCode>General</c:formatCode>
                <c:ptCount val="4"/>
                <c:pt idx="0">
                  <c:v>16142.14</c:v>
                </c:pt>
                <c:pt idx="1">
                  <c:v>16142.14</c:v>
                </c:pt>
              </c:numCache>
            </c:numRef>
          </c:val>
        </c:ser>
        <c:ser>
          <c:idx val="1"/>
          <c:order val="1"/>
          <c:tx>
            <c:strRef>
              <c:f>Sheet1!$C$1</c:f>
              <c:strCache>
                <c:ptCount val="1"/>
                <c:pt idx="0">
                  <c:v>2024年</c:v>
                </c:pt>
              </c:strCache>
            </c:strRef>
          </c:tx>
          <c:spPr>
            <a:solidFill>
              <a:schemeClr val="accent2"/>
            </a:solidFill>
            <a:ln>
              <a:noFill/>
            </a:ln>
            <a:effectLst/>
          </c:spPr>
          <c:invertIfNegative val="0"/>
          <c:dLbls>
            <c:delete val="1"/>
          </c:dLbls>
          <c:cat>
            <c:strRef>
              <c:f>Sheet1!$A$2:$A$5</c:f>
              <c:strCache>
                <c:ptCount val="4"/>
                <c:pt idx="0">
                  <c:v>收入</c:v>
                </c:pt>
                <c:pt idx="1">
                  <c:v>支出</c:v>
                </c:pt>
              </c:strCache>
            </c:strRef>
          </c:cat>
          <c:val>
            <c:numRef>
              <c:f>Sheet1!$C$2:$C$5</c:f>
              <c:numCache>
                <c:formatCode>General</c:formatCode>
                <c:ptCount val="4"/>
                <c:pt idx="0">
                  <c:v>13354.03</c:v>
                </c:pt>
                <c:pt idx="1">
                  <c:v>13354.03</c:v>
                </c:pt>
              </c:numCache>
            </c:numRef>
          </c:val>
        </c:ser>
        <c:dLbls>
          <c:showLegendKey val="0"/>
          <c:showVal val="0"/>
          <c:showCatName val="0"/>
          <c:showSerName val="0"/>
          <c:showPercent val="0"/>
          <c:showBubbleSize val="0"/>
        </c:dLbls>
        <c:gapWidth val="219"/>
        <c:overlap val="-27"/>
        <c:axId val="367003679"/>
        <c:axId val="367002239"/>
      </c:barChart>
      <c:catAx>
        <c:axId val="367003679"/>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67002239"/>
        <c:crosses val="autoZero"/>
        <c:auto val="1"/>
        <c:lblAlgn val="ctr"/>
        <c:lblOffset val="100"/>
        <c:noMultiLvlLbl val="0"/>
      </c:catAx>
      <c:valAx>
        <c:axId val="367002239"/>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67003679"/>
        <c:crosses val="autoZero"/>
        <c:crossBetween val="between"/>
      </c:valAx>
      <c:spPr>
        <a:noFill/>
        <a:ln>
          <a:noFill/>
        </a:ln>
        <a:effectLst/>
      </c:spPr>
    </c:plotArea>
    <c:legend>
      <c:legendPos val="b"/>
      <c:layout/>
      <c:overlay val="0"/>
      <c:spPr>
        <a:noFill/>
        <a:ln>
          <a:noFill/>
        </a:ln>
        <a:effectLst/>
      </c:spPr>
      <c:txPr>
        <a:bodyPr rot="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layout/>
      <c:overlay val="0"/>
      <c:spPr>
        <a:noFill/>
        <a:ln>
          <a:noFill/>
        </a:ln>
        <a:effectLst/>
      </c:spPr>
      <c:txPr>
        <a:bodyPr rot="0" spcFirstLastPara="0"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p>
      </c:txPr>
    </c:title>
    <c:autoTitleDeleted val="0"/>
    <c:plotArea>
      <c:layout/>
      <c:pieChart>
        <c:varyColors val="1"/>
        <c:ser>
          <c:idx val="0"/>
          <c:order val="0"/>
          <c:tx>
            <c:strRef>
              <c:f>Sheet1!$B$1</c:f>
              <c:strCache>
                <c:ptCount val="1"/>
                <c:pt idx="0">
                  <c:v>收入决算情况</c:v>
                </c:pt>
              </c:strCache>
            </c:strRef>
          </c:tx>
          <c:explosion val="0"/>
          <c:dPt>
            <c:idx val="0"/>
            <c:bubble3D val="0"/>
            <c:spPr>
              <a:solidFill>
                <a:schemeClr val="accent1"/>
              </a:solidFill>
              <a:ln w="19050">
                <a:solidFill>
                  <a:schemeClr val="lt1"/>
                </a:solidFill>
              </a:ln>
              <a:effectLst/>
            </c:spPr>
          </c:dPt>
          <c:dLbls>
            <c:delete val="1"/>
          </c:dLbls>
          <c:cat>
            <c:strRef>
              <c:f>Sheet1!$A$2</c:f>
              <c:strCache>
                <c:ptCount val="1"/>
                <c:pt idx="0">
                  <c:v>一般公共预算财政拨款收入</c:v>
                </c:pt>
              </c:strCache>
            </c:strRef>
          </c:cat>
          <c:val>
            <c:numRef>
              <c:f>Sheet1!$B$2</c:f>
              <c:numCache>
                <c:formatCode>0%</c:formatCode>
                <c:ptCount val="1"/>
                <c:pt idx="0">
                  <c:v>1</c:v>
                </c:pt>
              </c:numCache>
            </c:numRef>
          </c:val>
        </c:ser>
        <c:dLbls>
          <c:showLegendKey val="0"/>
          <c:showVal val="0"/>
          <c:showCatName val="0"/>
          <c:showSerName val="0"/>
          <c:showPercent val="0"/>
          <c:showBubbleSize val="0"/>
          <c:showLeaderLines val="1"/>
        </c:dLbls>
        <c:firstSliceAng val="0"/>
      </c:pieChart>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zero"/>
    <c:showDLblsOverMax val="0"/>
  </c:chart>
  <c:spPr>
    <a:solidFill>
      <a:schemeClr val="bg1"/>
    </a:solidFill>
    <a:ln w="9525" cap="flat" cmpd="sng" algn="ctr">
      <a:solidFill>
        <a:schemeClr val="tx1">
          <a:lumMod val="15000"/>
          <a:lumOff val="85000"/>
        </a:schemeClr>
      </a:solidFill>
      <a:prstDash val="solid"/>
      <a:round/>
    </a:ln>
    <a:effectLst/>
  </c:spPr>
  <c:txPr>
    <a:bodyPr/>
    <a:lstStyle/>
    <a:p>
      <a:pPr>
        <a:defRPr lang="zh-CN"/>
      </a:pPr>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layout>
        <c:manualLayout>
          <c:xMode val="edge"/>
          <c:yMode val="edge"/>
          <c:x val="0.36299507054224"/>
          <c:y val="0.0389886578449905"/>
        </c:manualLayout>
      </c:layout>
      <c:overlay val="0"/>
      <c:spPr>
        <a:noFill/>
        <a:ln>
          <a:noFill/>
        </a:ln>
        <a:effectLst/>
      </c:spPr>
      <c:txPr>
        <a:bodyPr rot="0" spcFirstLastPara="1"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p>
      </c:txPr>
    </c:title>
    <c:autoTitleDeleted val="0"/>
    <c:plotArea>
      <c:layout/>
      <c:pieChart>
        <c:varyColors val="1"/>
        <c:ser>
          <c:idx val="0"/>
          <c:order val="0"/>
          <c:tx>
            <c:strRef>
              <c:f>Sheet1!$B$1</c:f>
              <c:strCache>
                <c:ptCount val="1"/>
                <c:pt idx="0">
                  <c:v>支出决算情况</c:v>
                </c:pt>
              </c:strCache>
            </c:strRef>
          </c:tx>
          <c:spPr/>
          <c:explosion val="0"/>
          <c:dPt>
            <c:idx val="0"/>
            <c:bubble3D val="0"/>
            <c:spPr>
              <a:solidFill>
                <a:schemeClr val="accent1"/>
              </a:solidFill>
              <a:ln w="19050">
                <a:solidFill>
                  <a:schemeClr val="lt1"/>
                </a:solidFill>
              </a:ln>
              <a:effectLst/>
            </c:spPr>
          </c:dPt>
          <c:dPt>
            <c:idx val="1"/>
            <c:bubble3D val="0"/>
            <c:spPr>
              <a:solidFill>
                <a:schemeClr val="accent2"/>
              </a:solidFill>
              <a:ln w="19050">
                <a:solidFill>
                  <a:schemeClr val="lt1"/>
                </a:solidFill>
              </a:ln>
              <a:effectLst/>
            </c:spPr>
          </c:dPt>
          <c:dPt>
            <c:idx val="2"/>
            <c:bubble3D val="0"/>
            <c:spPr>
              <a:solidFill>
                <a:schemeClr val="accent3"/>
              </a:solidFill>
              <a:ln w="19050">
                <a:solidFill>
                  <a:schemeClr val="lt1"/>
                </a:solidFill>
              </a:ln>
              <a:effectLst/>
            </c:spPr>
          </c:dPt>
          <c:dPt>
            <c:idx val="3"/>
            <c:bubble3D val="0"/>
            <c:spPr>
              <a:solidFill>
                <a:schemeClr val="accent4"/>
              </a:solidFill>
              <a:ln w="19050">
                <a:solidFill>
                  <a:schemeClr val="lt1"/>
                </a:solidFill>
              </a:ln>
              <a:effectLst/>
            </c:spPr>
          </c:dPt>
          <c:dLbls>
            <c:delete val="1"/>
          </c:dLbls>
          <c:cat>
            <c:strRef>
              <c:f>Sheet1!$A$2:$A$5</c:f>
              <c:strCache>
                <c:ptCount val="4"/>
                <c:pt idx="0">
                  <c:v>基本支出</c:v>
                </c:pt>
                <c:pt idx="1">
                  <c:v>项目支出</c:v>
                </c:pt>
              </c:strCache>
            </c:strRef>
          </c:cat>
          <c:val>
            <c:numRef>
              <c:f>Sheet1!$B$2:$B$5</c:f>
              <c:numCache>
                <c:formatCode>General</c:formatCode>
                <c:ptCount val="4"/>
                <c:pt idx="0">
                  <c:v>14315.9</c:v>
                </c:pt>
                <c:pt idx="1">
                  <c:v>1826.24</c:v>
                </c:pt>
              </c:numCache>
            </c:numRef>
          </c:val>
        </c:ser>
        <c:dLbls>
          <c:showLegendKey val="0"/>
          <c:showVal val="0"/>
          <c:showCatName val="0"/>
          <c:showSerName val="0"/>
          <c:showPercent val="0"/>
          <c:showBubbleSize val="0"/>
          <c:showLeaderLines val="1"/>
        </c:dLbls>
        <c:firstSliceAng val="0"/>
      </c:pieChart>
      <c:spPr>
        <a:noFill/>
        <a:ln>
          <a:noFill/>
        </a:ln>
        <a:effectLst/>
      </c:spPr>
    </c:plotArea>
    <c:legend>
      <c:legendPos val="b"/>
      <c:layout/>
      <c:overlay val="0"/>
      <c:spPr>
        <a:noFill/>
        <a:ln>
          <a:noFill/>
        </a:ln>
        <a:effectLst/>
      </c:spPr>
      <c:txPr>
        <a:bodyPr rot="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rPr lang="zh-CN" altLang="en-US"/>
              <a:t>一般公共预算财政拨款收、支决算变动情况    （单位：万元）</a:t>
            </a:r>
            <a:endParaRPr lang="zh-CN" altLang="en-US"/>
          </a:p>
        </c:rich>
      </c:tx>
      <c:layout/>
      <c:overlay val="0"/>
      <c:spPr>
        <a:noFill/>
        <a:ln>
          <a:noFill/>
        </a:ln>
        <a:effectLst/>
      </c:spPr>
    </c:title>
    <c:autoTitleDeleted val="0"/>
    <c:plotArea>
      <c:layout/>
      <c:barChart>
        <c:barDir val="col"/>
        <c:grouping val="clustered"/>
        <c:varyColors val="0"/>
        <c:ser>
          <c:idx val="0"/>
          <c:order val="0"/>
          <c:tx>
            <c:strRef>
              <c:f>Sheet1!$B$1</c:f>
              <c:strCache>
                <c:ptCount val="1"/>
                <c:pt idx="0">
                  <c:v>2025年</c:v>
                </c:pt>
              </c:strCache>
            </c:strRef>
          </c:tx>
          <c:spPr>
            <a:solidFill>
              <a:schemeClr val="accent1"/>
            </a:solidFill>
            <a:ln>
              <a:noFill/>
            </a:ln>
            <a:effectLst/>
          </c:spPr>
          <c:invertIfNegative val="0"/>
          <c:dLbls>
            <c:delete val="1"/>
          </c:dLbls>
          <c:cat>
            <c:strRef>
              <c:f>Sheet1!$A$2:$A$3</c:f>
              <c:strCache>
                <c:ptCount val="2"/>
                <c:pt idx="0">
                  <c:v>收入</c:v>
                </c:pt>
                <c:pt idx="1">
                  <c:v>支出</c:v>
                </c:pt>
              </c:strCache>
            </c:strRef>
          </c:cat>
          <c:val>
            <c:numRef>
              <c:f>Sheet1!$B$2:$B$3</c:f>
              <c:numCache>
                <c:formatCode>General</c:formatCode>
                <c:ptCount val="2"/>
                <c:pt idx="0">
                  <c:v>16142.14</c:v>
                </c:pt>
                <c:pt idx="1">
                  <c:v>16142.14</c:v>
                </c:pt>
              </c:numCache>
            </c:numRef>
          </c:val>
        </c:ser>
        <c:ser>
          <c:idx val="1"/>
          <c:order val="1"/>
          <c:tx>
            <c:strRef>
              <c:f>Sheet1!$C$1</c:f>
              <c:strCache>
                <c:ptCount val="1"/>
                <c:pt idx="0">
                  <c:v>2024年</c:v>
                </c:pt>
              </c:strCache>
            </c:strRef>
          </c:tx>
          <c:spPr>
            <a:solidFill>
              <a:schemeClr val="accent2"/>
            </a:solidFill>
            <a:ln>
              <a:noFill/>
            </a:ln>
            <a:effectLst/>
          </c:spPr>
          <c:invertIfNegative val="0"/>
          <c:dLbls>
            <c:delete val="1"/>
          </c:dLbls>
          <c:cat>
            <c:strRef>
              <c:f>Sheet1!$A$2:$A$3</c:f>
              <c:strCache>
                <c:ptCount val="2"/>
                <c:pt idx="0">
                  <c:v>收入</c:v>
                </c:pt>
                <c:pt idx="1">
                  <c:v>支出</c:v>
                </c:pt>
              </c:strCache>
            </c:strRef>
          </c:cat>
          <c:val>
            <c:numRef>
              <c:f>Sheet1!$C$2:$C$3</c:f>
              <c:numCache>
                <c:formatCode>General</c:formatCode>
                <c:ptCount val="2"/>
                <c:pt idx="0">
                  <c:v>13354.03</c:v>
                </c:pt>
                <c:pt idx="1">
                  <c:v>13354.03</c:v>
                </c:pt>
              </c:numCache>
            </c:numRef>
          </c:val>
        </c:ser>
        <c:dLbls>
          <c:showLegendKey val="0"/>
          <c:showVal val="0"/>
          <c:showCatName val="0"/>
          <c:showSerName val="0"/>
          <c:showPercent val="0"/>
          <c:showBubbleSize val="0"/>
        </c:dLbls>
        <c:gapWidth val="219"/>
        <c:overlap val="-27"/>
        <c:axId val="1672483055"/>
        <c:axId val="1672483535"/>
      </c:barChart>
      <c:catAx>
        <c:axId val="1672483055"/>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1672483535"/>
        <c:crosses val="autoZero"/>
        <c:auto val="1"/>
        <c:lblAlgn val="ctr"/>
        <c:lblOffset val="100"/>
        <c:noMultiLvlLbl val="0"/>
      </c:catAx>
      <c:valAx>
        <c:axId val="1672483535"/>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1672483055"/>
        <c:crosses val="autoZero"/>
        <c:crossBetween val="between"/>
      </c:valAx>
      <c:spPr>
        <a:noFill/>
        <a:ln>
          <a:noFill/>
        </a:ln>
        <a:effectLst/>
      </c:spPr>
    </c:plotArea>
    <c:legend>
      <c:legendPos val="b"/>
      <c:layout/>
      <c:overlay val="0"/>
      <c:spPr>
        <a:noFill/>
        <a:ln>
          <a:noFill/>
        </a:ln>
        <a:effectLst/>
      </c:spPr>
      <c:txPr>
        <a:bodyPr rot="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rPr lang="zh-CN" altLang="en-US"/>
              <a:t>一般公共预算财政拨款支出决算变动情况（单位：万元）</a:t>
            </a:r>
            <a:endParaRPr lang="zh-CN" altLang="en-US"/>
          </a:p>
        </c:rich>
      </c:tx>
      <c:layout/>
      <c:overlay val="0"/>
      <c:spPr>
        <a:noFill/>
        <a:ln>
          <a:noFill/>
        </a:ln>
        <a:effectLst/>
      </c:spPr>
    </c:title>
    <c:autoTitleDeleted val="0"/>
    <c:plotArea>
      <c:layout/>
      <c:barChart>
        <c:barDir val="col"/>
        <c:grouping val="clustered"/>
        <c:varyColors val="0"/>
        <c:ser>
          <c:idx val="0"/>
          <c:order val="0"/>
          <c:tx>
            <c:strRef>
              <c:f>Sheet1!$B$1</c:f>
              <c:strCache>
                <c:ptCount val="1"/>
                <c:pt idx="0">
                  <c:v>2025年</c:v>
                </c:pt>
              </c:strCache>
            </c:strRef>
          </c:tx>
          <c:spPr>
            <a:solidFill>
              <a:schemeClr val="accent1"/>
            </a:solidFill>
            <a:ln>
              <a:noFill/>
            </a:ln>
            <a:effectLst/>
          </c:spPr>
          <c:invertIfNegative val="0"/>
          <c:dLbls>
            <c:delete val="1"/>
          </c:dLbls>
          <c:cat>
            <c:strRef>
              <c:f>Sheet1!$A$2</c:f>
              <c:strCache>
                <c:ptCount val="1"/>
                <c:pt idx="0">
                  <c:v>支出</c:v>
                </c:pt>
              </c:strCache>
            </c:strRef>
          </c:cat>
          <c:val>
            <c:numRef>
              <c:f>Sheet1!$B$2</c:f>
              <c:numCache>
                <c:formatCode>General</c:formatCode>
                <c:ptCount val="1"/>
                <c:pt idx="0">
                  <c:v>16142.14</c:v>
                </c:pt>
              </c:numCache>
            </c:numRef>
          </c:val>
        </c:ser>
        <c:ser>
          <c:idx val="1"/>
          <c:order val="1"/>
          <c:tx>
            <c:strRef>
              <c:f>Sheet1!$C$1</c:f>
              <c:strCache>
                <c:ptCount val="1"/>
                <c:pt idx="0">
                  <c:v>2024年</c:v>
                </c:pt>
              </c:strCache>
            </c:strRef>
          </c:tx>
          <c:spPr>
            <a:solidFill>
              <a:schemeClr val="accent2"/>
            </a:solidFill>
            <a:ln>
              <a:noFill/>
            </a:ln>
            <a:effectLst/>
          </c:spPr>
          <c:invertIfNegative val="0"/>
          <c:dLbls>
            <c:delete val="1"/>
          </c:dLbls>
          <c:cat>
            <c:strRef>
              <c:f>Sheet1!$A$2</c:f>
              <c:strCache>
                <c:ptCount val="1"/>
                <c:pt idx="0">
                  <c:v>支出</c:v>
                </c:pt>
              </c:strCache>
            </c:strRef>
          </c:cat>
          <c:val>
            <c:numRef>
              <c:f>Sheet1!$C$2</c:f>
              <c:numCache>
                <c:formatCode>General</c:formatCode>
                <c:ptCount val="1"/>
                <c:pt idx="0">
                  <c:v>13354.03</c:v>
                </c:pt>
              </c:numCache>
            </c:numRef>
          </c:val>
        </c:ser>
        <c:dLbls>
          <c:showLegendKey val="0"/>
          <c:showVal val="0"/>
          <c:showCatName val="0"/>
          <c:showSerName val="0"/>
          <c:showPercent val="0"/>
          <c:showBubbleSize val="0"/>
        </c:dLbls>
        <c:gapWidth val="219"/>
        <c:overlap val="-27"/>
        <c:axId val="1676739055"/>
        <c:axId val="1676747695"/>
      </c:barChart>
      <c:catAx>
        <c:axId val="1676739055"/>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1676747695"/>
        <c:crosses val="autoZero"/>
        <c:auto val="1"/>
        <c:lblAlgn val="ctr"/>
        <c:lblOffset val="100"/>
        <c:noMultiLvlLbl val="0"/>
      </c:catAx>
      <c:valAx>
        <c:axId val="1676747695"/>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1676739055"/>
        <c:crosses val="autoZero"/>
        <c:crossBetween val="between"/>
      </c:valAx>
      <c:spPr>
        <a:noFill/>
        <a:ln>
          <a:noFill/>
        </a:ln>
        <a:effectLst/>
      </c:spPr>
    </c:plotArea>
    <c:legend>
      <c:legendPos val="b"/>
      <c:layout/>
      <c:overlay val="0"/>
      <c:spPr>
        <a:noFill/>
        <a:ln>
          <a:noFill/>
        </a:ln>
        <a:effectLst/>
      </c:spPr>
      <c:txPr>
        <a:bodyPr rot="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layout/>
      <c:overlay val="0"/>
      <c:spPr>
        <a:noFill/>
        <a:ln>
          <a:noFill/>
        </a:ln>
        <a:effectLst/>
      </c:spPr>
      <c:txPr>
        <a:bodyPr rot="0" spcFirstLastPara="1"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p>
      </c:txPr>
    </c:title>
    <c:autoTitleDeleted val="0"/>
    <c:plotArea>
      <c:layout/>
      <c:pieChart>
        <c:varyColors val="1"/>
        <c:ser>
          <c:idx val="0"/>
          <c:order val="0"/>
          <c:tx>
            <c:strRef>
              <c:f>Sheet1!$B$1</c:f>
              <c:strCache>
                <c:ptCount val="1"/>
                <c:pt idx="0">
                  <c:v>一般公共预算财政拨款支出决算结构</c:v>
                </c:pt>
              </c:strCache>
            </c:strRef>
          </c:tx>
          <c:spPr/>
          <c:explosion val="0"/>
          <c:dPt>
            <c:idx val="0"/>
            <c:bubble3D val="0"/>
            <c:spPr>
              <a:solidFill>
                <a:schemeClr val="accent1"/>
              </a:solidFill>
              <a:ln w="19050">
                <a:solidFill>
                  <a:schemeClr val="lt1"/>
                </a:solidFill>
              </a:ln>
              <a:effectLst/>
            </c:spPr>
          </c:dPt>
          <c:dPt>
            <c:idx val="1"/>
            <c:bubble3D val="0"/>
            <c:spPr>
              <a:solidFill>
                <a:schemeClr val="accent2"/>
              </a:solidFill>
              <a:ln w="19050">
                <a:solidFill>
                  <a:schemeClr val="lt1"/>
                </a:solidFill>
              </a:ln>
              <a:effectLst/>
            </c:spPr>
          </c:dPt>
          <c:dPt>
            <c:idx val="2"/>
            <c:bubble3D val="0"/>
            <c:spPr>
              <a:solidFill>
                <a:schemeClr val="accent3"/>
              </a:solidFill>
              <a:ln w="19050">
                <a:solidFill>
                  <a:schemeClr val="lt1"/>
                </a:solidFill>
              </a:ln>
              <a:effectLst/>
            </c:spPr>
          </c:dPt>
          <c:dPt>
            <c:idx val="3"/>
            <c:bubble3D val="0"/>
            <c:spPr>
              <a:solidFill>
                <a:schemeClr val="accent4"/>
              </a:solidFill>
              <a:ln w="19050">
                <a:solidFill>
                  <a:schemeClr val="lt1"/>
                </a:solidFill>
              </a:ln>
              <a:effectLst/>
            </c:spPr>
          </c:dPt>
          <c:dPt>
            <c:idx val="4"/>
            <c:bubble3D val="0"/>
            <c:spPr>
              <a:solidFill>
                <a:schemeClr val="accent5"/>
              </a:solidFill>
              <a:ln w="19050">
                <a:solidFill>
                  <a:schemeClr val="lt1"/>
                </a:solidFill>
              </a:ln>
              <a:effectLst/>
            </c:spPr>
          </c:dPt>
          <c:dLbls>
            <c:delete val="1"/>
          </c:dLbls>
          <c:cat>
            <c:strRef>
              <c:f>Sheet1!$A$2:$A$6</c:f>
              <c:strCache>
                <c:ptCount val="5"/>
                <c:pt idx="0">
                  <c:v>一般公共服务支出</c:v>
                </c:pt>
                <c:pt idx="1">
                  <c:v>公共安全支出</c:v>
                </c:pt>
                <c:pt idx="2">
                  <c:v>社会保障和就业支出</c:v>
                </c:pt>
                <c:pt idx="3">
                  <c:v>卫生健康支出</c:v>
                </c:pt>
                <c:pt idx="4">
                  <c:v>住房保障支出</c:v>
                </c:pt>
              </c:strCache>
            </c:strRef>
          </c:cat>
          <c:val>
            <c:numRef>
              <c:f>Sheet1!$B$2:$B$6</c:f>
              <c:numCache>
                <c:formatCode>General</c:formatCode>
                <c:ptCount val="5"/>
                <c:pt idx="0">
                  <c:v>3.21</c:v>
                </c:pt>
                <c:pt idx="1">
                  <c:v>12332.95</c:v>
                </c:pt>
                <c:pt idx="2">
                  <c:v>2301.94</c:v>
                </c:pt>
                <c:pt idx="3">
                  <c:v>587.52</c:v>
                </c:pt>
                <c:pt idx="4">
                  <c:v>916.52</c:v>
                </c:pt>
              </c:numCache>
            </c:numRef>
          </c:val>
        </c:ser>
        <c:dLbls>
          <c:showLegendKey val="0"/>
          <c:showVal val="0"/>
          <c:showCatName val="0"/>
          <c:showSerName val="0"/>
          <c:showPercent val="0"/>
          <c:showBubbleSize val="0"/>
          <c:showLeaderLines val="1"/>
        </c:dLbls>
        <c:firstSliceAng val="0"/>
      </c:pieChart>
      <c:spPr>
        <a:noFill/>
        <a:ln>
          <a:noFill/>
        </a:ln>
        <a:effectLst/>
      </c:spPr>
    </c:plotArea>
    <c:legend>
      <c:legendPos val="b"/>
      <c:layout/>
      <c:overlay val="0"/>
      <c:spPr>
        <a:noFill/>
        <a:ln>
          <a:noFill/>
        </a:ln>
        <a:effectLst/>
      </c:spPr>
      <c:txPr>
        <a:bodyPr rot="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layout/>
      <c:overlay val="0"/>
      <c:spPr>
        <a:noFill/>
        <a:ln>
          <a:noFill/>
        </a:ln>
        <a:effectLst/>
      </c:spPr>
      <c:txPr>
        <a:bodyPr rot="0" spcFirstLastPara="1"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p>
      </c:txPr>
    </c:title>
    <c:autoTitleDeleted val="0"/>
    <c:plotArea>
      <c:layout/>
      <c:pieChart>
        <c:varyColors val="1"/>
        <c:ser>
          <c:idx val="0"/>
          <c:order val="0"/>
          <c:tx>
            <c:strRef>
              <c:f>Sheet1!$B$1</c:f>
              <c:strCache>
                <c:ptCount val="1"/>
                <c:pt idx="0">
                  <c:v>“三公”经费财政拨款支出结构</c:v>
                </c:pt>
              </c:strCache>
            </c:strRef>
          </c:tx>
          <c:spPr/>
          <c:explosion val="0"/>
          <c:dPt>
            <c:idx val="0"/>
            <c:bubble3D val="0"/>
            <c:spPr>
              <a:solidFill>
                <a:schemeClr val="accent1"/>
              </a:solidFill>
              <a:ln w="19050">
                <a:solidFill>
                  <a:schemeClr val="lt1"/>
                </a:solidFill>
              </a:ln>
              <a:effectLst/>
            </c:spPr>
          </c:dPt>
          <c:dPt>
            <c:idx val="1"/>
            <c:bubble3D val="0"/>
            <c:spPr>
              <a:solidFill>
                <a:schemeClr val="accent2"/>
              </a:solidFill>
              <a:ln w="19050">
                <a:solidFill>
                  <a:schemeClr val="lt1"/>
                </a:solidFill>
              </a:ln>
              <a:effectLst/>
            </c:spPr>
          </c:dPt>
          <c:dPt>
            <c:idx val="2"/>
            <c:bubble3D val="0"/>
            <c:spPr>
              <a:solidFill>
                <a:schemeClr val="accent3"/>
              </a:solidFill>
              <a:ln w="19050">
                <a:solidFill>
                  <a:schemeClr val="lt1"/>
                </a:solidFill>
              </a:ln>
              <a:effectLst/>
            </c:spPr>
          </c:dPt>
          <c:dPt>
            <c:idx val="3"/>
            <c:bubble3D val="0"/>
            <c:spPr>
              <a:solidFill>
                <a:schemeClr val="accent4"/>
              </a:solidFill>
              <a:ln w="19050">
                <a:solidFill>
                  <a:schemeClr val="lt1"/>
                </a:solidFill>
              </a:ln>
              <a:effectLst/>
            </c:spPr>
          </c:dPt>
          <c:dLbls>
            <c:delete val="1"/>
          </c:dLbls>
          <c:cat>
            <c:strRef>
              <c:f>Sheet1!$A$2:$A$5</c:f>
              <c:strCache>
                <c:ptCount val="4"/>
                <c:pt idx="0">
                  <c:v>因公出（国）境</c:v>
                </c:pt>
                <c:pt idx="1">
                  <c:v>公务用车运行维护费</c:v>
                </c:pt>
                <c:pt idx="2">
                  <c:v>公务接待费</c:v>
                </c:pt>
              </c:strCache>
            </c:strRef>
          </c:cat>
          <c:val>
            <c:numRef>
              <c:f>Sheet1!$B$2:$B$5</c:f>
              <c:numCache>
                <c:formatCode>General</c:formatCode>
                <c:ptCount val="4"/>
                <c:pt idx="0">
                  <c:v>0</c:v>
                </c:pt>
                <c:pt idx="1">
                  <c:v>88.11</c:v>
                </c:pt>
              </c:numCache>
            </c:numRef>
          </c:val>
        </c:ser>
        <c:dLbls>
          <c:showLegendKey val="0"/>
          <c:showVal val="0"/>
          <c:showCatName val="0"/>
          <c:showSerName val="0"/>
          <c:showPercent val="0"/>
          <c:showBubbleSize val="0"/>
          <c:showLeaderLines val="1"/>
        </c:dLbls>
        <c:firstSliceAng val="0"/>
      </c:pieChart>
      <c:spPr>
        <a:noFill/>
        <a:ln>
          <a:noFill/>
        </a:ln>
        <a:effectLst/>
      </c:spPr>
    </c:plotArea>
    <c:legend>
      <c:legendPos val="b"/>
      <c:layout/>
      <c:overlay val="0"/>
      <c:spPr>
        <a:noFill/>
        <a:ln>
          <a:noFill/>
        </a:ln>
        <a:effectLst/>
      </c:spPr>
      <c:txPr>
        <a:bodyPr rot="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四川省财政厅</Company>
  <Pages>22</Pages>
  <Words>6065</Words>
  <Characters>6768</Characters>
  <Lines>204</Lines>
  <Paragraphs>192</Paragraphs>
  <TotalTime>4</TotalTime>
  <ScaleCrop>false</ScaleCrop>
  <LinksUpToDate>false</LinksUpToDate>
  <CharactersWithSpaces>6843</CharactersWithSpaces>
  <Application>WPS Office_11.8.2.12118_F1E327BC-269C-435d-A152-05C5408002CA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2025-09-03T09:13:00Z</dcterms:created>
  <dc:creator>曹颖</dc:creator>
  <cp:lastModifiedBy>Administrator</cp:lastModifiedBy>
  <cp:lastPrinted>2025-09-15T01:54:00Z</cp:lastPrinted>
  <dcterms:modified xsi:type="dcterms:W3CDTF">2026-09-14T07:25:34Z</dcterms:modified>
  <dc:title>四川省***</dc:title>
  <cp:revision>296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2052-11.8.2.12118</vt:lpwstr>
  </property>
  <property fmtid="{D5CDD505-2E9C-101B-9397-08002B2CF9AE}" pid="3" name="ICV">
    <vt:lpwstr>BE6D4F746B2D492C8010FF46A930DAF8</vt:lpwstr>
  </property>
  <property fmtid="{D5CDD505-2E9C-101B-9397-08002B2CF9AE}" pid="4" name="KSOTemplateDocerSaveRecord">
    <vt:lpwstr>eyJoZGlkIjoiYjc2NDczZmRkMjBkOWY2OWQ5OWMxNTMyNzg3MTkyNjQiLCJ1c2VySWQiOiI3MTExNDkwMjIifQ==</vt:lpwstr>
  </property>
</Properties>
</file>