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rPr>
          <w:rFonts w:ascii="Times New Roman" w:eastAsia="方正小标宋简体"/>
          <w:kern w:val="2"/>
          <w:sz w:val="72"/>
          <w:szCs w:val="72"/>
        </w:rPr>
      </w:pPr>
      <w:bookmarkStart w:id="0" w:name="_Toc15306267"/>
      <w:bookmarkStart w:id="1" w:name="_Toc15396475"/>
      <w:bookmarkStart w:id="2" w:name="_Toc15377425"/>
      <w:bookmarkStart w:id="3" w:name="_Toc15396597"/>
      <w:bookmarkStart w:id="4" w:name="_Toc15377193"/>
      <w:bookmarkStart w:id="5" w:name="_Toc15378441"/>
    </w:p>
    <w:p>
      <w:pPr>
        <w:pStyle w:val="8"/>
        <w:spacing w:before="93"/>
        <w:rPr>
          <w:rFonts w:ascii="Times New Roman" w:eastAsia="方正小标宋简体"/>
          <w:kern w:val="2"/>
          <w:sz w:val="72"/>
          <w:szCs w:val="72"/>
        </w:rPr>
      </w:pPr>
    </w:p>
    <w:p>
      <w:pPr>
        <w:pStyle w:val="8"/>
        <w:spacing w:before="93"/>
        <w:rPr>
          <w:rFonts w:ascii="Times New Roman" w:eastAsia="方正小标宋简体"/>
          <w:kern w:val="2"/>
          <w:sz w:val="72"/>
          <w:szCs w:val="72"/>
        </w:rPr>
      </w:pPr>
    </w:p>
    <w:p>
      <w:pPr>
        <w:pStyle w:val="8"/>
        <w:spacing w:before="93"/>
        <w:jc w:val="center"/>
        <w:rPr>
          <w:rFonts w:ascii="Times New Roman" w:eastAsia="方正小标宋简体"/>
          <w:kern w:val="2"/>
          <w:sz w:val="52"/>
          <w:szCs w:val="52"/>
        </w:rPr>
      </w:pPr>
      <w:r>
        <w:rPr>
          <w:rFonts w:hint="eastAsia" w:ascii="Times New Roman" w:eastAsia="方正小标宋简体"/>
          <w:kern w:val="2"/>
          <w:sz w:val="52"/>
          <w:szCs w:val="52"/>
        </w:rPr>
        <w:t>2025年度四川省</w:t>
      </w:r>
    </w:p>
    <w:p>
      <w:pPr>
        <w:pStyle w:val="8"/>
        <w:spacing w:before="93"/>
        <w:jc w:val="center"/>
        <w:rPr>
          <w:rFonts w:ascii="Times New Roman" w:eastAsia="方正小标宋简体"/>
          <w:kern w:val="2"/>
          <w:sz w:val="52"/>
          <w:szCs w:val="52"/>
        </w:rPr>
      </w:pPr>
      <w:r>
        <w:rPr>
          <w:rFonts w:hint="eastAsia" w:ascii="Times New Roman" w:eastAsia="方正小标宋简体"/>
          <w:kern w:val="2"/>
          <w:sz w:val="52"/>
          <w:szCs w:val="52"/>
        </w:rPr>
        <w:t>攀枝花市公安局</w:t>
      </w:r>
    </w:p>
    <w:p>
      <w:pPr>
        <w:pStyle w:val="8"/>
        <w:spacing w:before="93"/>
        <w:jc w:val="center"/>
        <w:rPr>
          <w:rFonts w:ascii="Times New Roman" w:eastAsia="方正小标宋简体"/>
          <w:kern w:val="2"/>
          <w:sz w:val="52"/>
          <w:szCs w:val="52"/>
        </w:rPr>
        <w:sectPr>
          <w:headerReference r:id="rId5" w:type="first"/>
          <w:headerReference r:id="rId3" w:type="default"/>
          <w:footerReference r:id="rId6" w:type="default"/>
          <w:headerReference r:id="rId4" w:type="even"/>
          <w:footerReference r:id="rId7" w:type="even"/>
          <w:pgSz w:w="11906" w:h="16838"/>
          <w:pgMar w:top="2098" w:right="1474" w:bottom="1984" w:left="1587" w:header="851" w:footer="992" w:gutter="0"/>
          <w:pgNumType w:fmt="numberInDash" w:start="1"/>
          <w:cols w:space="425" w:num="1"/>
          <w:titlePg/>
          <w:docGrid w:type="lines" w:linePitch="312" w:charSpace="0"/>
        </w:sectPr>
      </w:pPr>
      <w:r>
        <w:rPr>
          <w:rFonts w:hint="eastAsia" w:ascii="Times New Roman" w:eastAsia="方正小标宋简体"/>
          <w:kern w:val="2"/>
          <w:sz w:val="52"/>
          <w:szCs w:val="52"/>
        </w:rPr>
        <w:t>单位决算公开编制说明</w:t>
      </w:r>
      <w:bookmarkEnd w:id="0"/>
      <w:bookmarkEnd w:id="1"/>
      <w:bookmarkEnd w:id="2"/>
      <w:bookmarkEnd w:id="3"/>
      <w:bookmarkEnd w:id="4"/>
      <w:bookmarkEnd w:id="5"/>
    </w:p>
    <w:p>
      <w:pPr>
        <w:pStyle w:val="8"/>
        <w:spacing w:before="93"/>
        <w:jc w:val="center"/>
        <w:rPr>
          <w:rFonts w:eastAsia="黑体"/>
          <w:b/>
          <w:sz w:val="48"/>
          <w:szCs w:val="48"/>
        </w:rPr>
      </w:pPr>
      <w:r>
        <w:rPr>
          <w:rFonts w:hint="eastAsia" w:eastAsia="黑体"/>
          <w:b/>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公开时间：2026年9月1</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日</w:t>
      </w:r>
    </w:p>
    <w:p/>
    <w:p>
      <w:pPr>
        <w:pStyle w:val="13"/>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单位概况</w:t>
      </w:r>
      <w:r>
        <w:rPr>
          <w:rFonts w:ascii="Times New Roman" w:hAnsi="Times New Roman" w:eastAsia="黑体" w:cs="黑体"/>
          <w:sz w:val="32"/>
          <w:szCs w:val="32"/>
        </w:rPr>
        <w:tab/>
      </w:r>
      <w:r>
        <w:rPr>
          <w:rFonts w:hint="eastAsia" w:ascii="Times New Roman" w:hAnsi="Times New Roman" w:eastAsia="宋体"/>
        </w:rPr>
        <w:t>1</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一、单位职责</w:t>
      </w:r>
      <w:r>
        <w:rPr>
          <w:rFonts w:eastAsia="仿宋_GB2312" w:cs="仿宋_GB2312"/>
          <w:sz w:val="32"/>
          <w:szCs w:val="32"/>
        </w:rPr>
        <w:tab/>
      </w:r>
      <w:r>
        <w:rPr>
          <w:rFonts w:hint="eastAsia"/>
          <w:sz w:val="28"/>
          <w:szCs w:val="28"/>
        </w:rPr>
        <w:t>1</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eastAsia="仿宋_GB2312" w:cs="仿宋_GB2312"/>
          <w:sz w:val="32"/>
          <w:szCs w:val="32"/>
        </w:rPr>
        <w:tab/>
      </w:r>
      <w:r>
        <w:rPr>
          <w:rFonts w:hint="eastAsia"/>
          <w:sz w:val="28"/>
          <w:szCs w:val="28"/>
        </w:rPr>
        <w:t>1</w:t>
      </w:r>
    </w:p>
    <w:p>
      <w:pPr>
        <w:pStyle w:val="13"/>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2025年度单位决算情况说明</w:t>
      </w:r>
      <w:r>
        <w:rPr>
          <w:rFonts w:ascii="Times New Roman" w:hAnsi="Times New Roman" w:eastAsia="黑体" w:cs="黑体"/>
          <w:sz w:val="32"/>
          <w:szCs w:val="32"/>
        </w:rPr>
        <w:tab/>
      </w:r>
      <w:r>
        <w:rPr>
          <w:rFonts w:hint="eastAsia" w:ascii="Times New Roman" w:hAnsi="Times New Roman" w:eastAsia="宋体"/>
        </w:rPr>
        <w:t>2</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r>
        <w:rPr>
          <w:rFonts w:eastAsia="仿宋_GB2312" w:cs="仿宋_GB2312"/>
          <w:sz w:val="32"/>
          <w:szCs w:val="32"/>
        </w:rPr>
        <w:tab/>
      </w:r>
      <w:r>
        <w:rPr>
          <w:rFonts w:hint="eastAsia"/>
          <w:sz w:val="28"/>
          <w:szCs w:val="28"/>
        </w:rPr>
        <w:t>2</w:t>
      </w:r>
      <w:bookmarkStart w:id="61" w:name="_GoBack"/>
      <w:bookmarkEnd w:id="61"/>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r>
        <w:rPr>
          <w:rFonts w:eastAsia="仿宋_GB2312" w:cs="仿宋_GB2312"/>
          <w:sz w:val="32"/>
          <w:szCs w:val="32"/>
        </w:rPr>
        <w:tab/>
      </w:r>
      <w:r>
        <w:rPr>
          <w:rFonts w:hint="eastAsia"/>
          <w:sz w:val="28"/>
          <w:szCs w:val="28"/>
        </w:rPr>
        <w:t>2</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r>
        <w:rPr>
          <w:rFonts w:eastAsia="仿宋_GB2312" w:cs="仿宋_GB2312"/>
          <w:sz w:val="32"/>
          <w:szCs w:val="32"/>
        </w:rPr>
        <w:tab/>
      </w:r>
      <w:r>
        <w:rPr>
          <w:rFonts w:hint="eastAsia"/>
          <w:sz w:val="28"/>
          <w:szCs w:val="28"/>
        </w:rPr>
        <w:t>3</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r>
        <w:rPr>
          <w:rFonts w:eastAsia="仿宋_GB2312" w:cs="仿宋_GB2312"/>
          <w:sz w:val="32"/>
          <w:szCs w:val="32"/>
        </w:rPr>
        <w:tab/>
      </w:r>
      <w:r>
        <w:rPr>
          <w:rFonts w:hint="eastAsia"/>
          <w:sz w:val="28"/>
          <w:szCs w:val="28"/>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r>
        <w:rPr>
          <w:rFonts w:eastAsia="仿宋_GB2312" w:cs="仿宋_GB2312"/>
          <w:sz w:val="32"/>
          <w:szCs w:val="32"/>
        </w:rPr>
        <w:tab/>
      </w:r>
      <w:r>
        <w:rPr>
          <w:rFonts w:hint="eastAsia"/>
          <w:sz w:val="28"/>
          <w:szCs w:val="28"/>
        </w:rPr>
        <w:t>4</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r>
        <w:rPr>
          <w:rFonts w:eastAsia="仿宋_GB2312" w:cs="仿宋_GB2312"/>
          <w:sz w:val="32"/>
          <w:szCs w:val="32"/>
        </w:rPr>
        <w:tab/>
      </w:r>
      <w:r>
        <w:rPr>
          <w:rFonts w:hint="eastAsia"/>
          <w:sz w:val="28"/>
          <w:szCs w:val="28"/>
        </w:rPr>
        <w:t>8</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r>
        <w:rPr>
          <w:rFonts w:eastAsia="仿宋_GB2312" w:cs="仿宋_GB2312"/>
          <w:sz w:val="32"/>
          <w:szCs w:val="32"/>
        </w:rPr>
        <w:tab/>
      </w:r>
      <w:r>
        <w:rPr>
          <w:rFonts w:hint="eastAsia"/>
          <w:sz w:val="28"/>
          <w:szCs w:val="28"/>
        </w:rPr>
        <w:t>9</w:t>
      </w:r>
    </w:p>
    <w:p>
      <w:pPr>
        <w:pStyle w:val="14"/>
        <w:tabs>
          <w:tab w:val="right" w:leader="dot" w:pos="7980"/>
        </w:tabs>
        <w:adjustRightInd w:val="0"/>
        <w:snapToGrid w:val="0"/>
        <w:spacing w:line="560" w:lineRule="exact"/>
        <w:ind w:left="0" w:leftChars="0" w:firstLine="640" w:firstLineChars="200"/>
        <w:jc w:val="left"/>
        <w:rPr>
          <w:rFonts w:cs="仿宋_GB2312"/>
          <w:sz w:val="32"/>
          <w:szCs w:val="32"/>
        </w:rPr>
      </w:pPr>
      <w:r>
        <w:rPr>
          <w:rFonts w:hint="eastAsia" w:eastAsia="仿宋_GB2312" w:cs="仿宋_GB2312"/>
          <w:sz w:val="32"/>
          <w:szCs w:val="32"/>
        </w:rPr>
        <w:t>八、政府性基金预算支出决算情况说明</w:t>
      </w:r>
      <w:r>
        <w:rPr>
          <w:rFonts w:eastAsia="仿宋_GB2312" w:cs="仿宋_GB2312"/>
          <w:sz w:val="32"/>
          <w:szCs w:val="32"/>
        </w:rPr>
        <w:tab/>
      </w:r>
      <w:r>
        <w:rPr>
          <w:rFonts w:hint="eastAsia"/>
          <w:sz w:val="28"/>
          <w:szCs w:val="28"/>
        </w:rPr>
        <w:t>11</w:t>
      </w:r>
    </w:p>
    <w:p>
      <w:pPr>
        <w:pStyle w:val="14"/>
        <w:tabs>
          <w:tab w:val="right" w:leader="dot" w:pos="7980"/>
        </w:tabs>
        <w:adjustRightInd w:val="0"/>
        <w:snapToGrid w:val="0"/>
        <w:spacing w:line="560" w:lineRule="exact"/>
        <w:ind w:left="0" w:leftChars="0" w:firstLine="640" w:firstLineChars="200"/>
        <w:jc w:val="left"/>
        <w:rPr>
          <w:rFonts w:cs="仿宋_GB2312"/>
          <w:sz w:val="32"/>
          <w:szCs w:val="32"/>
        </w:rPr>
      </w:pPr>
      <w:r>
        <w:rPr>
          <w:rFonts w:hint="eastAsia" w:eastAsia="仿宋_GB2312" w:cs="仿宋_GB2312"/>
          <w:sz w:val="32"/>
          <w:szCs w:val="32"/>
        </w:rPr>
        <w:t>九、国有资本经营预算支出决算情况说明</w:t>
      </w:r>
      <w:r>
        <w:rPr>
          <w:rFonts w:eastAsia="仿宋_GB2312" w:cs="仿宋_GB2312"/>
          <w:sz w:val="32"/>
          <w:szCs w:val="32"/>
        </w:rPr>
        <w:tab/>
      </w:r>
      <w:r>
        <w:rPr>
          <w:rFonts w:hint="eastAsia"/>
          <w:sz w:val="28"/>
          <w:szCs w:val="28"/>
        </w:rPr>
        <w:t>11</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r>
        <w:rPr>
          <w:rFonts w:eastAsia="仿宋_GB2312" w:cs="仿宋_GB2312"/>
          <w:sz w:val="32"/>
          <w:szCs w:val="32"/>
        </w:rPr>
        <w:tab/>
      </w:r>
      <w:r>
        <w:rPr>
          <w:rFonts w:hint="eastAsia"/>
          <w:sz w:val="28"/>
          <w:szCs w:val="28"/>
        </w:rPr>
        <w:t>12</w:t>
      </w:r>
    </w:p>
    <w:p>
      <w:pPr>
        <w:pStyle w:val="14"/>
        <w:tabs>
          <w:tab w:val="right" w:leader="dot" w:pos="7980"/>
        </w:tabs>
        <w:adjustRightInd w:val="0"/>
        <w:snapToGrid w:val="0"/>
        <w:spacing w:line="560" w:lineRule="exact"/>
        <w:ind w:left="0" w:leftChars="0"/>
        <w:jc w:val="left"/>
        <w:rPr>
          <w:rFonts w:cs="黑体"/>
          <w:sz w:val="32"/>
          <w:szCs w:val="32"/>
        </w:rPr>
      </w:pPr>
      <w:r>
        <w:rPr>
          <w:rFonts w:hint="eastAsia" w:eastAsia="黑体" w:cs="黑体"/>
          <w:sz w:val="32"/>
          <w:szCs w:val="32"/>
        </w:rPr>
        <w:t>第三部分 名词解释</w:t>
      </w:r>
      <w:r>
        <w:rPr>
          <w:rFonts w:eastAsia="黑体" w:cs="黑体"/>
          <w:sz w:val="32"/>
          <w:szCs w:val="32"/>
        </w:rPr>
        <w:tab/>
      </w:r>
      <w:r>
        <w:rPr>
          <w:rFonts w:hint="eastAsia"/>
          <w:sz w:val="28"/>
          <w:szCs w:val="28"/>
        </w:rPr>
        <w:t>13</w:t>
      </w:r>
    </w:p>
    <w:p>
      <w:pPr>
        <w:pStyle w:val="13"/>
        <w:tabs>
          <w:tab w:val="right" w:leader="dot" w:pos="7980"/>
        </w:tabs>
        <w:adjustRightInd w:val="0"/>
        <w:snapToGrid w:val="0"/>
        <w:spacing w:before="0" w:line="560" w:lineRule="exact"/>
        <w:jc w:val="left"/>
        <w:rPr>
          <w:rFonts w:ascii="Times New Roman" w:hAnsi="Times New Roman" w:eastAsia="宋体" w:cs="黑体"/>
          <w:sz w:val="32"/>
          <w:szCs w:val="32"/>
        </w:rPr>
      </w:pPr>
      <w:r>
        <w:rPr>
          <w:rFonts w:hint="eastAsia" w:ascii="Times New Roman" w:hAnsi="Times New Roman" w:eastAsia="黑体" w:cs="黑体"/>
          <w:sz w:val="32"/>
          <w:szCs w:val="32"/>
        </w:rPr>
        <w:t>第四部分 附件</w:t>
      </w:r>
      <w:r>
        <w:rPr>
          <w:rFonts w:ascii="Times New Roman" w:hAnsi="Times New Roman" w:eastAsia="黑体" w:cs="黑体"/>
          <w:sz w:val="32"/>
          <w:szCs w:val="32"/>
        </w:rPr>
        <w:tab/>
      </w:r>
      <w:r>
        <w:rPr>
          <w:rFonts w:hint="eastAsia" w:ascii="Times New Roman" w:hAnsi="Times New Roman" w:eastAsia="宋体"/>
        </w:rPr>
        <w:t>18</w:t>
      </w:r>
    </w:p>
    <w:p>
      <w:pPr>
        <w:pStyle w:val="13"/>
        <w:tabs>
          <w:tab w:val="right" w:leader="dot" w:pos="7980"/>
        </w:tabs>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r>
        <w:rPr>
          <w:rFonts w:ascii="Times New Roman" w:hAnsi="Times New Roman" w:eastAsia="黑体" w:cs="黑体"/>
          <w:sz w:val="32"/>
          <w:szCs w:val="32"/>
        </w:rPr>
        <w:tab/>
      </w:r>
      <w:r>
        <w:rPr>
          <w:rFonts w:hint="eastAsia" w:ascii="Times New Roman" w:hAnsi="Times New Roman" w:eastAsia="宋体"/>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r>
        <w:rPr>
          <w:rFonts w:eastAsia="仿宋_GB2312" w:cs="仿宋_GB2312"/>
          <w:sz w:val="32"/>
          <w:szCs w:val="32"/>
        </w:rPr>
        <w:tab/>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（此表无数据）</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十二、国有资本经营预算财政拨款支出决算表（此表无</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数据）</w:t>
      </w:r>
      <w:r>
        <w:rPr>
          <w:rFonts w:eastAsia="仿宋_GB2312" w:cs="仿宋_GB2312"/>
          <w:sz w:val="32"/>
          <w:szCs w:val="32"/>
        </w:rPr>
        <w:tab/>
      </w:r>
      <w:r>
        <w:rPr>
          <w:rFonts w:hint="eastAsia" w:eastAsia="仿宋_GB2312" w:cs="仿宋_GB2312"/>
          <w:sz w:val="32"/>
          <w:szCs w:val="32"/>
        </w:rPr>
        <w:t>19</w:t>
      </w:r>
    </w:p>
    <w:p>
      <w:pPr>
        <w:pStyle w:val="14"/>
        <w:tabs>
          <w:tab w:val="right" w:leader="dot" w:pos="7980"/>
        </w:tabs>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r>
        <w:rPr>
          <w:rFonts w:eastAsia="仿宋_GB2312" w:cs="仿宋_GB2312"/>
          <w:sz w:val="32"/>
          <w:szCs w:val="32"/>
        </w:rPr>
        <w:tab/>
      </w:r>
      <w:r>
        <w:rPr>
          <w:rFonts w:hint="eastAsia" w:eastAsia="仿宋_GB2312" w:cs="仿宋_GB2312"/>
          <w:sz w:val="32"/>
          <w:szCs w:val="32"/>
        </w:rPr>
        <w:t>19</w:t>
      </w:r>
    </w:p>
    <w:p>
      <w:pPr>
        <w:pStyle w:val="2"/>
        <w:sectPr>
          <w:footerReference r:id="rId8" w:type="default"/>
          <w:pgSz w:w="11906" w:h="16838"/>
          <w:pgMar w:top="2098" w:right="1474" w:bottom="1984" w:left="1587" w:header="851" w:footer="992" w:gutter="0"/>
          <w:pgNumType w:fmt="numberInDash" w:start="1"/>
          <w:cols w:space="425" w:num="1"/>
          <w:docGrid w:type="lines" w:linePitch="312" w:charSpace="0"/>
        </w:sectPr>
      </w:pPr>
      <w:bookmarkStart w:id="6" w:name="_Toc15377196"/>
      <w:bookmarkStart w:id="7" w:name="_Toc15396599"/>
    </w:p>
    <w:p>
      <w:pPr>
        <w:pStyle w:val="5"/>
        <w:spacing w:before="0" w:after="0" w:line="300" w:lineRule="auto"/>
        <w:jc w:val="center"/>
        <w:rPr>
          <w:rStyle w:val="28"/>
          <w:rFonts w:ascii="方正小标宋_GBK" w:hAnsi="方正小标宋_GBK" w:eastAsia="方正小标宋_GBK" w:cs="方正小标宋_GBK"/>
          <w:b/>
          <w:bCs w:val="0"/>
        </w:rPr>
      </w:pPr>
      <w:r>
        <w:rPr>
          <w:rFonts w:hint="eastAsia" w:ascii="方正小标宋_GBK" w:hAnsi="方正小标宋_GBK" w:eastAsia="方正小标宋_GBK" w:cs="方正小标宋_GBK"/>
          <w:b w:val="0"/>
        </w:rPr>
        <w:t xml:space="preserve">第一部分 </w:t>
      </w:r>
      <w:r>
        <w:rPr>
          <w:rStyle w:val="28"/>
          <w:rFonts w:hint="eastAsia" w:ascii="方正小标宋_GBK" w:hAnsi="方正小标宋_GBK" w:eastAsia="方正小标宋_GBK" w:cs="方正小标宋_GBK"/>
          <w:b w:val="0"/>
          <w:bCs w:val="0"/>
        </w:rPr>
        <w:t>单位概况</w:t>
      </w:r>
      <w:bookmarkEnd w:id="6"/>
      <w:bookmarkEnd w:id="7"/>
    </w:p>
    <w:p>
      <w:pPr>
        <w:widowControl/>
        <w:jc w:val="left"/>
        <w:rPr>
          <w:rFonts w:eastAsia="黑体"/>
          <w:sz w:val="32"/>
          <w:szCs w:val="32"/>
        </w:rPr>
      </w:pPr>
    </w:p>
    <w:p>
      <w:pPr>
        <w:pStyle w:val="6"/>
        <w:spacing w:before="0" w:after="0" w:line="353" w:lineRule="auto"/>
        <w:ind w:firstLine="640" w:firstLineChars="200"/>
        <w:rPr>
          <w:rFonts w:ascii="Times New Roman" w:hAnsi="Times New Roman" w:eastAsia="黑体"/>
          <w:b w:val="0"/>
        </w:rPr>
      </w:pPr>
      <w:r>
        <w:rPr>
          <w:rFonts w:hint="eastAsia" w:ascii="Times New Roman" w:hAnsi="Times New Roman" w:eastAsia="黑体"/>
          <w:b w:val="0"/>
        </w:rPr>
        <w:t>一、单位职责</w:t>
      </w:r>
    </w:p>
    <w:p>
      <w:pPr>
        <w:spacing w:line="353" w:lineRule="auto"/>
        <w:ind w:firstLine="640" w:firstLineChars="200"/>
      </w:pPr>
      <w:r>
        <w:rPr>
          <w:rFonts w:eastAsia="仿宋_GB2312"/>
          <w:sz w:val="32"/>
          <w:szCs w:val="32"/>
        </w:rPr>
        <w:t>贯彻执行党和国家关于公安工作的路线、方针、政策和法律法规；预防、制止和侦查违法犯罪活动；维护社会治安秩序，制止危害社会治安秩序的行为；指导、检查、监督本辖区公安机关的执法活动；依法管理户口、居民身份证、枪支弹药、管制刀具和易燃易爆、剧毒、放射性等危险物品和特种待业的管理工作；依法管理集会、游行、示威活动；承办政府和上级公安机关交办的其他事项。</w:t>
      </w:r>
    </w:p>
    <w:p>
      <w:pPr>
        <w:pStyle w:val="6"/>
        <w:spacing w:before="0" w:after="0" w:line="353" w:lineRule="auto"/>
        <w:ind w:firstLine="640" w:firstLineChars="200"/>
        <w:rPr>
          <w:rStyle w:val="29"/>
          <w:rFonts w:ascii="Times New Roman" w:hAnsi="Times New Roman"/>
          <w:b w:val="0"/>
          <w:bCs w:val="0"/>
        </w:rPr>
      </w:pPr>
      <w:bookmarkStart w:id="8" w:name="_Toc15377200"/>
      <w:bookmarkStart w:id="9"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8"/>
      <w:bookmarkEnd w:id="9"/>
    </w:p>
    <w:p>
      <w:pPr>
        <w:spacing w:line="353" w:lineRule="auto"/>
        <w:ind w:firstLine="640" w:firstLineChars="200"/>
        <w:rPr>
          <w:rFonts w:eastAsia="仿宋_GB2312"/>
          <w:sz w:val="32"/>
          <w:szCs w:val="32"/>
        </w:rPr>
      </w:pPr>
      <w:r>
        <w:rPr>
          <w:rFonts w:hint="eastAsia" w:eastAsia="仿宋_GB2312"/>
          <w:sz w:val="32"/>
          <w:szCs w:val="32"/>
        </w:rPr>
        <w:t>四川省攀枝花市公安局（本级）下设机场分局、钒钛高新区分局、支队、科等</w:t>
      </w:r>
      <w:r>
        <w:rPr>
          <w:rFonts w:eastAsia="仿宋_GB2312"/>
          <w:sz w:val="32"/>
          <w:szCs w:val="32"/>
        </w:rPr>
        <w:t>37个部门。与上年相比，无变化。</w:t>
      </w:r>
    </w:p>
    <w:p>
      <w:pPr>
        <w:widowControl/>
        <w:spacing w:line="353" w:lineRule="auto"/>
        <w:jc w:val="left"/>
        <w:rPr>
          <w:rFonts w:eastAsia="仿宋"/>
          <w:kern w:val="0"/>
          <w:sz w:val="32"/>
          <w:szCs w:val="32"/>
        </w:rPr>
      </w:pPr>
      <w:r>
        <w:rPr>
          <w:rFonts w:eastAsia="仿宋"/>
          <w:sz w:val="32"/>
          <w:szCs w:val="32"/>
        </w:rPr>
        <w:br w:type="page"/>
      </w:r>
    </w:p>
    <w:p>
      <w:pPr>
        <w:pStyle w:val="5"/>
        <w:spacing w:before="0" w:after="0" w:line="300" w:lineRule="auto"/>
        <w:jc w:val="center"/>
        <w:rPr>
          <w:rFonts w:ascii="方正小标宋_GBK" w:hAnsi="方正小标宋_GBK" w:eastAsia="方正小标宋_GBK" w:cs="方正小标宋_GBK"/>
          <w:b w:val="0"/>
        </w:rPr>
      </w:pPr>
      <w:bookmarkStart w:id="10" w:name="_Toc15396602"/>
      <w:bookmarkStart w:id="11" w:name="_Toc15377204"/>
      <w:r>
        <w:rPr>
          <w:rFonts w:hint="eastAsia" w:ascii="方正小标宋_GBK" w:hAnsi="方正小标宋_GBK" w:eastAsia="方正小标宋_GBK" w:cs="方正小标宋_GBK"/>
          <w:b w:val="0"/>
        </w:rPr>
        <w:t>第二部分2025年度单位决算情况说明</w:t>
      </w:r>
      <w:bookmarkEnd w:id="10"/>
      <w:bookmarkEnd w:id="11"/>
    </w:p>
    <w:p/>
    <w:p>
      <w:pPr>
        <w:pStyle w:val="6"/>
        <w:spacing w:before="0" w:after="0" w:line="353" w:lineRule="auto"/>
        <w:ind w:firstLine="640" w:firstLineChars="200"/>
        <w:rPr>
          <w:rFonts w:ascii="Times New Roman" w:hAnsi="Times New Roman" w:eastAsia="黑体"/>
          <w:b w:val="0"/>
        </w:rPr>
      </w:pPr>
      <w:bookmarkStart w:id="12" w:name="_Toc15377205"/>
      <w:bookmarkStart w:id="13" w:name="_Toc15396603"/>
      <w:r>
        <w:rPr>
          <w:rFonts w:hint="eastAsia" w:ascii="Times New Roman" w:hAnsi="Times New Roman" w:eastAsia="黑体"/>
          <w:b w:val="0"/>
        </w:rPr>
        <w:t>一、收入支出决算总体情况说明</w:t>
      </w:r>
      <w:bookmarkEnd w:id="12"/>
      <w:bookmarkEnd w:id="13"/>
    </w:p>
    <w:p>
      <w:pPr>
        <w:spacing w:line="353" w:lineRule="auto"/>
        <w:ind w:firstLine="640" w:firstLineChars="200"/>
        <w:rPr>
          <w:rFonts w:eastAsia="仿宋_GB2312"/>
          <w:sz w:val="32"/>
          <w:szCs w:val="32"/>
        </w:rPr>
      </w:pPr>
      <w:r>
        <w:rPr>
          <w:rFonts w:hint="eastAsia" w:eastAsia="仿宋_GB2312"/>
          <w:sz w:val="32"/>
          <w:szCs w:val="32"/>
        </w:rPr>
        <w:t>2025年度收入、支出总计均为31859.13万元。与2024年度相比，收入、支出总计各增加3437.77万元，增长12.1%。主要变动原因是2025年下达专项债券4000万元用于“</w:t>
      </w:r>
      <w:r>
        <w:rPr>
          <w:rFonts w:eastAsia="仿宋_GB2312"/>
          <w:sz w:val="32"/>
          <w:szCs w:val="32"/>
        </w:rPr>
        <w:t>智能安全系统（天网二期）</w:t>
      </w:r>
      <w:r>
        <w:rPr>
          <w:rFonts w:hint="eastAsia" w:eastAsia="仿宋_GB2312"/>
          <w:sz w:val="32"/>
          <w:szCs w:val="32"/>
        </w:rPr>
        <w:t>”项目，导致项目执行增加。</w:t>
      </w:r>
    </w:p>
    <w:p>
      <w:pPr>
        <w:spacing w:line="353" w:lineRule="auto"/>
        <w:ind w:firstLine="640" w:firstLineChars="200"/>
        <w:rPr>
          <w:rFonts w:eastAsia="仿宋_GB2312"/>
          <w:sz w:val="32"/>
          <w:szCs w:val="32"/>
        </w:rPr>
      </w:pPr>
      <w:r>
        <w:rPr>
          <w:rFonts w:hint="eastAsia" w:eastAsia="仿宋_GB2312"/>
          <w:sz w:val="32"/>
          <w:szCs w:val="32"/>
        </w:rPr>
        <w:t>（图1：收入、支出决算总计变动情况图）（单位：万元）</w:t>
      </w:r>
    </w:p>
    <w:p>
      <w:pPr>
        <w:snapToGrid w:val="0"/>
        <w:ind w:firstLine="420" w:firstLineChars="200"/>
        <w:jc w:val="center"/>
      </w:pPr>
      <w:r>
        <w:drawing>
          <wp:inline distT="0" distB="0" distL="114300" distR="114300">
            <wp:extent cx="4572000" cy="2981325"/>
            <wp:effectExtent l="4445" t="4445" r="14605" b="5080"/>
            <wp:docPr id="4" name="图表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
      </w:pPr>
    </w:p>
    <w:p>
      <w:pPr>
        <w:pStyle w:val="6"/>
        <w:spacing w:before="0" w:after="0" w:line="353" w:lineRule="auto"/>
        <w:ind w:firstLine="640" w:firstLineChars="200"/>
        <w:rPr>
          <w:rFonts w:ascii="Times New Roman" w:hAnsi="Times New Roman" w:eastAsia="黑体"/>
          <w:b w:val="0"/>
        </w:rPr>
      </w:pPr>
      <w:bookmarkStart w:id="14" w:name="_Toc15377206"/>
      <w:bookmarkStart w:id="15" w:name="_Toc15396604"/>
      <w:r>
        <w:rPr>
          <w:rFonts w:hint="eastAsia" w:ascii="Times New Roman" w:hAnsi="Times New Roman" w:eastAsia="黑体"/>
          <w:b w:val="0"/>
        </w:rPr>
        <w:t>二、收入决算情况说明</w:t>
      </w:r>
      <w:bookmarkEnd w:id="14"/>
      <w:bookmarkEnd w:id="15"/>
    </w:p>
    <w:p>
      <w:pPr>
        <w:pStyle w:val="27"/>
        <w:spacing w:line="353" w:lineRule="auto"/>
        <w:ind w:firstLine="640"/>
        <w:jc w:val="left"/>
        <w:outlineLvl w:val="1"/>
        <w:rPr>
          <w:rFonts w:eastAsia="仿宋_GB2312"/>
          <w:sz w:val="32"/>
          <w:szCs w:val="32"/>
        </w:rPr>
      </w:pPr>
      <w:r>
        <w:rPr>
          <w:rFonts w:hint="eastAsia" w:eastAsia="仿宋_GB2312"/>
          <w:sz w:val="32"/>
          <w:szCs w:val="32"/>
        </w:rPr>
        <w:t>2025年度本年收入合计</w:t>
      </w:r>
      <w:r>
        <w:rPr>
          <w:rFonts w:eastAsia="仿宋_GB2312"/>
          <w:sz w:val="32"/>
          <w:szCs w:val="32"/>
        </w:rPr>
        <w:t>31859.13</w:t>
      </w:r>
      <w:r>
        <w:rPr>
          <w:rFonts w:hint="eastAsia" w:eastAsia="仿宋_GB2312"/>
          <w:sz w:val="32"/>
          <w:szCs w:val="32"/>
        </w:rPr>
        <w:t>万元，其中：</w:t>
      </w:r>
      <w:r>
        <w:rPr>
          <w:rFonts w:eastAsia="仿宋_GB2312"/>
          <w:sz w:val="32"/>
          <w:szCs w:val="32"/>
        </w:rPr>
        <w:t>年初结转248.22万元，占0.78%；一般公共预算财政拨款收入27102.51万元，占85.06%；政府性基金预算财政拨款收入4000万元，占12.56%；其他收入508.4万元，占1.6%。</w:t>
      </w:r>
    </w:p>
    <w:p>
      <w:pPr>
        <w:adjustRightInd w:val="0"/>
        <w:snapToGrid w:val="0"/>
        <w:spacing w:line="353" w:lineRule="auto"/>
        <w:jc w:val="center"/>
        <w:rPr>
          <w:rFonts w:eastAsia="仿宋_GB2312"/>
          <w:sz w:val="32"/>
          <w:szCs w:val="32"/>
        </w:rPr>
      </w:pPr>
      <w:r>
        <w:rPr>
          <w:rFonts w:eastAsia="仿宋_GB2312"/>
          <w:sz w:val="32"/>
          <w:szCs w:val="32"/>
        </w:rPr>
        <w:t>（图</w:t>
      </w:r>
      <w:r>
        <w:rPr>
          <w:rFonts w:hint="eastAsia" w:eastAsia="仿宋_GB2312"/>
          <w:sz w:val="32"/>
          <w:szCs w:val="32"/>
        </w:rPr>
        <w:t>2</w:t>
      </w:r>
      <w:r>
        <w:rPr>
          <w:rFonts w:eastAsia="仿宋_GB2312"/>
          <w:sz w:val="32"/>
          <w:szCs w:val="32"/>
        </w:rPr>
        <w:t>：</w:t>
      </w:r>
      <w:r>
        <w:rPr>
          <w:rFonts w:hint="eastAsia" w:eastAsia="仿宋_GB2312"/>
          <w:sz w:val="32"/>
          <w:szCs w:val="32"/>
        </w:rPr>
        <w:t>收入决算结构图）（单位：万元）</w:t>
      </w:r>
    </w:p>
    <w:p>
      <w:pPr>
        <w:pStyle w:val="27"/>
        <w:spacing w:line="353" w:lineRule="auto"/>
        <w:jc w:val="left"/>
        <w:outlineLvl w:val="1"/>
        <w:rPr>
          <w:rFonts w:eastAsia="仿宋_GB2312"/>
          <w:sz w:val="32"/>
          <w:szCs w:val="32"/>
        </w:rPr>
      </w:pPr>
      <w:r>
        <w:drawing>
          <wp:inline distT="0" distB="0" distL="114300" distR="114300">
            <wp:extent cx="4370705" cy="2622550"/>
            <wp:effectExtent l="4445" t="5080" r="6350" b="20320"/>
            <wp:docPr id="5" name="图表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6"/>
        <w:spacing w:before="0" w:after="0" w:line="353" w:lineRule="auto"/>
        <w:ind w:firstLine="640" w:firstLineChars="200"/>
        <w:rPr>
          <w:rFonts w:ascii="Times New Roman" w:hAnsi="Times New Roman" w:eastAsia="黑体"/>
          <w:b w:val="0"/>
        </w:rPr>
      </w:pPr>
      <w:bookmarkStart w:id="16" w:name="_Toc15377207"/>
      <w:bookmarkStart w:id="17" w:name="_Toc15396605"/>
      <w:r>
        <w:rPr>
          <w:rFonts w:hint="eastAsia" w:ascii="Times New Roman" w:hAnsi="Times New Roman" w:eastAsia="黑体"/>
          <w:b w:val="0"/>
        </w:rPr>
        <w:t>三、支出决算情况说明</w:t>
      </w:r>
      <w:bookmarkEnd w:id="16"/>
      <w:bookmarkEnd w:id="17"/>
    </w:p>
    <w:p>
      <w:pPr>
        <w:snapToGrid w:val="0"/>
        <w:spacing w:line="520" w:lineRule="exact"/>
        <w:ind w:firstLine="640" w:firstLineChars="200"/>
        <w:rPr>
          <w:rFonts w:eastAsia="仿宋_GB2312"/>
          <w:sz w:val="32"/>
          <w:szCs w:val="32"/>
        </w:rPr>
      </w:pPr>
      <w:r>
        <w:rPr>
          <w:rFonts w:hint="eastAsia" w:eastAsia="仿宋_GB2312"/>
          <w:sz w:val="32"/>
          <w:szCs w:val="32"/>
        </w:rPr>
        <w:t>2025年度本年支出合计</w:t>
      </w:r>
      <w:r>
        <w:rPr>
          <w:rFonts w:eastAsia="仿宋_GB2312"/>
          <w:sz w:val="32"/>
          <w:szCs w:val="32"/>
        </w:rPr>
        <w:t>31659</w:t>
      </w:r>
      <w:r>
        <w:rPr>
          <w:rFonts w:hint="eastAsia" w:eastAsia="仿宋_GB2312"/>
          <w:sz w:val="32"/>
          <w:szCs w:val="32"/>
        </w:rPr>
        <w:t>.01</w:t>
      </w:r>
      <w:r>
        <w:rPr>
          <w:rFonts w:eastAsia="仿宋_GB2312"/>
          <w:sz w:val="32"/>
          <w:szCs w:val="32"/>
        </w:rPr>
        <w:t>万元</w:t>
      </w:r>
      <w:r>
        <w:rPr>
          <w:rFonts w:hint="eastAsia" w:eastAsia="仿宋_GB2312"/>
          <w:sz w:val="32"/>
          <w:szCs w:val="32"/>
        </w:rPr>
        <w:t>，其中：</w:t>
      </w:r>
      <w:r>
        <w:rPr>
          <w:rFonts w:eastAsia="仿宋_GB2312"/>
          <w:sz w:val="32"/>
          <w:szCs w:val="32"/>
        </w:rPr>
        <w:t>基本支出22495.95万元，占本年支出的71.06%；项目支出9163.0</w:t>
      </w:r>
      <w:r>
        <w:rPr>
          <w:rFonts w:hint="eastAsia" w:eastAsia="仿宋_GB2312"/>
          <w:sz w:val="32"/>
          <w:szCs w:val="32"/>
        </w:rPr>
        <w:t>6</w:t>
      </w:r>
      <w:r>
        <w:rPr>
          <w:rFonts w:eastAsia="仿宋_GB2312"/>
          <w:sz w:val="32"/>
          <w:szCs w:val="32"/>
        </w:rPr>
        <w:t>万元，占本年支出28.94%。</w:t>
      </w:r>
    </w:p>
    <w:p>
      <w:pPr>
        <w:pStyle w:val="27"/>
        <w:spacing w:line="353" w:lineRule="auto"/>
        <w:ind w:firstLine="0" w:firstLineChars="0"/>
        <w:jc w:val="center"/>
        <w:outlineLvl w:val="1"/>
        <w:rPr>
          <w:rFonts w:eastAsia="仿宋_GB2312"/>
          <w:sz w:val="32"/>
          <w:szCs w:val="32"/>
        </w:rPr>
      </w:pPr>
      <w:r>
        <w:rPr>
          <w:rFonts w:hint="eastAsia" w:eastAsia="仿宋_GB2312"/>
          <w:sz w:val="32"/>
          <w:szCs w:val="32"/>
        </w:rPr>
        <w:t>（图3：支出决算结构图）（单位：万元）</w:t>
      </w:r>
    </w:p>
    <w:p>
      <w:pPr>
        <w:snapToGrid w:val="0"/>
        <w:ind w:firstLine="420" w:firstLineChars="200"/>
        <w:jc w:val="center"/>
        <w:rPr>
          <w:rFonts w:eastAsia="仿宋_GB2312" w:cs="仿宋_GB2312"/>
          <w:sz w:val="32"/>
          <w:szCs w:val="32"/>
          <w:highlight w:val="yellow"/>
        </w:rPr>
      </w:pPr>
      <w:r>
        <w:drawing>
          <wp:inline distT="0" distB="0" distL="114300" distR="114300">
            <wp:extent cx="3524885" cy="2115185"/>
            <wp:effectExtent l="5080" t="4445" r="13335" b="13970"/>
            <wp:docPr id="6" name="图表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6"/>
        <w:spacing w:before="0" w:after="0" w:line="353" w:lineRule="auto"/>
        <w:ind w:firstLine="640" w:firstLineChars="200"/>
        <w:rPr>
          <w:rFonts w:ascii="Times New Roman" w:hAnsi="Times New Roman" w:eastAsia="黑体"/>
          <w:b w:val="0"/>
        </w:rPr>
      </w:pPr>
      <w:bookmarkStart w:id="18" w:name="_Toc15377208"/>
      <w:bookmarkStart w:id="19" w:name="_Toc15396606"/>
      <w:r>
        <w:rPr>
          <w:rFonts w:hint="eastAsia" w:ascii="Times New Roman" w:hAnsi="Times New Roman" w:eastAsia="黑体"/>
          <w:b w:val="0"/>
        </w:rPr>
        <w:t>四、财政拨款收入支出决算总体情况说明</w:t>
      </w:r>
      <w:bookmarkEnd w:id="18"/>
      <w:bookmarkEnd w:id="19"/>
    </w:p>
    <w:p>
      <w:pPr>
        <w:pStyle w:val="27"/>
        <w:spacing w:line="353" w:lineRule="auto"/>
        <w:ind w:firstLine="640"/>
        <w:outlineLvl w:val="1"/>
        <w:rPr>
          <w:rFonts w:eastAsia="仿宋_GB2312"/>
          <w:sz w:val="32"/>
          <w:szCs w:val="32"/>
          <w:highlight w:val="yellow"/>
        </w:rPr>
      </w:pPr>
      <w:r>
        <w:rPr>
          <w:rFonts w:hint="eastAsia" w:eastAsia="仿宋_GB2312"/>
          <w:sz w:val="32"/>
          <w:szCs w:val="32"/>
        </w:rPr>
        <w:t>2025年度财政拨款收入、支出总计均为31102.51万元。与2024年度相比，财政拨款收入总计、支出总计各增加3479.52万元，增长12.6%。主要变动原因是2025年下达专项债券4000万元用于“</w:t>
      </w:r>
      <w:r>
        <w:rPr>
          <w:rFonts w:eastAsia="仿宋_GB2312"/>
          <w:sz w:val="32"/>
          <w:szCs w:val="32"/>
        </w:rPr>
        <w:t>智能安全系统（天网二期）</w:t>
      </w:r>
      <w:r>
        <w:rPr>
          <w:rFonts w:hint="eastAsia" w:eastAsia="仿宋_GB2312"/>
          <w:sz w:val="32"/>
          <w:szCs w:val="32"/>
        </w:rPr>
        <w:t>”项目，导致项目执行增加。</w:t>
      </w:r>
    </w:p>
    <w:p>
      <w:pPr>
        <w:pStyle w:val="27"/>
        <w:spacing w:line="353" w:lineRule="auto"/>
        <w:ind w:firstLine="640"/>
        <w:outlineLvl w:val="1"/>
        <w:rPr>
          <w:rFonts w:eastAsia="仿宋_GB2312"/>
          <w:sz w:val="32"/>
          <w:szCs w:val="32"/>
        </w:rPr>
      </w:pPr>
      <w:r>
        <w:rPr>
          <w:rFonts w:hint="eastAsia" w:eastAsia="仿宋_GB2312"/>
          <w:sz w:val="32"/>
          <w:szCs w:val="32"/>
        </w:rPr>
        <w:t>（图4：财政拨款收、支决算总计变动情况）（单位：万元）</w:t>
      </w:r>
      <w:bookmarkStart w:id="20" w:name="_Toc15377209"/>
      <w:bookmarkStart w:id="21" w:name="_Toc15396607"/>
    </w:p>
    <w:p>
      <w:pPr>
        <w:ind w:firstLine="420" w:firstLineChars="200"/>
        <w:jc w:val="center"/>
        <w:outlineLvl w:val="1"/>
        <w:rPr>
          <w:rFonts w:eastAsia="黑体"/>
          <w:sz w:val="32"/>
          <w:szCs w:val="32"/>
          <w:highlight w:val="yellow"/>
        </w:rPr>
      </w:pPr>
      <w:r>
        <w:drawing>
          <wp:inline distT="0" distB="0" distL="114300" distR="114300">
            <wp:extent cx="4500880" cy="2426335"/>
            <wp:effectExtent l="4445" t="5080" r="9525" b="698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6"/>
        <w:spacing w:before="0" w:after="0" w:line="353" w:lineRule="auto"/>
        <w:ind w:firstLine="640" w:firstLineChars="200"/>
        <w:rPr>
          <w:rFonts w:ascii="Times New Roman" w:hAnsi="Times New Roman" w:eastAsia="黑体"/>
          <w:b w:val="0"/>
        </w:rPr>
      </w:pPr>
      <w:r>
        <w:rPr>
          <w:rFonts w:hint="eastAsia" w:ascii="Times New Roman" w:hAnsi="Times New Roman" w:eastAsia="黑体"/>
          <w:b w:val="0"/>
        </w:rPr>
        <w:t>五、一般公共预算财政拨款支出决算情况说明</w:t>
      </w:r>
      <w:bookmarkEnd w:id="20"/>
      <w:bookmarkEnd w:id="21"/>
    </w:p>
    <w:p>
      <w:pPr>
        <w:spacing w:line="600" w:lineRule="exact"/>
        <w:ind w:firstLine="643" w:firstLineChars="200"/>
        <w:outlineLvl w:val="2"/>
        <w:rPr>
          <w:rFonts w:eastAsia="楷体_GB2312" w:cs="楷体_GB2312"/>
          <w:b/>
          <w:sz w:val="32"/>
          <w:szCs w:val="32"/>
          <w:highlight w:val="yellow"/>
        </w:rPr>
      </w:pPr>
      <w:bookmarkStart w:id="22" w:name="_Toc15377210"/>
      <w:r>
        <w:rPr>
          <w:rFonts w:hint="eastAsia" w:eastAsia="楷体_GB2312" w:cs="楷体_GB2312"/>
          <w:b/>
          <w:sz w:val="32"/>
          <w:szCs w:val="32"/>
        </w:rPr>
        <w:t>（一）一般公共预算财政拨款支出决算总体情况</w:t>
      </w:r>
      <w:bookmarkEnd w:id="22"/>
    </w:p>
    <w:p>
      <w:pPr>
        <w:pStyle w:val="27"/>
        <w:spacing w:line="353" w:lineRule="auto"/>
        <w:ind w:firstLine="640"/>
        <w:outlineLvl w:val="1"/>
        <w:rPr>
          <w:rFonts w:eastAsia="仿宋_GB2312"/>
          <w:sz w:val="32"/>
          <w:szCs w:val="32"/>
        </w:rPr>
      </w:pPr>
      <w:r>
        <w:rPr>
          <w:rFonts w:hint="eastAsia" w:eastAsia="仿宋_GB2312"/>
          <w:sz w:val="32"/>
          <w:szCs w:val="32"/>
        </w:rPr>
        <w:t>2025年度一般公共预算财政拨款支出27102.51万元，占本年财政拨款支出合计的87.14%。与2024年度相比，一般公共预算财政拨款支出减少421.48万元，下降1.53%。主要原因是：2025年度“丧葬抚恤金”等一般公共预算项目金额减少。</w:t>
      </w:r>
    </w:p>
    <w:p>
      <w:pPr>
        <w:pStyle w:val="27"/>
        <w:spacing w:line="353" w:lineRule="auto"/>
        <w:ind w:firstLine="640"/>
        <w:outlineLvl w:val="1"/>
        <w:rPr>
          <w:rFonts w:eastAsia="仿宋_GB2312"/>
          <w:sz w:val="32"/>
          <w:szCs w:val="32"/>
        </w:rPr>
      </w:pPr>
      <w:r>
        <w:rPr>
          <w:rFonts w:hint="eastAsia" w:eastAsia="仿宋_GB2312"/>
          <w:sz w:val="32"/>
          <w:szCs w:val="32"/>
        </w:rPr>
        <w:t>（图5：一般公共预算财政拨款支出决算变动情况）（单位：万元）</w:t>
      </w:r>
    </w:p>
    <w:p>
      <w:pPr>
        <w:ind w:firstLine="640"/>
        <w:jc w:val="center"/>
        <w:rPr>
          <w:rFonts w:eastAsia="楷体_GB2312" w:cs="楷体_GB2312"/>
          <w:b/>
          <w:sz w:val="32"/>
          <w:szCs w:val="32"/>
          <w:highlight w:val="yellow"/>
        </w:rPr>
      </w:pPr>
      <w:bookmarkStart w:id="23" w:name="_Toc15377211"/>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（二）一般公共预算财政拨款支出决算结构情况</w:t>
      </w:r>
      <w:bookmarkEnd w:id="23"/>
    </w:p>
    <w:p>
      <w:pPr>
        <w:pStyle w:val="27"/>
        <w:spacing w:line="353" w:lineRule="auto"/>
        <w:ind w:firstLine="640"/>
        <w:outlineLvl w:val="1"/>
        <w:rPr>
          <w:rFonts w:eastAsia="仿宋_GB2312"/>
          <w:sz w:val="32"/>
          <w:szCs w:val="32"/>
        </w:rPr>
      </w:pPr>
      <w:r>
        <w:rPr>
          <w:rFonts w:hint="eastAsia" w:eastAsia="仿宋_GB2312"/>
          <w:sz w:val="32"/>
          <w:szCs w:val="32"/>
        </w:rPr>
        <w:t>2025年度一般公共预算财政拨款支出27102.51万元，主要用于以下方面：一般公共服务支出35.38万元，占0.13%；公共安全支出21369.07万元，占78.85%；社会保障和就业支出3464.28万元，占12.78%；卫生健康支出925.49万元，占3.41%；住房保障支出1308.29万元，占4.83%。</w:t>
      </w:r>
    </w:p>
    <w:p>
      <w:pPr>
        <w:pStyle w:val="27"/>
        <w:spacing w:line="353" w:lineRule="auto"/>
        <w:ind w:firstLine="0" w:firstLineChars="0"/>
        <w:jc w:val="center"/>
        <w:outlineLvl w:val="1"/>
        <w:rPr>
          <w:rFonts w:eastAsia="仿宋_GB2312"/>
          <w:sz w:val="32"/>
          <w:szCs w:val="32"/>
        </w:rPr>
      </w:pPr>
      <w:r>
        <w:rPr>
          <w:rFonts w:hint="eastAsia" w:eastAsia="仿宋_GB2312"/>
          <w:sz w:val="32"/>
          <w:szCs w:val="32"/>
        </w:rPr>
        <w:t>（图6：一般公共预算财政拨款支出决算结构）（单位：万元）</w:t>
      </w:r>
      <w:r>
        <w:drawing>
          <wp:inline distT="0" distB="0" distL="114300" distR="114300">
            <wp:extent cx="4119245" cy="2164080"/>
            <wp:effectExtent l="4445" t="4445" r="10160" b="22225"/>
            <wp:docPr id="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ind w:firstLine="640"/>
        <w:jc w:val="center"/>
        <w:rPr>
          <w:highlight w:val="yellow"/>
        </w:rPr>
      </w:pPr>
    </w:p>
    <w:p>
      <w:pPr>
        <w:spacing w:line="600" w:lineRule="exact"/>
        <w:ind w:firstLine="643" w:firstLineChars="200"/>
        <w:outlineLvl w:val="2"/>
        <w:rPr>
          <w:rFonts w:eastAsia="楷体_GB2312" w:cs="楷体_GB2312"/>
          <w:b/>
          <w:sz w:val="32"/>
          <w:szCs w:val="32"/>
          <w:highlight w:val="yellow"/>
        </w:rPr>
      </w:pPr>
      <w:bookmarkStart w:id="24" w:name="_Toc15377212"/>
      <w:r>
        <w:rPr>
          <w:rFonts w:hint="eastAsia" w:eastAsia="楷体_GB2312" w:cs="楷体_GB2312"/>
          <w:b/>
          <w:sz w:val="32"/>
          <w:szCs w:val="32"/>
        </w:rPr>
        <w:t>（三）一般公共预算财政拨款支出决算具体情况</w:t>
      </w:r>
      <w:bookmarkEnd w:id="24"/>
    </w:p>
    <w:p>
      <w:pPr>
        <w:pStyle w:val="27"/>
        <w:spacing w:line="353" w:lineRule="auto"/>
        <w:ind w:firstLine="640"/>
        <w:outlineLvl w:val="1"/>
        <w:rPr>
          <w:rFonts w:eastAsia="仿宋_GB2312"/>
          <w:sz w:val="32"/>
          <w:szCs w:val="32"/>
        </w:rPr>
      </w:pPr>
      <w:bookmarkStart w:id="25" w:name="_Toc15377213"/>
      <w:bookmarkStart w:id="26" w:name="_Toc15378460"/>
      <w:bookmarkStart w:id="27" w:name="_Toc15377444"/>
      <w:r>
        <w:rPr>
          <w:rFonts w:hint="eastAsia" w:eastAsia="仿宋_GB2312"/>
          <w:sz w:val="32"/>
          <w:szCs w:val="32"/>
        </w:rPr>
        <w:t>2025年度一般公共预算财政拨款支出决算数为27102.51万元，完成预算100%。其中：</w:t>
      </w:r>
      <w:bookmarkEnd w:id="25"/>
      <w:bookmarkEnd w:id="26"/>
      <w:bookmarkEnd w:id="27"/>
    </w:p>
    <w:p>
      <w:pPr>
        <w:spacing w:line="600" w:lineRule="exact"/>
        <w:ind w:firstLine="643" w:firstLineChars="200"/>
        <w:rPr>
          <w:rFonts w:eastAsia="仿宋_GB2312"/>
          <w:sz w:val="32"/>
          <w:szCs w:val="32"/>
        </w:rPr>
      </w:pPr>
      <w:r>
        <w:rPr>
          <w:rStyle w:val="17"/>
          <w:rFonts w:hint="eastAsia" w:ascii="仿宋_GB2312" w:hAnsi="仿宋" w:eastAsia="仿宋_GB2312"/>
          <w:bCs/>
          <w:sz w:val="32"/>
          <w:szCs w:val="32"/>
        </w:rPr>
        <w:t>1.一般公共服务（类）组织事务（款）其他组织事务支出（项）:</w:t>
      </w:r>
      <w:r>
        <w:rPr>
          <w:rFonts w:hint="eastAsia" w:eastAsia="仿宋_GB2312"/>
          <w:sz w:val="32"/>
          <w:szCs w:val="32"/>
        </w:rPr>
        <w:t>支出决算为35.38万元，完成预算100%，决算数等于预算数。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2.公共安全支出（类）公安（款）行政运行（项）:</w:t>
      </w:r>
      <w:r>
        <w:rPr>
          <w:rFonts w:hint="eastAsia" w:eastAsia="仿宋_GB2312"/>
          <w:sz w:val="32"/>
          <w:szCs w:val="32"/>
        </w:rPr>
        <w:t xml:space="preserve"> 支出决算为16641.51万元，完成预算100%，决算数等于预算数。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3.公共安全支出（类）公安（款）一般行政管理事务（项）:</w:t>
      </w:r>
      <w:r>
        <w:rPr>
          <w:rFonts w:hint="eastAsia" w:eastAsia="仿宋_GB2312"/>
          <w:sz w:val="32"/>
          <w:szCs w:val="32"/>
        </w:rPr>
        <w:t xml:space="preserve"> 支出决算为2455.89万元，完成预算100%，决算数等于预算数。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 xml:space="preserve">4.公共安全支出（类）公安（款）事业运行（项）: </w:t>
      </w:r>
      <w:r>
        <w:rPr>
          <w:rFonts w:hint="eastAsia" w:eastAsia="仿宋_GB2312"/>
          <w:sz w:val="32"/>
          <w:szCs w:val="32"/>
        </w:rPr>
        <w:t>支出决算为121.09万元，完成预算100%，决算数等于预算数。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5.公共安全支出（类）公安（款）其他公安支出（项）:</w:t>
      </w:r>
      <w:r>
        <w:rPr>
          <w:rFonts w:hint="eastAsia" w:eastAsia="仿宋_GB2312"/>
          <w:sz w:val="32"/>
          <w:szCs w:val="32"/>
        </w:rPr>
        <w:t xml:space="preserve"> 支出决算为2150.57万元，完成预算100%，决算数等于预算数。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6.社会保障和就业支出（类）人力资源和社会保障管理事务（款）其他人力资源和社会保障管理事务支出（项）:</w:t>
      </w:r>
      <w:r>
        <w:rPr>
          <w:rFonts w:hint="eastAsia" w:eastAsia="仿宋_GB2312"/>
          <w:sz w:val="32"/>
          <w:szCs w:val="32"/>
        </w:rPr>
        <w:t xml:space="preserve"> 支出决算为6.4万元，完成预算100%，决算数等于预算数。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7.社会保障和就业支出（类）行政事业单位养老支出（款）行政单位离退休（项）:</w:t>
      </w:r>
      <w:r>
        <w:rPr>
          <w:rFonts w:hint="eastAsia" w:eastAsia="仿宋_GB2312"/>
          <w:sz w:val="32"/>
          <w:szCs w:val="32"/>
        </w:rPr>
        <w:t xml:space="preserve"> 支出决算为1431.95万元，完成预算100%，决算数等于预算数。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 xml:space="preserve">8.社会保障和就业支出（类）行政事业单位养老支出（款）事业单位离退休（项）: </w:t>
      </w:r>
      <w:r>
        <w:rPr>
          <w:rFonts w:hint="eastAsia" w:eastAsia="仿宋_GB2312"/>
          <w:sz w:val="32"/>
          <w:szCs w:val="32"/>
        </w:rPr>
        <w:t>支出决算为35.56万元，完成预算100%，决算数等于预算数。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 xml:space="preserve">9.社会保障和就业支出（类）行政事业单位养老支出（款）机关事业单位基本养老保险缴费支出（项）: </w:t>
      </w:r>
      <w:r>
        <w:rPr>
          <w:rFonts w:hint="eastAsia" w:eastAsia="仿宋_GB2312"/>
          <w:sz w:val="32"/>
          <w:szCs w:val="32"/>
        </w:rPr>
        <w:t>支出决算为1622.03万元，完成预算100%，决算数等于预算数。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 xml:space="preserve">10.社会保障和就业支出（类）行政事业单位养老支出（款）机关事业单位职业年金缴费支出（项）: </w:t>
      </w:r>
      <w:r>
        <w:rPr>
          <w:rFonts w:hint="eastAsia" w:eastAsia="仿宋_GB2312"/>
          <w:sz w:val="32"/>
          <w:szCs w:val="32"/>
        </w:rPr>
        <w:t>支出决算为227.31万元，完成预算100%，决算数等于预算数。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 xml:space="preserve">11.社会保障和就业支出（类）抚恤（款）死亡抚恤（项）: </w:t>
      </w:r>
      <w:r>
        <w:rPr>
          <w:rFonts w:hint="eastAsia" w:eastAsia="仿宋_GB2312"/>
          <w:sz w:val="32"/>
          <w:szCs w:val="32"/>
        </w:rPr>
        <w:t>支出决算为81.02万元，完成预算100%，决算数等于预算数。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 xml:space="preserve">12.社会保障和就业支出（类）抚恤（款）伤残抚恤（项）: </w:t>
      </w:r>
      <w:r>
        <w:rPr>
          <w:rFonts w:hint="eastAsia" w:eastAsia="仿宋_GB2312"/>
          <w:sz w:val="32"/>
          <w:szCs w:val="32"/>
        </w:rPr>
        <w:t>支出决算为60.00万元，完成预算100%，决算数等于预算数。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13.卫生健康支出（类）公共卫生（款）重大公共卫生服务（项）:</w:t>
      </w:r>
      <w:r>
        <w:rPr>
          <w:rFonts w:hint="eastAsia" w:eastAsia="仿宋_GB2312"/>
          <w:sz w:val="32"/>
          <w:szCs w:val="32"/>
        </w:rPr>
        <w:t>支出决算为0.1万元，完成预算100%，决算数等于预算数。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14.卫生健康支出（类）行政事业单位医疗（款）行政单位医疗（项）:</w:t>
      </w:r>
      <w:r>
        <w:rPr>
          <w:rFonts w:hint="eastAsia" w:eastAsia="仿宋_GB2312"/>
          <w:sz w:val="32"/>
          <w:szCs w:val="32"/>
        </w:rPr>
        <w:t>支出决算为834.53万元，完成预算100%，决算数等于预算数。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15.卫生健康支出（类）行政事业单位医疗（款）事业单位医疗（项）:</w:t>
      </w:r>
      <w:r>
        <w:rPr>
          <w:rFonts w:hint="eastAsia" w:eastAsia="仿宋_GB2312"/>
          <w:sz w:val="32"/>
          <w:szCs w:val="32"/>
        </w:rPr>
        <w:t>支出决算为7.07万元，完成预算100%，决算数等于预算数。</w:t>
      </w:r>
    </w:p>
    <w:p>
      <w:pPr>
        <w:pStyle w:val="27"/>
        <w:spacing w:line="353" w:lineRule="auto"/>
        <w:ind w:firstLine="643"/>
        <w:outlineLvl w:val="1"/>
        <w:rPr>
          <w:rFonts w:eastAsia="仿宋_GB2312"/>
          <w:sz w:val="32"/>
          <w:szCs w:val="32"/>
        </w:rPr>
      </w:pPr>
      <w:r>
        <w:rPr>
          <w:rFonts w:hint="eastAsia" w:eastAsia="仿宋_GB2312"/>
          <w:b/>
          <w:bCs/>
          <w:sz w:val="32"/>
          <w:szCs w:val="32"/>
        </w:rPr>
        <w:t>16.卫生健康支出（类）行政事业单位医疗（款）公务员医疗补助（项）:</w:t>
      </w:r>
      <w:r>
        <w:rPr>
          <w:rFonts w:hint="eastAsia" w:eastAsia="仿宋_GB2312"/>
          <w:sz w:val="32"/>
          <w:szCs w:val="32"/>
        </w:rPr>
        <w:t>支出决算为83.79万元，完成预算100%，决算数等于预算数。</w:t>
      </w:r>
    </w:p>
    <w:p>
      <w:pPr>
        <w:pStyle w:val="27"/>
        <w:spacing w:line="353" w:lineRule="auto"/>
        <w:ind w:firstLine="643"/>
        <w:outlineLvl w:val="1"/>
        <w:rPr>
          <w:rFonts w:eastAsia="仿宋_GB2312"/>
          <w:sz w:val="32"/>
          <w:szCs w:val="32"/>
          <w:highlight w:val="yellow"/>
        </w:rPr>
      </w:pPr>
      <w:r>
        <w:rPr>
          <w:rFonts w:hint="eastAsia" w:eastAsia="仿宋_GB2312"/>
          <w:b/>
          <w:bCs/>
          <w:sz w:val="32"/>
          <w:szCs w:val="32"/>
        </w:rPr>
        <w:t>17.住房保障支出（类）住房改革支出（款）住房公积金（项）:</w:t>
      </w:r>
      <w:r>
        <w:rPr>
          <w:rFonts w:hint="eastAsia" w:eastAsia="仿宋_GB2312"/>
          <w:sz w:val="32"/>
          <w:szCs w:val="32"/>
        </w:rPr>
        <w:t>支出决算为1308.29万元，完成预算100%，决算数等于预算数。</w:t>
      </w:r>
      <w:bookmarkStart w:id="28" w:name="_Toc15396608"/>
      <w:bookmarkStart w:id="29" w:name="_Toc15377214"/>
    </w:p>
    <w:p>
      <w:pPr>
        <w:pStyle w:val="6"/>
        <w:spacing w:before="0" w:after="0" w:line="353" w:lineRule="auto"/>
        <w:ind w:firstLine="640" w:firstLineChars="200"/>
        <w:rPr>
          <w:rFonts w:ascii="Times New Roman" w:hAnsi="Times New Roman" w:eastAsia="黑体"/>
          <w:b w:val="0"/>
        </w:rPr>
      </w:pPr>
      <w:r>
        <w:rPr>
          <w:rFonts w:hint="eastAsia" w:ascii="Times New Roman" w:hAnsi="Times New Roman" w:eastAsia="黑体"/>
          <w:b w:val="0"/>
        </w:rPr>
        <w:t>六、一般公共预算财政拨款基本支出决算情况说明</w:t>
      </w:r>
      <w:bookmarkEnd w:id="28"/>
      <w:bookmarkEnd w:id="29"/>
    </w:p>
    <w:p>
      <w:pPr>
        <w:pStyle w:val="27"/>
        <w:spacing w:line="353" w:lineRule="auto"/>
        <w:ind w:firstLine="640"/>
        <w:outlineLvl w:val="1"/>
        <w:rPr>
          <w:rFonts w:eastAsia="仿宋_GB2312"/>
          <w:sz w:val="32"/>
          <w:szCs w:val="32"/>
        </w:rPr>
      </w:pPr>
      <w:r>
        <w:rPr>
          <w:rFonts w:hint="eastAsia" w:eastAsia="仿宋_GB2312"/>
          <w:sz w:val="32"/>
          <w:szCs w:val="32"/>
        </w:rPr>
        <w:t>2025年度一般公共预算财政拨款基本支出22495.95万元，其中：</w:t>
      </w:r>
    </w:p>
    <w:p>
      <w:pPr>
        <w:pStyle w:val="27"/>
        <w:spacing w:line="353" w:lineRule="auto"/>
        <w:ind w:firstLine="640"/>
        <w:outlineLvl w:val="1"/>
        <w:rPr>
          <w:rFonts w:eastAsia="仿宋_GB2312"/>
          <w:sz w:val="32"/>
          <w:szCs w:val="32"/>
        </w:rPr>
      </w:pPr>
      <w:r>
        <w:rPr>
          <w:rFonts w:hint="eastAsia" w:eastAsia="仿宋_GB2312"/>
          <w:sz w:val="32"/>
          <w:szCs w:val="32"/>
        </w:rPr>
        <w:t>人员经费20410.57万元，主要包括：基本工资4138.20万元、津贴补贴4263.94万元、奖金3838.95万元、绩效工资45.53万元、机关事业单位基本养老保险缴费1622.03万元、职业年金缴费227.31万元、职工基本医疗保险缴费841.6万元、公务员医疗补助缴费193.88万元、其他社会保障缴费31.85万元、住房公积金1308.29、其他工资福利支出2379.69万元、离休费17.98万元、抚恤金141.02万元、生活补助1222.05万元、医疗费补助95.86万元、奖励金1.2万元、其他个人和家庭的补助支出41.18万元。</w:t>
      </w:r>
      <w:r>
        <w:rPr>
          <w:rFonts w:hint="eastAsia" w:eastAsia="仿宋_GB2312"/>
          <w:sz w:val="32"/>
          <w:szCs w:val="32"/>
          <w:highlight w:val="yellow"/>
        </w:rPr>
        <w:br w:type="textWrapping"/>
      </w:r>
      <w:r>
        <w:rPr>
          <w:rFonts w:hint="eastAsia" w:eastAsia="仿宋_GB2312"/>
          <w:sz w:val="32"/>
          <w:szCs w:val="32"/>
        </w:rPr>
        <w:t>　　公用经费2085.38万元，主要包括：办公费173.71万元、印刷费3万元、水费15.29万元、电费178.02万元、邮电费40万元、物业管理费79.04万元、差旅费85万元、维修（护）费60.96万元、会议费3.81万元、培训费9.93万元、公务接待费0.9万元、被装购置费43.93万元、劳务费39.99万元、委托业务费24.94万元、工会经费179.84万元、福利费122.26万元、公务用车运行维护费219.32万元、其他交通费666.8万元、其他商品和服务支出138.64万元。</w:t>
      </w:r>
    </w:p>
    <w:p>
      <w:pPr>
        <w:pStyle w:val="6"/>
        <w:spacing w:before="0" w:after="0" w:line="353" w:lineRule="auto"/>
        <w:ind w:firstLine="640" w:firstLineChars="200"/>
        <w:rPr>
          <w:rFonts w:ascii="Times New Roman" w:hAnsi="Times New Roman" w:eastAsia="黑体"/>
          <w:b w:val="0"/>
        </w:rPr>
      </w:pPr>
      <w:bookmarkStart w:id="30" w:name="_Toc15396609"/>
      <w:bookmarkStart w:id="31" w:name="_Toc15377215"/>
      <w:r>
        <w:rPr>
          <w:rFonts w:hint="eastAsia" w:ascii="Times New Roman" w:hAnsi="Times New Roman" w:eastAsia="黑体"/>
          <w:b w:val="0"/>
        </w:rPr>
        <w:t>七、财政拨款“三公”经费支出决算情况说明</w:t>
      </w:r>
      <w:bookmarkEnd w:id="30"/>
      <w:bookmarkEnd w:id="31"/>
    </w:p>
    <w:p>
      <w:pPr>
        <w:spacing w:line="600" w:lineRule="exact"/>
        <w:ind w:firstLine="643" w:firstLineChars="200"/>
        <w:outlineLvl w:val="2"/>
        <w:rPr>
          <w:rFonts w:eastAsia="楷体_GB2312" w:cs="楷体_GB2312"/>
          <w:b/>
          <w:sz w:val="32"/>
          <w:szCs w:val="32"/>
        </w:rPr>
      </w:pPr>
      <w:bookmarkStart w:id="32" w:name="_Toc15377216"/>
      <w:r>
        <w:rPr>
          <w:rFonts w:hint="eastAsia" w:eastAsia="楷体_GB2312" w:cs="楷体_GB2312"/>
          <w:b/>
          <w:sz w:val="32"/>
          <w:szCs w:val="32"/>
        </w:rPr>
        <w:t>（一）财政拨款“三公”经费财政拨款支出决算总体情况说明</w:t>
      </w:r>
      <w:bookmarkEnd w:id="32"/>
    </w:p>
    <w:p>
      <w:pPr>
        <w:pStyle w:val="27"/>
        <w:spacing w:line="353" w:lineRule="auto"/>
        <w:ind w:firstLine="640"/>
        <w:outlineLvl w:val="1"/>
        <w:rPr>
          <w:rFonts w:eastAsia="仿宋_GB2312"/>
          <w:sz w:val="32"/>
          <w:szCs w:val="32"/>
        </w:rPr>
      </w:pPr>
      <w:r>
        <w:rPr>
          <w:rFonts w:hint="eastAsia" w:eastAsia="仿宋_GB2312"/>
          <w:sz w:val="32"/>
          <w:szCs w:val="32"/>
        </w:rPr>
        <w:t>2025年度“三公”经费财政拨款支出决算为220.23万元，完成预算100%，较上年度减少8.94万元，下降3.9%。决算数小于预算数的主要原因是严控三公经费支出。</w:t>
      </w:r>
    </w:p>
    <w:p>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（二）财政拨款“三公”经费财政拨款支出决算具体情况说明</w:t>
      </w:r>
      <w:bookmarkEnd w:id="33"/>
    </w:p>
    <w:p>
      <w:pPr>
        <w:pStyle w:val="27"/>
        <w:spacing w:line="353" w:lineRule="auto"/>
        <w:ind w:firstLine="640"/>
        <w:outlineLvl w:val="1"/>
        <w:rPr>
          <w:rFonts w:eastAsia="仿宋_GB2312"/>
          <w:sz w:val="32"/>
          <w:szCs w:val="32"/>
        </w:rPr>
      </w:pPr>
      <w:r>
        <w:rPr>
          <w:rFonts w:hint="eastAsia" w:eastAsia="仿宋_GB2312"/>
          <w:sz w:val="32"/>
          <w:szCs w:val="32"/>
        </w:rPr>
        <w:t>2025年度“三公”经费财政拨款支出决算中，因公出国（境）费支出决算0万元，占0%；公务用车购置及运行维护费支出决算219.32万元，占99.59%；公务接待费支出决算0.9万元，占0.41%。具体情况如下：</w:t>
      </w:r>
    </w:p>
    <w:p>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（图7：“三公”经费财政拨款支出结构）（单位：万元）</w:t>
      </w:r>
    </w:p>
    <w:p>
      <w:pPr>
        <w:pStyle w:val="2"/>
        <w:jc w:val="center"/>
        <w:rPr>
          <w:rFonts w:eastAsia="仿宋_GB2312" w:cs="仿宋_GB2312"/>
          <w:b/>
          <w:bCs/>
          <w:sz w:val="32"/>
          <w:szCs w:val="32"/>
          <w:highlight w:val="yellow"/>
        </w:rPr>
      </w:pPr>
      <w:r>
        <w:rPr>
          <w:rFonts w:hint="eastAsia"/>
          <w:highlight w:val="yellow"/>
        </w:rPr>
        <w:drawing>
          <wp:inline distT="0" distB="0" distL="114300" distR="114300">
            <wp:extent cx="3510915" cy="2486660"/>
            <wp:effectExtent l="0" t="0" r="13335" b="8890"/>
            <wp:docPr id="12" name="图片 12" descr="政务微信截图_17878239939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政务微信截图_17878239939730"/>
                    <pic:cNvPicPr>
                      <a:picLocks noChangeAspect="1"/>
                    </pic:cNvPicPr>
                  </pic:nvPicPr>
                  <pic:blipFill>
                    <a:blip r:embed="rId17"/>
                    <a:stretch>
                      <a:fillRect/>
                    </a:stretch>
                  </pic:blipFill>
                  <pic:spPr>
                    <a:xfrm>
                      <a:off x="0" y="0"/>
                      <a:ext cx="3510915" cy="2486660"/>
                    </a:xfrm>
                    <a:prstGeom prst="rect">
                      <a:avLst/>
                    </a:prstGeom>
                  </pic:spPr>
                </pic:pic>
              </a:graphicData>
            </a:graphic>
          </wp:inline>
        </w:drawing>
      </w:r>
    </w:p>
    <w:p>
      <w:pPr>
        <w:pStyle w:val="2"/>
      </w:pPr>
    </w:p>
    <w:p>
      <w:pPr>
        <w:spacing w:line="600" w:lineRule="exact"/>
        <w:ind w:firstLine="640"/>
        <w:rPr>
          <w:rFonts w:eastAsia="仿宋_GB2312"/>
          <w:sz w:val="32"/>
          <w:szCs w:val="32"/>
        </w:rPr>
      </w:pPr>
      <w:r>
        <w:rPr>
          <w:rFonts w:hint="eastAsia" w:eastAsia="仿宋_GB2312" w:cs="仿宋_GB2312"/>
          <w:b/>
          <w:bCs/>
          <w:sz w:val="32"/>
          <w:szCs w:val="32"/>
        </w:rPr>
        <w:t>1.因公出国（境）经费支出0万元，完成预算100%。</w:t>
      </w:r>
      <w:r>
        <w:rPr>
          <w:rFonts w:hint="eastAsia" w:eastAsia="仿宋_GB2312"/>
          <w:sz w:val="32"/>
          <w:szCs w:val="32"/>
        </w:rPr>
        <w:t>全年安排因公出国（境）团组0次，出国（境）0人。因公出国（境）支出决算比2024年持平。主要原因是攀枝花市公安局2024年、2025年均未安排因公出国（境），未开支经费，无开支内容。</w:t>
      </w:r>
    </w:p>
    <w:p>
      <w:pPr>
        <w:snapToGrid w:val="0"/>
        <w:spacing w:line="560" w:lineRule="exact"/>
        <w:ind w:firstLine="643" w:firstLineChars="200"/>
        <w:rPr>
          <w:rFonts w:eastAsia="仿宋_GB2312"/>
          <w:sz w:val="32"/>
          <w:szCs w:val="32"/>
          <w:highlight w:val="yellow"/>
        </w:rPr>
      </w:pPr>
      <w:r>
        <w:rPr>
          <w:rFonts w:eastAsia="仿宋_GB2312"/>
          <w:b/>
          <w:bCs/>
          <w:sz w:val="32"/>
          <w:szCs w:val="32"/>
        </w:rPr>
        <w:t>2.公务用车购置及运行维护费支出</w:t>
      </w:r>
      <w:r>
        <w:rPr>
          <w:rFonts w:hint="eastAsia" w:eastAsia="仿宋_GB2312"/>
          <w:b/>
          <w:bCs/>
          <w:sz w:val="32"/>
          <w:szCs w:val="32"/>
        </w:rPr>
        <w:t>219.32</w:t>
      </w:r>
      <w:r>
        <w:rPr>
          <w:rFonts w:eastAsia="仿宋_GB2312"/>
          <w:b/>
          <w:bCs/>
          <w:sz w:val="32"/>
          <w:szCs w:val="32"/>
        </w:rPr>
        <w:t>万元，完成预算100%。</w:t>
      </w:r>
      <w:r>
        <w:rPr>
          <w:rFonts w:hint="eastAsia" w:eastAsia="仿宋_GB2312"/>
          <w:sz w:val="32"/>
          <w:szCs w:val="32"/>
        </w:rPr>
        <w:t>公务用车购置及运行维护费支出决算比2024年度减少6.94万元，下降3.01%。主要原因是</w:t>
      </w:r>
      <w:r>
        <w:rPr>
          <w:rFonts w:eastAsia="仿宋_GB2312"/>
          <w:sz w:val="32"/>
          <w:szCs w:val="32"/>
        </w:rPr>
        <w:t>市局机关厉行节约，对公务用车严格审批程序，使得公务用车运行维护费较上年降低。</w:t>
      </w:r>
    </w:p>
    <w:p>
      <w:pPr>
        <w:pStyle w:val="27"/>
        <w:spacing w:line="353" w:lineRule="auto"/>
        <w:ind w:firstLine="640"/>
        <w:outlineLvl w:val="1"/>
        <w:rPr>
          <w:rFonts w:eastAsia="仿宋_GB2312"/>
          <w:sz w:val="32"/>
          <w:szCs w:val="32"/>
        </w:rPr>
      </w:pPr>
      <w:r>
        <w:rPr>
          <w:rFonts w:hint="eastAsia" w:eastAsia="仿宋_GB2312"/>
          <w:sz w:val="32"/>
          <w:szCs w:val="32"/>
        </w:rPr>
        <w:t>其中：公务用车购置支出0万元。截至2025年12月31日，单位共有公务用车166辆，其中：轿车114辆、越野车31辆、载客汽车6辆、其他车型15辆。</w:t>
      </w:r>
    </w:p>
    <w:p>
      <w:pPr>
        <w:pStyle w:val="27"/>
        <w:spacing w:line="353" w:lineRule="auto"/>
        <w:ind w:firstLine="640"/>
        <w:outlineLvl w:val="1"/>
        <w:rPr>
          <w:rFonts w:eastAsia="仿宋_GB2312"/>
          <w:sz w:val="32"/>
          <w:szCs w:val="32"/>
        </w:rPr>
      </w:pPr>
      <w:r>
        <w:rPr>
          <w:rFonts w:hint="eastAsia" w:eastAsia="仿宋_GB2312"/>
          <w:sz w:val="32"/>
          <w:szCs w:val="32"/>
        </w:rPr>
        <w:t>公务用车运行维护费支出219.32万元。主要用于执法办案、道路交通管理、公务出差等所需的公务用车燃料费、维修费、过路过桥费、保险费等支出。</w:t>
      </w:r>
    </w:p>
    <w:p>
      <w:pPr>
        <w:snapToGrid w:val="0"/>
        <w:spacing w:line="560" w:lineRule="exact"/>
        <w:ind w:firstLine="643" w:firstLineChars="200"/>
        <w:rPr>
          <w:rFonts w:eastAsia="仿宋_GB2312"/>
          <w:sz w:val="32"/>
          <w:szCs w:val="32"/>
        </w:rPr>
      </w:pPr>
      <w:r>
        <w:rPr>
          <w:rFonts w:eastAsia="仿宋_GB2312"/>
          <w:b/>
          <w:bCs/>
          <w:sz w:val="32"/>
          <w:szCs w:val="32"/>
        </w:rPr>
        <w:t>3.公务接待费支出</w:t>
      </w:r>
      <w:r>
        <w:rPr>
          <w:rFonts w:hint="eastAsia" w:eastAsia="仿宋_GB2312"/>
          <w:b/>
          <w:bCs/>
          <w:sz w:val="32"/>
          <w:szCs w:val="32"/>
        </w:rPr>
        <w:t>0.9</w:t>
      </w:r>
      <w:r>
        <w:rPr>
          <w:rFonts w:eastAsia="仿宋_GB2312"/>
          <w:b/>
          <w:bCs/>
          <w:sz w:val="32"/>
          <w:szCs w:val="32"/>
        </w:rPr>
        <w:t>万元，完成预算100%。</w:t>
      </w:r>
      <w:r>
        <w:rPr>
          <w:rFonts w:hint="eastAsia" w:eastAsia="仿宋_GB2312"/>
          <w:sz w:val="32"/>
          <w:szCs w:val="32"/>
        </w:rPr>
        <w:t>公务接待费支出决算比2024年度减少2万元，</w:t>
      </w:r>
      <w:r>
        <w:rPr>
          <w:rFonts w:eastAsia="仿宋_GB2312"/>
          <w:sz w:val="32"/>
          <w:szCs w:val="32"/>
        </w:rPr>
        <w:t>下降68.97%</w:t>
      </w:r>
      <w:r>
        <w:rPr>
          <w:rFonts w:hint="eastAsia" w:eastAsia="仿宋_GB2312"/>
          <w:sz w:val="32"/>
          <w:szCs w:val="32"/>
        </w:rPr>
        <w:t>。主要原因是</w:t>
      </w:r>
      <w:r>
        <w:rPr>
          <w:rFonts w:eastAsia="仿宋_GB2312"/>
          <w:sz w:val="32"/>
          <w:szCs w:val="32"/>
        </w:rPr>
        <w:t>严格控制公务接待费用的管理和支出。</w:t>
      </w:r>
    </w:p>
    <w:p>
      <w:pPr>
        <w:pStyle w:val="27"/>
        <w:spacing w:line="353" w:lineRule="auto"/>
        <w:ind w:firstLine="640"/>
        <w:outlineLvl w:val="1"/>
        <w:rPr>
          <w:rFonts w:eastAsia="仿宋_GB2312"/>
          <w:sz w:val="32"/>
          <w:szCs w:val="32"/>
          <w:highlight w:val="yellow"/>
        </w:rPr>
      </w:pPr>
      <w:r>
        <w:rPr>
          <w:rFonts w:hint="eastAsia" w:eastAsia="仿宋_GB2312"/>
          <w:sz w:val="32"/>
          <w:szCs w:val="32"/>
        </w:rPr>
        <w:t>国内公务接待支出0.9万元，主要用于执行公务、开展业务活动开支的用餐费。国内公务接待6批次，54人次（不包括陪同人员），共计支出0.9万元，具体内容包括：接待遂宁市公安局交流学习0.31万元；接待巴中市公安局交流学习0.1万元；接待射洪市公安局赴攀考察0.1万元；接待科通总队调研0.19万元元，接待省厅来攀调研0.1万元；接待刑警学院赴攀考察0.1元。外事接待支出0万元，</w:t>
      </w:r>
      <w:bookmarkStart w:id="34" w:name="_Toc15396610"/>
      <w:bookmarkStart w:id="35" w:name="_Toc15377218"/>
      <w:r>
        <w:rPr>
          <w:rFonts w:hint="eastAsia" w:eastAsia="仿宋_GB2312"/>
          <w:sz w:val="32"/>
          <w:szCs w:val="32"/>
        </w:rPr>
        <w:t>外事接待0批次，0人次（不包括陪同人员），共计支出0万元。</w:t>
      </w:r>
    </w:p>
    <w:p>
      <w:pPr>
        <w:pStyle w:val="6"/>
        <w:spacing w:before="0" w:after="0" w:line="353" w:lineRule="auto"/>
        <w:ind w:firstLine="640" w:firstLineChars="200"/>
        <w:rPr>
          <w:rFonts w:ascii="Times New Roman" w:hAnsi="Times New Roman" w:eastAsia="黑体"/>
          <w:b w:val="0"/>
        </w:rPr>
      </w:pPr>
      <w:r>
        <w:rPr>
          <w:rFonts w:hint="eastAsia" w:ascii="Times New Roman" w:hAnsi="Times New Roman" w:eastAsia="黑体"/>
          <w:b w:val="0"/>
        </w:rPr>
        <w:t>八、政府性基金预算支出决算情况说明</w:t>
      </w:r>
      <w:bookmarkEnd w:id="34"/>
      <w:bookmarkEnd w:id="35"/>
    </w:p>
    <w:p>
      <w:pPr>
        <w:spacing w:line="353" w:lineRule="auto"/>
        <w:ind w:firstLine="640" w:firstLineChars="200"/>
        <w:rPr>
          <w:rFonts w:eastAsia="仿宋_GB2312"/>
          <w:sz w:val="32"/>
          <w:szCs w:val="32"/>
          <w:highlight w:val="yellow"/>
        </w:rPr>
      </w:pPr>
      <w:r>
        <w:rPr>
          <w:rFonts w:hint="eastAsia" w:eastAsia="仿宋_GB2312"/>
          <w:sz w:val="32"/>
          <w:szCs w:val="32"/>
        </w:rPr>
        <w:t>2025年度政府性基金预算财政拨款支出4000万元，占本年支出合计的12.56%。与2024年度相比，政府性基金预算财政拨款支出增加3901万元，增长3940.4%。主要变动原因是2025年下达专项债券4000万元用于“</w:t>
      </w:r>
      <w:r>
        <w:rPr>
          <w:rFonts w:eastAsia="仿宋_GB2312"/>
          <w:sz w:val="32"/>
          <w:szCs w:val="32"/>
        </w:rPr>
        <w:t>智能安全系统（天网二期）</w:t>
      </w:r>
      <w:r>
        <w:rPr>
          <w:rFonts w:hint="eastAsia" w:eastAsia="仿宋_GB2312"/>
          <w:sz w:val="32"/>
          <w:szCs w:val="32"/>
        </w:rPr>
        <w:t>”项目，导致项目执行增加。</w:t>
      </w:r>
    </w:p>
    <w:p>
      <w:pPr>
        <w:pStyle w:val="6"/>
        <w:spacing w:before="0" w:after="0" w:line="353" w:lineRule="auto"/>
        <w:ind w:firstLine="640" w:firstLineChars="200"/>
        <w:rPr>
          <w:rFonts w:ascii="Times New Roman" w:hAnsi="Times New Roman" w:eastAsia="黑体"/>
          <w:b w:val="0"/>
        </w:rPr>
      </w:pPr>
      <w:bookmarkStart w:id="36" w:name="_Toc15377219"/>
      <w:bookmarkStart w:id="37" w:name="_Toc15396611"/>
      <w:r>
        <w:rPr>
          <w:rFonts w:hint="eastAsia" w:ascii="Times New Roman" w:hAnsi="Times New Roman" w:eastAsia="黑体"/>
          <w:b w:val="0"/>
        </w:rPr>
        <w:t>九、国有资本经营预算支出决算情况说明</w:t>
      </w:r>
      <w:bookmarkEnd w:id="36"/>
      <w:bookmarkEnd w:id="37"/>
    </w:p>
    <w:p>
      <w:pPr>
        <w:pStyle w:val="27"/>
        <w:spacing w:line="353" w:lineRule="auto"/>
        <w:ind w:firstLine="640"/>
        <w:outlineLvl w:val="1"/>
        <w:rPr>
          <w:rFonts w:eastAsia="仿宋_GB2312"/>
          <w:sz w:val="32"/>
          <w:szCs w:val="32"/>
        </w:rPr>
      </w:pPr>
      <w:r>
        <w:rPr>
          <w:rFonts w:hint="eastAsia" w:eastAsia="仿宋_GB2312"/>
          <w:sz w:val="32"/>
          <w:szCs w:val="32"/>
        </w:rPr>
        <w:t>2025年度国有资本经营预算财政拨款支出0万元，占本年支出合计的0%。与2024年度相比，国有资本经营预算财政拨款支出持平，均为0万元。</w:t>
      </w:r>
    </w:p>
    <w:p>
      <w:pPr>
        <w:pStyle w:val="6"/>
        <w:spacing w:before="0" w:after="0" w:line="353" w:lineRule="auto"/>
        <w:ind w:firstLine="640" w:firstLineChars="200"/>
        <w:rPr>
          <w:rFonts w:ascii="Times New Roman" w:hAnsi="Times New Roman" w:eastAsia="黑体"/>
          <w:b w:val="0"/>
        </w:rPr>
      </w:pPr>
      <w:bookmarkStart w:id="38" w:name="_Toc15377221"/>
      <w:bookmarkStart w:id="39" w:name="_Toc15396612"/>
      <w:r>
        <w:rPr>
          <w:rFonts w:hint="eastAsia" w:ascii="Times New Roman" w:hAnsi="Times New Roman" w:eastAsia="黑体"/>
          <w:b w:val="0"/>
        </w:rPr>
        <w:t>十、其他重要事项的情况说明</w:t>
      </w:r>
      <w:bookmarkEnd w:id="38"/>
      <w:bookmarkEnd w:id="39"/>
    </w:p>
    <w:p>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pPr>
        <w:pStyle w:val="27"/>
        <w:spacing w:line="353" w:lineRule="auto"/>
        <w:ind w:firstLine="640"/>
        <w:outlineLvl w:val="1"/>
        <w:rPr>
          <w:rFonts w:eastAsia="仿宋_GB2312"/>
          <w:sz w:val="32"/>
          <w:szCs w:val="32"/>
        </w:rPr>
      </w:pPr>
      <w:r>
        <w:rPr>
          <w:rFonts w:hint="eastAsia" w:eastAsia="仿宋_GB2312"/>
          <w:sz w:val="32"/>
          <w:szCs w:val="32"/>
        </w:rPr>
        <w:t>2025年度，四川省攀枝花市公安局（本级）机关运行经费支出2085.38万元，比2024年度增加21.55万元，增长1.04%。主要原因是机关运维办公成本增加、部门老化设备维修频次增加导致机关运维经费增长。</w:t>
      </w:r>
    </w:p>
    <w:p>
      <w:pPr>
        <w:spacing w:line="600" w:lineRule="exact"/>
        <w:ind w:firstLine="643" w:firstLineChars="200"/>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pPr>
        <w:pStyle w:val="27"/>
        <w:spacing w:line="353" w:lineRule="auto"/>
        <w:ind w:firstLine="640"/>
        <w:outlineLvl w:val="1"/>
        <w:rPr>
          <w:rFonts w:eastAsia="仿宋_GB2312"/>
          <w:sz w:val="32"/>
          <w:szCs w:val="32"/>
        </w:rPr>
      </w:pPr>
      <w:r>
        <w:rPr>
          <w:rFonts w:hint="eastAsia" w:eastAsia="仿宋_GB2312"/>
          <w:sz w:val="32"/>
          <w:szCs w:val="32"/>
        </w:rPr>
        <w:t>2025年度，四川省攀枝花市公安局（本级）政府采购支出总额2821.23万元，其中：政府采购货物支出1271.31万元、政府采购工程支出489.3万元、政府采购服务支出1060.62万元。主要用于办公设备、专用设备、信息软件、物业管理服务等的购置。授予中小企业合同金额2454.82万元，占政府采购支出总额的87.01%，其中：授予小微企业合同金额2316.39万元，占政府采购支出总额的82.11%。</w:t>
      </w:r>
    </w:p>
    <w:p>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rPr>
        <w:t>（三）国有资产占有使用情况</w:t>
      </w:r>
      <w:bookmarkEnd w:id="42"/>
    </w:p>
    <w:p>
      <w:pPr>
        <w:pStyle w:val="27"/>
        <w:spacing w:line="353" w:lineRule="auto"/>
        <w:ind w:firstLine="640"/>
        <w:outlineLvl w:val="1"/>
        <w:rPr>
          <w:rFonts w:eastAsia="仿宋_GB2312"/>
          <w:sz w:val="32"/>
          <w:szCs w:val="32"/>
        </w:rPr>
      </w:pPr>
      <w:r>
        <w:rPr>
          <w:rFonts w:hint="eastAsia" w:eastAsia="仿宋_GB2312"/>
          <w:sz w:val="32"/>
          <w:szCs w:val="32"/>
        </w:rPr>
        <w:t>截至2025年12月31日，四川省攀枝花市公安局（本级）共有车辆166辆，其中：主要领导干部用车0辆、机要通信用车0辆、应急保障用车1辆、执法执勤用车156辆、特种专业技术用车8辆、其他用车1辆，其他用车主要是用于保障应急通讯（动中通）。单价100万元以上专用设备0台（套）。</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firstLineChars="200"/>
        <w:rPr>
          <w:rFonts w:eastAsia="仿宋_GB2312"/>
          <w:sz w:val="32"/>
          <w:szCs w:val="32"/>
        </w:rPr>
      </w:pPr>
      <w:r>
        <w:rPr>
          <w:rFonts w:hint="eastAsia" w:eastAsia="仿宋_GB2312"/>
          <w:sz w:val="32"/>
          <w:szCs w:val="32"/>
        </w:rPr>
        <w:t>根据预算绩效管理要求，本单位在2025年度，组织对</w:t>
      </w:r>
      <w:r>
        <w:rPr>
          <w:rFonts w:eastAsia="仿宋_GB2312"/>
          <w:sz w:val="32"/>
          <w:szCs w:val="32"/>
        </w:rPr>
        <w:t>拘押收教场所运转经费（含安防系统租赁）</w:t>
      </w:r>
      <w:r>
        <w:rPr>
          <w:rFonts w:hint="eastAsia" w:eastAsia="仿宋_GB2312"/>
          <w:sz w:val="32"/>
          <w:szCs w:val="32"/>
        </w:rPr>
        <w:t>、</w:t>
      </w:r>
      <w:r>
        <w:rPr>
          <w:rFonts w:eastAsia="仿宋_GB2312"/>
          <w:sz w:val="32"/>
          <w:szCs w:val="32"/>
        </w:rPr>
        <w:t>入住政务中心单位租金、物业费及水电费</w:t>
      </w:r>
      <w:r>
        <w:rPr>
          <w:rFonts w:hint="eastAsia" w:eastAsia="仿宋_GB2312"/>
          <w:sz w:val="32"/>
          <w:szCs w:val="32"/>
        </w:rPr>
        <w:t>、</w:t>
      </w:r>
      <w:r>
        <w:rPr>
          <w:rFonts w:eastAsia="仿宋_GB2312"/>
          <w:sz w:val="32"/>
          <w:szCs w:val="32"/>
        </w:rPr>
        <w:t>天网一期升级改造及设计服务</w:t>
      </w:r>
      <w:r>
        <w:rPr>
          <w:rFonts w:hint="eastAsia" w:eastAsia="仿宋_GB2312"/>
          <w:sz w:val="32"/>
          <w:szCs w:val="32"/>
        </w:rPr>
        <w:t>、</w:t>
      </w:r>
      <w:r>
        <w:rPr>
          <w:rFonts w:eastAsia="仿宋_GB2312"/>
          <w:sz w:val="32"/>
          <w:szCs w:val="32"/>
        </w:rPr>
        <w:t>攀枝花市智能安全系统（天网二期租赁费）</w:t>
      </w:r>
      <w:r>
        <w:rPr>
          <w:rFonts w:hint="eastAsia" w:eastAsia="仿宋_GB2312"/>
          <w:sz w:val="32"/>
          <w:szCs w:val="32"/>
        </w:rPr>
        <w:t>等12个项目形成了专项项目报告。</w:t>
      </w:r>
      <w:r>
        <w:rPr>
          <w:rFonts w:eastAsia="仿宋_GB2312"/>
          <w:sz w:val="32"/>
          <w:szCs w:val="32"/>
        </w:rPr>
        <w:t>涉及</w:t>
      </w:r>
      <w:r>
        <w:rPr>
          <w:rFonts w:hint="eastAsia" w:eastAsia="仿宋_GB2312"/>
          <w:sz w:val="32"/>
          <w:szCs w:val="32"/>
        </w:rPr>
        <w:t>金额</w:t>
      </w:r>
      <w:r>
        <w:rPr>
          <w:rFonts w:eastAsia="仿宋_GB2312"/>
          <w:sz w:val="32"/>
          <w:szCs w:val="32"/>
        </w:rPr>
        <w:t>8606.66万元</w:t>
      </w:r>
      <w:r>
        <w:rPr>
          <w:rFonts w:hint="eastAsia" w:eastAsia="仿宋_GB2312"/>
          <w:sz w:val="32"/>
          <w:szCs w:val="32"/>
        </w:rPr>
        <w:t>开展了事前绩效评估，对12个项目编制了绩效目标，预算执行中，选取12个项目开展绩效监控，其中2个涉密项目未公开（部门预算项目支出绩效自评表详见附表）。</w:t>
      </w:r>
    </w:p>
    <w:p>
      <w:pPr>
        <w:pStyle w:val="27"/>
        <w:spacing w:line="353" w:lineRule="auto"/>
        <w:ind w:firstLine="640"/>
        <w:outlineLvl w:val="1"/>
        <w:rPr>
          <w:rFonts w:eastAsia="仿宋_GB2312"/>
          <w:sz w:val="32"/>
          <w:szCs w:val="32"/>
          <w:highlight w:val="yellow"/>
        </w:rPr>
      </w:pPr>
    </w:p>
    <w:p>
      <w:pPr>
        <w:pStyle w:val="5"/>
        <w:spacing w:before="0" w:after="0" w:line="300" w:lineRule="auto"/>
        <w:jc w:val="center"/>
        <w:rPr>
          <w:rFonts w:ascii="方正小标宋_GBK" w:hAnsi="方正小标宋_GBK" w:eastAsia="方正小标宋_GBK" w:cs="方正小标宋_GBK"/>
          <w:b w:val="0"/>
        </w:rPr>
      </w:pPr>
      <w:bookmarkStart w:id="43" w:name="_Toc15396613"/>
      <w:bookmarkStart w:id="44" w:name="_Toc15377225"/>
      <w:r>
        <w:rPr>
          <w:rFonts w:hint="eastAsia" w:ascii="方正小标宋_GBK" w:hAnsi="方正小标宋_GBK" w:eastAsia="方正小标宋_GBK" w:cs="方正小标宋_GBK"/>
          <w:b w:val="0"/>
        </w:rPr>
        <w:t>第三部分名词解释</w:t>
      </w:r>
      <w:bookmarkEnd w:id="43"/>
      <w:bookmarkEnd w:id="44"/>
    </w:p>
    <w:p>
      <w:pPr>
        <w:spacing w:line="600" w:lineRule="exact"/>
        <w:jc w:val="left"/>
        <w:rPr>
          <w:b/>
          <w:sz w:val="44"/>
          <w:szCs w:val="44"/>
          <w:highlight w:val="yellow"/>
        </w:rPr>
      </w:pPr>
    </w:p>
    <w:p>
      <w:pPr>
        <w:spacing w:line="600" w:lineRule="exact"/>
        <w:ind w:firstLine="640"/>
        <w:rPr>
          <w:rFonts w:eastAsia="仿宋_GB2312"/>
          <w:sz w:val="32"/>
          <w:szCs w:val="32"/>
        </w:rPr>
      </w:pPr>
      <w:r>
        <w:rPr>
          <w:rFonts w:eastAsia="仿宋_GB2312"/>
          <w:sz w:val="32"/>
          <w:szCs w:val="32"/>
        </w:rPr>
        <w:t>1.财政拨款收入：指单位从同级财政部门取得的财政预算资金。</w:t>
      </w:r>
    </w:p>
    <w:p>
      <w:pPr>
        <w:spacing w:line="600" w:lineRule="exact"/>
        <w:ind w:firstLine="640"/>
        <w:rPr>
          <w:rFonts w:eastAsia="仿宋_GB2312"/>
          <w:sz w:val="32"/>
          <w:szCs w:val="32"/>
        </w:rPr>
      </w:pPr>
      <w:r>
        <w:rPr>
          <w:rFonts w:eastAsia="仿宋_GB2312"/>
          <w:sz w:val="32"/>
          <w:szCs w:val="32"/>
        </w:rPr>
        <w:t>2.事业收入：指事业单位开展专业业务活动及辅助活动取得的收入。</w:t>
      </w:r>
    </w:p>
    <w:p>
      <w:pPr>
        <w:spacing w:line="600" w:lineRule="exact"/>
        <w:ind w:firstLine="640"/>
        <w:rPr>
          <w:rFonts w:eastAsia="仿宋_GB2312"/>
          <w:sz w:val="32"/>
          <w:szCs w:val="32"/>
        </w:rPr>
      </w:pPr>
      <w:r>
        <w:rPr>
          <w:rFonts w:eastAsia="仿宋_GB2312"/>
          <w:sz w:val="32"/>
          <w:szCs w:val="32"/>
        </w:rPr>
        <w:t>3.经营收入：指事业单位在专业业务活动及其辅助活动之外开展非独立核算经营活动取得的收入。</w:t>
      </w:r>
    </w:p>
    <w:p>
      <w:pPr>
        <w:spacing w:line="600" w:lineRule="exact"/>
        <w:ind w:firstLine="640"/>
        <w:rPr>
          <w:rFonts w:eastAsia="仿宋_GB2312"/>
          <w:sz w:val="32"/>
          <w:szCs w:val="32"/>
        </w:rPr>
      </w:pPr>
      <w:r>
        <w:rPr>
          <w:rFonts w:eastAsia="仿宋_GB2312"/>
          <w:sz w:val="32"/>
          <w:szCs w:val="32"/>
        </w:rPr>
        <w:t xml:space="preserve">4.其他收入：指单位取得的除上述收入以外的各项收入。主要是园区辅警经费等。 </w:t>
      </w:r>
    </w:p>
    <w:p>
      <w:pPr>
        <w:spacing w:line="600" w:lineRule="exact"/>
        <w:ind w:firstLine="640"/>
        <w:rPr>
          <w:rFonts w:eastAsia="仿宋_GB2312"/>
          <w:sz w:val="32"/>
          <w:szCs w:val="32"/>
        </w:rPr>
      </w:pPr>
      <w:r>
        <w:rPr>
          <w:rFonts w:eastAsia="仿宋_GB2312"/>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sz w:val="32"/>
          <w:szCs w:val="32"/>
        </w:rPr>
      </w:pPr>
      <w:r>
        <w:rPr>
          <w:rFonts w:eastAsia="仿宋_GB2312"/>
          <w:sz w:val="32"/>
          <w:szCs w:val="32"/>
        </w:rPr>
        <w:t xml:space="preserve">6.年初结转和结余：指以前年度尚未完成、结转到本年按有关规定继续使用的资金。 </w:t>
      </w:r>
    </w:p>
    <w:p>
      <w:pPr>
        <w:spacing w:line="600" w:lineRule="exact"/>
        <w:ind w:firstLine="640"/>
        <w:rPr>
          <w:rFonts w:eastAsia="仿宋_GB2312"/>
          <w:sz w:val="32"/>
          <w:szCs w:val="32"/>
        </w:rPr>
      </w:pPr>
      <w:r>
        <w:rPr>
          <w:rFonts w:eastAsia="仿宋_GB2312"/>
          <w:sz w:val="32"/>
          <w:szCs w:val="32"/>
        </w:rPr>
        <w:t>7.结余分配：指事业单位按照会计制度规定缴纳的所得税、提取的专用结余以及转入非财政拨款结余的金额等。</w:t>
      </w:r>
    </w:p>
    <w:p>
      <w:pPr>
        <w:spacing w:line="600" w:lineRule="exact"/>
        <w:ind w:firstLine="640"/>
        <w:rPr>
          <w:rFonts w:eastAsia="仿宋_GB2312"/>
          <w:sz w:val="32"/>
          <w:szCs w:val="32"/>
        </w:rPr>
      </w:pPr>
      <w:r>
        <w:rPr>
          <w:rFonts w:eastAsia="仿宋_GB2312"/>
          <w:sz w:val="32"/>
          <w:szCs w:val="32"/>
        </w:rPr>
        <w:t>8.年末结转和结余：指单位按有关规定结转到下年或以后年度继续使用的资金。</w:t>
      </w:r>
    </w:p>
    <w:p>
      <w:pPr>
        <w:pStyle w:val="26"/>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auto"/>
          <w:kern w:val="2"/>
          <w:sz w:val="32"/>
          <w:szCs w:val="32"/>
        </w:rPr>
        <w:t>9.公共安全支出</w:t>
      </w:r>
      <w:r>
        <w:rPr>
          <w:rFonts w:hint="eastAsia" w:ascii="Times New Roman" w:hAnsi="Times New Roman" w:eastAsia="仿宋_GB2312" w:cs="Times New Roman"/>
          <w:color w:val="auto"/>
          <w:kern w:val="2"/>
          <w:sz w:val="32"/>
          <w:szCs w:val="32"/>
        </w:rPr>
        <w:t>—</w:t>
      </w:r>
      <w:r>
        <w:rPr>
          <w:rFonts w:ascii="Times New Roman" w:hAnsi="Times New Roman" w:eastAsia="仿宋_GB2312" w:cs="Times New Roman"/>
          <w:color w:val="auto"/>
          <w:kern w:val="2"/>
          <w:sz w:val="32"/>
          <w:szCs w:val="32"/>
        </w:rPr>
        <w:t>公安</w:t>
      </w:r>
      <w:r>
        <w:rPr>
          <w:rFonts w:hint="eastAsia" w:ascii="Times New Roman" w:hAnsi="Times New Roman" w:eastAsia="仿宋_GB2312" w:cs="Times New Roman"/>
          <w:color w:val="auto"/>
          <w:kern w:val="2"/>
          <w:sz w:val="32"/>
          <w:szCs w:val="32"/>
        </w:rPr>
        <w:t>—</w:t>
      </w:r>
      <w:r>
        <w:rPr>
          <w:rFonts w:ascii="Times New Roman" w:hAnsi="Times New Roman" w:eastAsia="仿宋_GB2312" w:cs="Times New Roman"/>
          <w:color w:val="auto"/>
          <w:kern w:val="2"/>
          <w:sz w:val="32"/>
          <w:szCs w:val="32"/>
        </w:rPr>
        <w:t>行政运行：</w:t>
      </w:r>
      <w:r>
        <w:rPr>
          <w:rFonts w:ascii="Times New Roman" w:hAnsi="Times New Roman" w:eastAsia="仿宋_GB2312" w:cs="Times New Roman"/>
          <w:sz w:val="32"/>
          <w:szCs w:val="32"/>
        </w:rPr>
        <w:t>反映行政单位（包括实行公务员管理的事业单位）的基本支出。</w:t>
      </w:r>
    </w:p>
    <w:p>
      <w:pPr>
        <w:pStyle w:val="26"/>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auto"/>
          <w:kern w:val="2"/>
          <w:sz w:val="32"/>
          <w:szCs w:val="32"/>
        </w:rPr>
        <w:t>10.公共安全支出</w:t>
      </w:r>
      <w:r>
        <w:rPr>
          <w:rFonts w:hint="eastAsia" w:ascii="Times New Roman" w:hAnsi="Times New Roman" w:eastAsia="仿宋_GB2312" w:cs="Times New Roman"/>
          <w:color w:val="auto"/>
          <w:kern w:val="2"/>
          <w:sz w:val="32"/>
          <w:szCs w:val="32"/>
        </w:rPr>
        <w:t>—</w:t>
      </w:r>
      <w:r>
        <w:rPr>
          <w:rFonts w:ascii="Times New Roman" w:hAnsi="Times New Roman" w:eastAsia="仿宋_GB2312" w:cs="Times New Roman"/>
          <w:color w:val="auto"/>
          <w:kern w:val="2"/>
          <w:sz w:val="32"/>
          <w:szCs w:val="32"/>
        </w:rPr>
        <w:t>公安</w:t>
      </w:r>
      <w:r>
        <w:rPr>
          <w:rFonts w:hint="eastAsia" w:ascii="Times New Roman" w:hAnsi="Times New Roman" w:eastAsia="仿宋_GB2312" w:cs="Times New Roman"/>
          <w:color w:val="auto"/>
          <w:kern w:val="2"/>
          <w:sz w:val="32"/>
          <w:szCs w:val="32"/>
        </w:rPr>
        <w:t>—</w:t>
      </w:r>
      <w:r>
        <w:rPr>
          <w:rFonts w:ascii="Times New Roman" w:hAnsi="Times New Roman" w:eastAsia="仿宋_GB2312" w:cs="Times New Roman"/>
          <w:color w:val="auto"/>
          <w:kern w:val="2"/>
          <w:sz w:val="32"/>
          <w:szCs w:val="32"/>
        </w:rPr>
        <w:t>一般行政管理事务：</w:t>
      </w:r>
      <w:r>
        <w:rPr>
          <w:rFonts w:ascii="Times New Roman" w:hAnsi="Times New Roman" w:eastAsia="仿宋_GB2312" w:cs="Times New Roman"/>
          <w:sz w:val="32"/>
          <w:szCs w:val="32"/>
        </w:rPr>
        <w:t>反映行政单位（包括实行公务员管理的事业单位）未单独设置项级科目的其他项目支出。</w:t>
      </w:r>
    </w:p>
    <w:p>
      <w:pPr>
        <w:rPr>
          <w:rFonts w:eastAsia="仿宋_GB2312"/>
          <w:color w:val="000000"/>
          <w:kern w:val="0"/>
          <w:sz w:val="32"/>
          <w:szCs w:val="32"/>
        </w:rPr>
      </w:pPr>
      <w:r>
        <w:rPr>
          <w:rFonts w:eastAsia="仿宋_GB2312"/>
          <w:sz w:val="32"/>
          <w:szCs w:val="32"/>
        </w:rPr>
        <w:t xml:space="preserve">    11.公共安全支出</w:t>
      </w:r>
      <w:r>
        <w:rPr>
          <w:rFonts w:hint="eastAsia" w:eastAsia="仿宋_GB2312"/>
          <w:sz w:val="32"/>
          <w:szCs w:val="32"/>
        </w:rPr>
        <w:t>—</w:t>
      </w:r>
      <w:r>
        <w:rPr>
          <w:rFonts w:eastAsia="仿宋_GB2312"/>
          <w:sz w:val="32"/>
          <w:szCs w:val="32"/>
        </w:rPr>
        <w:t>公安</w:t>
      </w:r>
      <w:r>
        <w:rPr>
          <w:rFonts w:hint="eastAsia" w:eastAsia="仿宋_GB2312"/>
          <w:sz w:val="32"/>
          <w:szCs w:val="32"/>
        </w:rPr>
        <w:t>—</w:t>
      </w:r>
      <w:r>
        <w:rPr>
          <w:rFonts w:eastAsia="仿宋_GB2312"/>
          <w:sz w:val="32"/>
          <w:szCs w:val="32"/>
        </w:rPr>
        <w:t>事业运行：</w:t>
      </w:r>
      <w:r>
        <w:rPr>
          <w:rFonts w:eastAsia="仿宋_GB2312"/>
          <w:color w:val="000000"/>
          <w:kern w:val="0"/>
          <w:sz w:val="32"/>
          <w:szCs w:val="32"/>
        </w:rPr>
        <w:t>反映事业单位的基本支出。</w:t>
      </w:r>
    </w:p>
    <w:p>
      <w:pPr>
        <w:ind w:firstLine="645"/>
        <w:rPr>
          <w:rFonts w:eastAsia="仿宋_GB2312"/>
          <w:color w:val="000000"/>
          <w:kern w:val="0"/>
          <w:sz w:val="32"/>
          <w:szCs w:val="32"/>
        </w:rPr>
      </w:pPr>
      <w:r>
        <w:rPr>
          <w:rFonts w:eastAsia="仿宋_GB2312"/>
          <w:sz w:val="32"/>
          <w:szCs w:val="32"/>
        </w:rPr>
        <w:t>12.公共安全支出</w:t>
      </w:r>
      <w:r>
        <w:rPr>
          <w:rFonts w:hint="eastAsia" w:eastAsia="仿宋_GB2312"/>
          <w:sz w:val="32"/>
          <w:szCs w:val="32"/>
        </w:rPr>
        <w:t>—</w:t>
      </w:r>
      <w:r>
        <w:rPr>
          <w:rFonts w:eastAsia="仿宋_GB2312"/>
          <w:sz w:val="32"/>
          <w:szCs w:val="32"/>
        </w:rPr>
        <w:t>公安</w:t>
      </w:r>
      <w:r>
        <w:rPr>
          <w:rFonts w:hint="eastAsia" w:eastAsia="仿宋_GB2312"/>
          <w:sz w:val="32"/>
          <w:szCs w:val="32"/>
        </w:rPr>
        <w:t>—</w:t>
      </w:r>
      <w:r>
        <w:rPr>
          <w:rFonts w:eastAsia="仿宋_GB2312"/>
          <w:sz w:val="32"/>
          <w:szCs w:val="32"/>
        </w:rPr>
        <w:t>其他公安支出：</w:t>
      </w:r>
      <w:r>
        <w:rPr>
          <w:rFonts w:eastAsia="仿宋_GB2312"/>
          <w:color w:val="000000"/>
          <w:kern w:val="0"/>
          <w:sz w:val="32"/>
          <w:szCs w:val="32"/>
        </w:rPr>
        <w:t>反映项目以外其他用于公安方面的支出。</w:t>
      </w:r>
    </w:p>
    <w:p>
      <w:pPr>
        <w:pStyle w:val="26"/>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auto"/>
          <w:kern w:val="2"/>
          <w:sz w:val="32"/>
          <w:szCs w:val="32"/>
        </w:rPr>
        <w:t>13.公共安全支出</w:t>
      </w:r>
      <w:r>
        <w:rPr>
          <w:rFonts w:hint="eastAsia" w:ascii="Times New Roman" w:hAnsi="Times New Roman" w:eastAsia="仿宋_GB2312" w:cs="Times New Roman"/>
          <w:color w:val="auto"/>
          <w:kern w:val="2"/>
          <w:sz w:val="32"/>
          <w:szCs w:val="32"/>
        </w:rPr>
        <w:t>—</w:t>
      </w:r>
      <w:r>
        <w:rPr>
          <w:rFonts w:ascii="Times New Roman" w:hAnsi="Times New Roman" w:eastAsia="仿宋_GB2312" w:cs="Times New Roman"/>
          <w:color w:val="auto"/>
          <w:kern w:val="2"/>
          <w:sz w:val="32"/>
          <w:szCs w:val="32"/>
        </w:rPr>
        <w:t>其他公共安全支出</w:t>
      </w:r>
      <w:r>
        <w:rPr>
          <w:rFonts w:hint="eastAsia" w:ascii="Times New Roman" w:hAnsi="Times New Roman" w:eastAsia="仿宋_GB2312" w:cs="Times New Roman"/>
          <w:color w:val="auto"/>
          <w:kern w:val="2"/>
          <w:sz w:val="32"/>
          <w:szCs w:val="32"/>
        </w:rPr>
        <w:t>—</w:t>
      </w:r>
      <w:r>
        <w:rPr>
          <w:rFonts w:ascii="Times New Roman" w:hAnsi="Times New Roman" w:eastAsia="仿宋_GB2312" w:cs="Times New Roman"/>
          <w:color w:val="auto"/>
          <w:kern w:val="2"/>
          <w:sz w:val="32"/>
          <w:szCs w:val="32"/>
        </w:rPr>
        <w:t>其他公共安全支出：</w:t>
      </w:r>
      <w:r>
        <w:rPr>
          <w:rFonts w:ascii="Times New Roman" w:hAnsi="Times New Roman" w:eastAsia="仿宋_GB2312" w:cs="Times New Roman"/>
          <w:sz w:val="32"/>
          <w:szCs w:val="32"/>
        </w:rPr>
        <w:t>反映除上述项目以外其他用于公共安全方面的支出。</w:t>
      </w:r>
    </w:p>
    <w:p>
      <w:pPr>
        <w:rPr>
          <w:rFonts w:eastAsia="仿宋_GB2312"/>
          <w:color w:val="000000"/>
          <w:kern w:val="0"/>
          <w:sz w:val="32"/>
          <w:szCs w:val="32"/>
        </w:rPr>
      </w:pPr>
      <w:r>
        <w:rPr>
          <w:rFonts w:eastAsia="仿宋_GB2312"/>
          <w:sz w:val="32"/>
          <w:szCs w:val="32"/>
        </w:rPr>
        <w:t>14.社会保障和就业支出</w:t>
      </w:r>
      <w:r>
        <w:rPr>
          <w:rFonts w:hint="eastAsia" w:eastAsia="仿宋_GB2312"/>
          <w:sz w:val="32"/>
          <w:szCs w:val="32"/>
        </w:rPr>
        <w:t>—</w:t>
      </w:r>
      <w:r>
        <w:rPr>
          <w:rFonts w:eastAsia="仿宋_GB2312"/>
          <w:sz w:val="32"/>
          <w:szCs w:val="32"/>
        </w:rPr>
        <w:t>行政事业单位养老支出</w:t>
      </w:r>
      <w:r>
        <w:rPr>
          <w:rFonts w:hint="eastAsia" w:eastAsia="仿宋_GB2312"/>
          <w:sz w:val="32"/>
          <w:szCs w:val="32"/>
        </w:rPr>
        <w:t>—</w:t>
      </w:r>
      <w:r>
        <w:rPr>
          <w:rFonts w:eastAsia="仿宋_GB2312"/>
          <w:sz w:val="32"/>
          <w:szCs w:val="32"/>
        </w:rPr>
        <w:t>行政单位离退休：</w:t>
      </w:r>
      <w:r>
        <w:rPr>
          <w:rFonts w:eastAsia="仿宋_GB2312"/>
          <w:color w:val="000000"/>
          <w:kern w:val="0"/>
          <w:sz w:val="32"/>
          <w:szCs w:val="32"/>
        </w:rPr>
        <w:t>反映行政单位（包括实行公务员管理的事业单位）开支的离退休经费。</w:t>
      </w:r>
    </w:p>
    <w:p>
      <w:pPr>
        <w:rPr>
          <w:rFonts w:eastAsia="仿宋_GB2312"/>
          <w:color w:val="000000"/>
          <w:kern w:val="0"/>
          <w:sz w:val="32"/>
          <w:szCs w:val="32"/>
        </w:rPr>
      </w:pPr>
      <w:r>
        <w:rPr>
          <w:rFonts w:eastAsia="仿宋_GB2312"/>
          <w:sz w:val="32"/>
          <w:szCs w:val="32"/>
        </w:rPr>
        <w:t>15.社会保障和就业支出</w:t>
      </w:r>
      <w:r>
        <w:rPr>
          <w:rFonts w:hint="eastAsia" w:eastAsia="仿宋_GB2312"/>
          <w:sz w:val="32"/>
          <w:szCs w:val="32"/>
        </w:rPr>
        <w:t>—</w:t>
      </w:r>
      <w:r>
        <w:rPr>
          <w:rFonts w:eastAsia="仿宋_GB2312"/>
          <w:sz w:val="32"/>
          <w:szCs w:val="32"/>
        </w:rPr>
        <w:t>行政事业单位养老支出</w:t>
      </w:r>
      <w:r>
        <w:rPr>
          <w:rFonts w:hint="eastAsia" w:eastAsia="仿宋_GB2312"/>
          <w:sz w:val="32"/>
          <w:szCs w:val="32"/>
        </w:rPr>
        <w:t>—</w:t>
      </w:r>
      <w:r>
        <w:rPr>
          <w:rFonts w:eastAsia="仿宋_GB2312"/>
          <w:sz w:val="32"/>
          <w:szCs w:val="32"/>
        </w:rPr>
        <w:t>事业单位离退休：</w:t>
      </w:r>
      <w:r>
        <w:rPr>
          <w:rFonts w:eastAsia="仿宋_GB2312"/>
          <w:color w:val="000000"/>
          <w:kern w:val="0"/>
          <w:sz w:val="32"/>
          <w:szCs w:val="32"/>
        </w:rPr>
        <w:t>反映事业单位开支的离退休经费。</w:t>
      </w:r>
    </w:p>
    <w:p>
      <w:pPr>
        <w:rPr>
          <w:rFonts w:eastAsia="仿宋_GB2312"/>
          <w:color w:val="000000"/>
          <w:kern w:val="0"/>
          <w:sz w:val="32"/>
          <w:szCs w:val="32"/>
        </w:rPr>
      </w:pPr>
      <w:r>
        <w:rPr>
          <w:rFonts w:eastAsia="仿宋_GB2312"/>
          <w:sz w:val="32"/>
          <w:szCs w:val="32"/>
        </w:rPr>
        <w:t>16.社会保障和就业</w:t>
      </w:r>
      <w:r>
        <w:rPr>
          <w:rFonts w:hint="eastAsia" w:eastAsia="仿宋_GB2312"/>
          <w:sz w:val="32"/>
          <w:szCs w:val="32"/>
        </w:rPr>
        <w:t>—</w:t>
      </w:r>
      <w:r>
        <w:rPr>
          <w:rFonts w:eastAsia="仿宋_GB2312"/>
          <w:sz w:val="32"/>
          <w:szCs w:val="32"/>
        </w:rPr>
        <w:t>行政事业单位养老支出</w:t>
      </w:r>
      <w:r>
        <w:rPr>
          <w:rFonts w:hint="eastAsia" w:eastAsia="仿宋_GB2312"/>
          <w:sz w:val="32"/>
          <w:szCs w:val="32"/>
        </w:rPr>
        <w:t>—</w:t>
      </w:r>
      <w:r>
        <w:rPr>
          <w:rFonts w:eastAsia="仿宋_GB2312"/>
          <w:sz w:val="32"/>
          <w:szCs w:val="32"/>
        </w:rPr>
        <w:t>机关事业单位基本养老保险缴费支出：</w:t>
      </w:r>
      <w:r>
        <w:rPr>
          <w:rFonts w:eastAsia="仿宋_GB2312"/>
          <w:color w:val="000000"/>
          <w:kern w:val="0"/>
          <w:sz w:val="32"/>
          <w:szCs w:val="32"/>
        </w:rPr>
        <w:t>反映机关事业单位实施养老保险制度由单位缴纳的基本养老保险费支出。</w:t>
      </w:r>
    </w:p>
    <w:p>
      <w:pPr>
        <w:rPr>
          <w:rFonts w:eastAsia="仿宋_GB2312"/>
          <w:color w:val="000000"/>
          <w:kern w:val="0"/>
          <w:sz w:val="32"/>
          <w:szCs w:val="32"/>
        </w:rPr>
      </w:pPr>
      <w:r>
        <w:rPr>
          <w:rFonts w:eastAsia="仿宋_GB2312"/>
          <w:sz w:val="32"/>
          <w:szCs w:val="32"/>
        </w:rPr>
        <w:t>17.社会保障和就业支出</w:t>
      </w:r>
      <w:r>
        <w:rPr>
          <w:rFonts w:hint="eastAsia" w:eastAsia="仿宋_GB2312"/>
          <w:sz w:val="32"/>
          <w:szCs w:val="32"/>
        </w:rPr>
        <w:t>—</w:t>
      </w:r>
      <w:r>
        <w:rPr>
          <w:rFonts w:eastAsia="仿宋_GB2312"/>
          <w:sz w:val="32"/>
          <w:szCs w:val="32"/>
        </w:rPr>
        <w:t>行政事业单位养老支出</w:t>
      </w:r>
      <w:r>
        <w:rPr>
          <w:rFonts w:hint="eastAsia" w:eastAsia="仿宋_GB2312"/>
          <w:sz w:val="32"/>
          <w:szCs w:val="32"/>
        </w:rPr>
        <w:t>—</w:t>
      </w:r>
      <w:r>
        <w:rPr>
          <w:rFonts w:eastAsia="仿宋_GB2312"/>
          <w:sz w:val="32"/>
          <w:szCs w:val="32"/>
        </w:rPr>
        <w:t>机关事业单位职业年金缴费支出：</w:t>
      </w:r>
      <w:r>
        <w:rPr>
          <w:rFonts w:eastAsia="仿宋_GB2312"/>
          <w:color w:val="000000"/>
          <w:kern w:val="0"/>
          <w:sz w:val="32"/>
          <w:szCs w:val="32"/>
        </w:rPr>
        <w:t>反映机关事业单位实施养老保险制度由单位实际缴纳的职业年金支出。</w:t>
      </w:r>
    </w:p>
    <w:p>
      <w:pPr>
        <w:rPr>
          <w:rFonts w:eastAsia="仿宋_GB2312"/>
          <w:color w:val="000000"/>
          <w:kern w:val="0"/>
          <w:sz w:val="32"/>
          <w:szCs w:val="32"/>
        </w:rPr>
      </w:pPr>
      <w:r>
        <w:rPr>
          <w:rFonts w:eastAsia="仿宋_GB2312"/>
          <w:sz w:val="32"/>
          <w:szCs w:val="32"/>
        </w:rPr>
        <w:t>18.社会保障和就业支出</w:t>
      </w:r>
      <w:r>
        <w:rPr>
          <w:rFonts w:hint="eastAsia" w:eastAsia="仿宋_GB2312"/>
          <w:sz w:val="32"/>
          <w:szCs w:val="32"/>
        </w:rPr>
        <w:t>—</w:t>
      </w:r>
      <w:r>
        <w:rPr>
          <w:rFonts w:eastAsia="仿宋_GB2312"/>
          <w:sz w:val="32"/>
          <w:szCs w:val="32"/>
        </w:rPr>
        <w:t>抚恤</w:t>
      </w:r>
      <w:r>
        <w:rPr>
          <w:rFonts w:hint="eastAsia" w:eastAsia="仿宋_GB2312"/>
          <w:sz w:val="32"/>
          <w:szCs w:val="32"/>
        </w:rPr>
        <w:t>—</w:t>
      </w:r>
      <w:r>
        <w:rPr>
          <w:rFonts w:eastAsia="仿宋_GB2312"/>
          <w:sz w:val="32"/>
          <w:szCs w:val="32"/>
        </w:rPr>
        <w:t>死亡抚恤：</w:t>
      </w:r>
      <w:r>
        <w:rPr>
          <w:rFonts w:eastAsia="仿宋_GB2312"/>
          <w:color w:val="000000"/>
          <w:kern w:val="0"/>
          <w:sz w:val="32"/>
          <w:szCs w:val="32"/>
        </w:rPr>
        <w:t>反映按规定用于烈士和牺牲、病故人员家属的一次性和定期抚恤金以及丧葬补助费。</w:t>
      </w:r>
    </w:p>
    <w:p>
      <w:pPr>
        <w:rPr>
          <w:rFonts w:eastAsia="仿宋_GB2312"/>
          <w:color w:val="000000"/>
          <w:kern w:val="0"/>
          <w:sz w:val="32"/>
          <w:szCs w:val="32"/>
        </w:rPr>
      </w:pPr>
      <w:r>
        <w:rPr>
          <w:rFonts w:eastAsia="仿宋_GB2312"/>
          <w:sz w:val="32"/>
          <w:szCs w:val="32"/>
        </w:rPr>
        <w:t>19.社会保障和就业支出</w:t>
      </w:r>
      <w:r>
        <w:rPr>
          <w:rFonts w:hint="eastAsia" w:eastAsia="仿宋_GB2312"/>
          <w:sz w:val="32"/>
          <w:szCs w:val="32"/>
        </w:rPr>
        <w:t>—</w:t>
      </w:r>
      <w:r>
        <w:rPr>
          <w:rFonts w:eastAsia="仿宋_GB2312"/>
          <w:sz w:val="32"/>
          <w:szCs w:val="32"/>
        </w:rPr>
        <w:t>抚恤</w:t>
      </w:r>
      <w:r>
        <w:rPr>
          <w:rFonts w:hint="eastAsia" w:eastAsia="仿宋_GB2312"/>
          <w:sz w:val="32"/>
          <w:szCs w:val="32"/>
        </w:rPr>
        <w:t>—</w:t>
      </w:r>
      <w:r>
        <w:rPr>
          <w:rFonts w:eastAsia="仿宋_GB2312"/>
          <w:sz w:val="32"/>
          <w:szCs w:val="32"/>
        </w:rPr>
        <w:t>伤残抚恤：</w:t>
      </w:r>
      <w:r>
        <w:rPr>
          <w:rFonts w:eastAsia="仿宋_GB2312"/>
          <w:color w:val="000000"/>
          <w:kern w:val="0"/>
          <w:sz w:val="32"/>
          <w:szCs w:val="32"/>
        </w:rPr>
        <w:t>反映按规定用于伤残人员的抚恤金和按规定开支的各种伤残补助费。</w:t>
      </w:r>
    </w:p>
    <w:p>
      <w:pPr>
        <w:rPr>
          <w:rFonts w:eastAsia="仿宋_GB2312"/>
          <w:color w:val="000000"/>
          <w:kern w:val="0"/>
          <w:sz w:val="32"/>
          <w:szCs w:val="32"/>
        </w:rPr>
      </w:pPr>
      <w:r>
        <w:rPr>
          <w:rFonts w:eastAsia="仿宋_GB2312"/>
          <w:sz w:val="32"/>
          <w:szCs w:val="32"/>
        </w:rPr>
        <w:t>20.社会保障和就业支出</w:t>
      </w:r>
      <w:r>
        <w:rPr>
          <w:rFonts w:hint="eastAsia" w:eastAsia="仿宋_GB2312"/>
          <w:sz w:val="32"/>
          <w:szCs w:val="32"/>
        </w:rPr>
        <w:t>—</w:t>
      </w:r>
      <w:r>
        <w:rPr>
          <w:rFonts w:eastAsia="仿宋_GB2312"/>
          <w:sz w:val="32"/>
          <w:szCs w:val="32"/>
        </w:rPr>
        <w:t>社会福利</w:t>
      </w:r>
      <w:r>
        <w:rPr>
          <w:rFonts w:hint="eastAsia" w:eastAsia="仿宋_GB2312"/>
          <w:sz w:val="32"/>
          <w:szCs w:val="32"/>
        </w:rPr>
        <w:t>—</w:t>
      </w:r>
      <w:r>
        <w:rPr>
          <w:rFonts w:eastAsia="仿宋_GB2312"/>
          <w:sz w:val="32"/>
          <w:szCs w:val="32"/>
        </w:rPr>
        <w:t>儿童福利：</w:t>
      </w:r>
      <w:r>
        <w:rPr>
          <w:rFonts w:eastAsia="仿宋_GB2312"/>
          <w:color w:val="000000"/>
          <w:kern w:val="0"/>
          <w:sz w:val="32"/>
          <w:szCs w:val="32"/>
        </w:rPr>
        <w:t>反映对儿童提供福利服务方面的支出。</w:t>
      </w:r>
    </w:p>
    <w:p>
      <w:pPr>
        <w:pStyle w:val="26"/>
        <w:spacing w:line="560" w:lineRule="exact"/>
        <w:ind w:firstLine="640" w:firstLineChars="200"/>
        <w:rPr>
          <w:rFonts w:ascii="Times New Roman" w:hAnsi="Times New Roman" w:eastAsia="仿宋_GB2312" w:cs="Times New Roman"/>
          <w:sz w:val="32"/>
          <w:szCs w:val="32"/>
        </w:rPr>
      </w:pPr>
      <w:r>
        <w:rPr>
          <w:rStyle w:val="17"/>
          <w:rFonts w:ascii="Times New Roman" w:hAnsi="Times New Roman" w:eastAsia="仿宋_GB2312" w:cs="Times New Roman"/>
          <w:b w:val="0"/>
          <w:sz w:val="32"/>
          <w:szCs w:val="32"/>
        </w:rPr>
        <w:t>21.卫生健康支出</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公共卫生</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重大公共卫生服务：反映重大疾病、重大传染病预防控制等重大公共卫生服务项目支出。</w:t>
      </w:r>
    </w:p>
    <w:p>
      <w:pPr>
        <w:pStyle w:val="26"/>
        <w:spacing w:line="560" w:lineRule="exact"/>
        <w:ind w:firstLine="640" w:firstLineChars="200"/>
        <w:rPr>
          <w:rFonts w:ascii="Times New Roman" w:hAnsi="Times New Roman" w:eastAsia="仿宋_GB2312" w:cs="Times New Roman"/>
          <w:sz w:val="32"/>
          <w:szCs w:val="32"/>
        </w:rPr>
      </w:pPr>
      <w:r>
        <w:rPr>
          <w:rStyle w:val="17"/>
          <w:rFonts w:ascii="Times New Roman" w:hAnsi="Times New Roman" w:eastAsia="仿宋_GB2312" w:cs="Times New Roman"/>
          <w:b w:val="0"/>
          <w:sz w:val="32"/>
          <w:szCs w:val="32"/>
        </w:rPr>
        <w:t>22.卫生健康支出</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行政事业单位医疗</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行政单位医疗：反映财政部门安排的行政单位（包括实行公务员管理的事业单位，下同）基本医疗保险缴费经费，未参加医疗保险的行政单位的公费医疗经费，按国家规定享受离休人员、红军老战士待遇的人员的医疗经费。</w:t>
      </w:r>
    </w:p>
    <w:p>
      <w:pPr>
        <w:pStyle w:val="26"/>
        <w:spacing w:line="560" w:lineRule="exact"/>
        <w:ind w:firstLine="640" w:firstLineChars="200"/>
        <w:rPr>
          <w:rFonts w:ascii="Times New Roman" w:hAnsi="Times New Roman" w:eastAsia="仿宋_GB2312" w:cs="Times New Roman"/>
          <w:sz w:val="32"/>
          <w:szCs w:val="32"/>
        </w:rPr>
      </w:pPr>
      <w:r>
        <w:rPr>
          <w:rStyle w:val="17"/>
          <w:rFonts w:ascii="Times New Roman" w:hAnsi="Times New Roman" w:eastAsia="仿宋_GB2312" w:cs="Times New Roman"/>
          <w:b w:val="0"/>
          <w:sz w:val="32"/>
          <w:szCs w:val="32"/>
        </w:rPr>
        <w:t>23.卫生健康支出</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行政事业单位医疗</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事业单位医疗：反映财政部门安排的事业单位基本医疗保险缴费经费，未参加医疗保险的行政单位的公费医疗经费，按国家规定享受离休人员待遇的人员的医疗经费。</w:t>
      </w:r>
    </w:p>
    <w:p>
      <w:pPr>
        <w:pStyle w:val="26"/>
        <w:spacing w:line="560" w:lineRule="exact"/>
        <w:ind w:firstLine="640" w:firstLineChars="200"/>
        <w:rPr>
          <w:rFonts w:ascii="Times New Roman" w:hAnsi="Times New Roman" w:eastAsia="仿宋_GB2312" w:cs="Times New Roman"/>
          <w:sz w:val="32"/>
          <w:szCs w:val="32"/>
        </w:rPr>
      </w:pPr>
      <w:r>
        <w:rPr>
          <w:rStyle w:val="17"/>
          <w:rFonts w:ascii="Times New Roman" w:hAnsi="Times New Roman" w:eastAsia="仿宋_GB2312" w:cs="Times New Roman"/>
          <w:b w:val="0"/>
          <w:sz w:val="32"/>
          <w:szCs w:val="32"/>
        </w:rPr>
        <w:t>24.卫生健康支出</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行政事业单位医疗</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公务员医疗补助：反映财政部门安排的公务员医疗补助经费。</w:t>
      </w:r>
    </w:p>
    <w:p>
      <w:pPr>
        <w:pStyle w:val="26"/>
        <w:spacing w:line="560" w:lineRule="exact"/>
        <w:ind w:firstLine="640" w:firstLineChars="200"/>
        <w:rPr>
          <w:rStyle w:val="17"/>
          <w:rFonts w:ascii="Times New Roman" w:hAnsi="Times New Roman" w:eastAsia="仿宋_GB2312" w:cs="Times New Roman"/>
          <w:b w:val="0"/>
          <w:sz w:val="32"/>
          <w:szCs w:val="32"/>
        </w:rPr>
      </w:pPr>
      <w:r>
        <w:rPr>
          <w:rStyle w:val="17"/>
          <w:rFonts w:ascii="Times New Roman" w:hAnsi="Times New Roman" w:eastAsia="仿宋_GB2312" w:cs="Times New Roman"/>
          <w:b w:val="0"/>
          <w:sz w:val="32"/>
          <w:szCs w:val="32"/>
        </w:rPr>
        <w:t>25.卫生健康支出</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行政事业单位医疗</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其他行政事业单位医疗支出：反映上述项目以外的其他用于行政事业单位医疗方面的支出。</w:t>
      </w:r>
    </w:p>
    <w:p>
      <w:pPr>
        <w:pStyle w:val="26"/>
        <w:spacing w:line="560" w:lineRule="exact"/>
        <w:ind w:firstLine="640" w:firstLineChars="200"/>
        <w:rPr>
          <w:rFonts w:ascii="Times New Roman" w:hAnsi="Times New Roman" w:eastAsia="仿宋_GB2312" w:cs="Times New Roman"/>
          <w:sz w:val="32"/>
          <w:szCs w:val="32"/>
        </w:rPr>
      </w:pPr>
      <w:r>
        <w:rPr>
          <w:rStyle w:val="17"/>
          <w:rFonts w:ascii="Times New Roman" w:hAnsi="Times New Roman" w:eastAsia="仿宋_GB2312" w:cs="Times New Roman"/>
          <w:b w:val="0"/>
          <w:sz w:val="32"/>
          <w:szCs w:val="32"/>
        </w:rPr>
        <w:t>26.卫生健康支出</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其他卫生健康支出</w:t>
      </w:r>
      <w:r>
        <w:rPr>
          <w:rStyle w:val="17"/>
          <w:rFonts w:hint="eastAsia" w:ascii="Times New Roman" w:hAnsi="Times New Roman" w:eastAsia="仿宋_GB2312" w:cs="Times New Roman"/>
          <w:b w:val="0"/>
          <w:sz w:val="32"/>
          <w:szCs w:val="32"/>
        </w:rPr>
        <w:t>—</w:t>
      </w:r>
      <w:r>
        <w:rPr>
          <w:rStyle w:val="17"/>
          <w:rFonts w:ascii="Times New Roman" w:hAnsi="Times New Roman" w:eastAsia="仿宋_GB2312" w:cs="Times New Roman"/>
          <w:b w:val="0"/>
          <w:sz w:val="32"/>
          <w:szCs w:val="32"/>
        </w:rPr>
        <w:t>其他卫生健康支出：反映除上述项目以外其他用于卫生健康方面的支出。</w:t>
      </w:r>
    </w:p>
    <w:p>
      <w:pPr>
        <w:ind w:firstLine="640" w:firstLineChars="200"/>
        <w:rPr>
          <w:rFonts w:eastAsia="仿宋_GB2312"/>
          <w:color w:val="000000"/>
          <w:kern w:val="0"/>
          <w:sz w:val="32"/>
          <w:szCs w:val="32"/>
        </w:rPr>
      </w:pPr>
      <w:r>
        <w:rPr>
          <w:rFonts w:eastAsia="仿宋_GB2312"/>
          <w:color w:val="000000"/>
          <w:kern w:val="0"/>
          <w:sz w:val="32"/>
          <w:szCs w:val="32"/>
        </w:rPr>
        <w:t>27.城乡社区支出</w:t>
      </w:r>
      <w:r>
        <w:rPr>
          <w:rFonts w:hint="eastAsia" w:eastAsia="仿宋_GB2312"/>
          <w:color w:val="000000"/>
          <w:kern w:val="0"/>
          <w:sz w:val="32"/>
          <w:szCs w:val="32"/>
        </w:rPr>
        <w:t>—</w:t>
      </w:r>
      <w:r>
        <w:rPr>
          <w:rFonts w:eastAsia="仿宋_GB2312"/>
          <w:color w:val="000000"/>
          <w:kern w:val="0"/>
          <w:sz w:val="32"/>
          <w:szCs w:val="32"/>
        </w:rPr>
        <w:t>城乡社区公共设施</w:t>
      </w:r>
      <w:r>
        <w:rPr>
          <w:rFonts w:hint="eastAsia" w:eastAsia="仿宋_GB2312"/>
          <w:color w:val="000000"/>
          <w:kern w:val="0"/>
          <w:sz w:val="32"/>
          <w:szCs w:val="32"/>
        </w:rPr>
        <w:t>—</w:t>
      </w:r>
      <w:r>
        <w:rPr>
          <w:rFonts w:eastAsia="仿宋_GB2312"/>
          <w:color w:val="000000"/>
          <w:kern w:val="0"/>
          <w:sz w:val="32"/>
          <w:szCs w:val="32"/>
        </w:rPr>
        <w:t>其他城区社区公共设施支出：反映除上述项目以外其他用于城乡社区公共设施方面的支出。</w:t>
      </w:r>
    </w:p>
    <w:p>
      <w:pPr>
        <w:rPr>
          <w:rFonts w:eastAsia="仿宋_GB2312"/>
          <w:color w:val="000000"/>
          <w:kern w:val="0"/>
          <w:sz w:val="32"/>
          <w:szCs w:val="32"/>
        </w:rPr>
      </w:pPr>
      <w:r>
        <w:rPr>
          <w:rFonts w:eastAsia="仿宋_GB2312"/>
          <w:color w:val="000000"/>
          <w:kern w:val="0"/>
          <w:sz w:val="32"/>
          <w:szCs w:val="32"/>
        </w:rPr>
        <w:t xml:space="preserve">    28.住房保障支出</w:t>
      </w:r>
      <w:r>
        <w:rPr>
          <w:rFonts w:hint="eastAsia" w:eastAsia="仿宋_GB2312"/>
          <w:color w:val="000000"/>
          <w:kern w:val="0"/>
          <w:sz w:val="32"/>
          <w:szCs w:val="32"/>
        </w:rPr>
        <w:t>—</w:t>
      </w:r>
      <w:r>
        <w:rPr>
          <w:rFonts w:eastAsia="仿宋_GB2312"/>
          <w:color w:val="000000"/>
          <w:kern w:val="0"/>
          <w:sz w:val="32"/>
          <w:szCs w:val="32"/>
        </w:rPr>
        <w:t>住房改革支出</w:t>
      </w:r>
      <w:r>
        <w:rPr>
          <w:rFonts w:hint="eastAsia" w:eastAsia="仿宋_GB2312"/>
          <w:color w:val="000000"/>
          <w:kern w:val="0"/>
          <w:sz w:val="32"/>
          <w:szCs w:val="32"/>
        </w:rPr>
        <w:t>—</w:t>
      </w:r>
      <w:r>
        <w:rPr>
          <w:rFonts w:eastAsia="仿宋_GB2312"/>
          <w:color w:val="000000"/>
          <w:kern w:val="0"/>
          <w:sz w:val="32"/>
          <w:szCs w:val="32"/>
        </w:rPr>
        <w:t>住房公积金：反映行政事业单位按人力资源和社会保障部、财政部规定的基本工资和津补贴以及规定比例为职工缴纳的住房公积金。</w:t>
      </w:r>
    </w:p>
    <w:p>
      <w:pPr>
        <w:spacing w:line="600" w:lineRule="exact"/>
        <w:ind w:firstLine="640"/>
        <w:rPr>
          <w:rFonts w:eastAsia="仿宋_GB2312"/>
          <w:sz w:val="32"/>
          <w:szCs w:val="32"/>
        </w:rPr>
      </w:pPr>
      <w:r>
        <w:rPr>
          <w:rFonts w:eastAsia="仿宋_GB2312"/>
          <w:sz w:val="32"/>
          <w:szCs w:val="32"/>
        </w:rPr>
        <w:t>29.基本支出：指为保障机构正常运转、完成日常工作任务而发生的人员支出和公用支出。</w:t>
      </w:r>
    </w:p>
    <w:p>
      <w:pPr>
        <w:spacing w:line="600" w:lineRule="exact"/>
        <w:ind w:firstLine="640"/>
        <w:rPr>
          <w:rFonts w:eastAsia="仿宋_GB2312"/>
          <w:sz w:val="32"/>
          <w:szCs w:val="32"/>
        </w:rPr>
      </w:pPr>
      <w:r>
        <w:rPr>
          <w:rFonts w:eastAsia="仿宋_GB2312"/>
          <w:sz w:val="32"/>
          <w:szCs w:val="32"/>
        </w:rPr>
        <w:t xml:space="preserve">30.项目支出：指在基本支出之外为完成特定行政任务和事业发展目标所发生的支出。 </w:t>
      </w:r>
    </w:p>
    <w:p>
      <w:pPr>
        <w:spacing w:line="600" w:lineRule="exact"/>
        <w:ind w:firstLine="640"/>
        <w:rPr>
          <w:rFonts w:eastAsia="仿宋_GB2312"/>
          <w:sz w:val="32"/>
          <w:szCs w:val="32"/>
        </w:rPr>
      </w:pPr>
      <w:r>
        <w:rPr>
          <w:rFonts w:eastAsia="仿宋_GB2312"/>
          <w:sz w:val="32"/>
          <w:szCs w:val="32"/>
        </w:rPr>
        <w:t>31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eastAsia="仿宋_GB2312"/>
          <w:sz w:val="32"/>
          <w:szCs w:val="32"/>
        </w:rPr>
        <w:t>32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ascii="方正小标宋_GBK" w:hAnsi="方正小标宋_GBK" w:eastAsia="方正小标宋_GBK" w:cs="方正小标宋_GBK"/>
          <w:bCs/>
          <w:kern w:val="44"/>
          <w:sz w:val="44"/>
          <w:szCs w:val="44"/>
        </w:rPr>
      </w:pPr>
      <w:bookmarkStart w:id="45" w:name="_Toc15377226"/>
      <w:r>
        <w:rPr>
          <w:rFonts w:hint="eastAsia" w:eastAsia="仿宋_GB2312" w:cs="仿宋_GB2312"/>
          <w:sz w:val="32"/>
          <w:szCs w:val="32"/>
          <w:highlight w:val="yellow"/>
        </w:rPr>
        <w:br w:type="page"/>
      </w:r>
      <w:bookmarkStart w:id="46" w:name="_Toc15396614"/>
      <w:r>
        <w:rPr>
          <w:rFonts w:hint="eastAsia" w:ascii="方正小标宋_GBK" w:hAnsi="方正小标宋_GBK" w:eastAsia="方正小标宋_GBK" w:cs="方正小标宋_GBK"/>
          <w:bCs/>
          <w:kern w:val="44"/>
          <w:sz w:val="44"/>
          <w:szCs w:val="44"/>
        </w:rPr>
        <w:t>第四部分 附件</w:t>
      </w:r>
      <w:bookmarkEnd w:id="46"/>
    </w:p>
    <w:p>
      <w:pPr>
        <w:spacing w:line="572" w:lineRule="exact"/>
        <w:jc w:val="left"/>
        <w:outlineLvl w:val="0"/>
        <w:rPr>
          <w:rFonts w:eastAsia="黑体" w:cs="黑体"/>
          <w:color w:val="FF0000"/>
          <w:sz w:val="32"/>
          <w:szCs w:val="32"/>
        </w:rPr>
      </w:pPr>
    </w:p>
    <w:p>
      <w:pPr>
        <w:spacing w:line="600" w:lineRule="exact"/>
        <w:jc w:val="center"/>
        <w:outlineLvl w:val="0"/>
        <w:rPr>
          <w:rFonts w:eastAsia="仿宋_GB2312"/>
          <w:color w:val="FF0000"/>
          <w:sz w:val="32"/>
          <w:szCs w:val="32"/>
        </w:rPr>
      </w:pPr>
      <w:r>
        <w:rPr>
          <w:rFonts w:eastAsia="仿宋_GB2312"/>
          <w:sz w:val="32"/>
          <w:szCs w:val="32"/>
        </w:rPr>
        <w:t>部门预算项目支出绩效自评表（202</w:t>
      </w:r>
      <w:r>
        <w:rPr>
          <w:rFonts w:hint="eastAsia" w:eastAsia="仿宋_GB2312"/>
          <w:sz w:val="32"/>
          <w:szCs w:val="32"/>
        </w:rPr>
        <w:t>5</w:t>
      </w:r>
      <w:r>
        <w:rPr>
          <w:rFonts w:eastAsia="仿宋_GB2312"/>
          <w:sz w:val="32"/>
          <w:szCs w:val="32"/>
        </w:rPr>
        <w:t>年度）详见附件</w:t>
      </w:r>
    </w:p>
    <w:p>
      <w:pPr>
        <w:widowControl/>
        <w:adjustRightInd w:val="0"/>
        <w:snapToGrid w:val="0"/>
        <w:spacing w:line="578" w:lineRule="exact"/>
        <w:ind w:firstLine="480" w:firstLineChars="200"/>
        <w:contextualSpacing/>
        <w:jc w:val="left"/>
        <w:rPr>
          <w:rFonts w:eastAsia="黑体"/>
          <w:color w:val="000000"/>
          <w:kern w:val="0"/>
          <w:sz w:val="24"/>
          <w:szCs w:val="32"/>
          <w:highlight w:val="yellow"/>
          <w:shd w:val="clear" w:color="auto" w:fill="FFFFFF"/>
        </w:rPr>
      </w:pPr>
    </w:p>
    <w:p>
      <w:pPr>
        <w:widowControl/>
        <w:jc w:val="center"/>
        <w:rPr>
          <w:rFonts w:eastAsia="黑体"/>
          <w:sz w:val="44"/>
          <w:szCs w:val="44"/>
          <w:highlight w:val="yellow"/>
        </w:rPr>
      </w:pPr>
      <w:bookmarkStart w:id="47" w:name="_Toc15396618"/>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jc w:val="center"/>
        <w:rPr>
          <w:rFonts w:eastAsia="黑体"/>
          <w:sz w:val="44"/>
          <w:szCs w:val="44"/>
          <w:highlight w:val="yellow"/>
        </w:rPr>
      </w:pPr>
    </w:p>
    <w:p>
      <w:pPr>
        <w:widowControl/>
        <w:rPr>
          <w:rFonts w:eastAsia="黑体"/>
          <w:sz w:val="44"/>
          <w:szCs w:val="44"/>
          <w:highlight w:val="yellow"/>
        </w:rPr>
      </w:pPr>
    </w:p>
    <w:p>
      <w:pPr>
        <w:pStyle w:val="5"/>
        <w:spacing w:before="0" w:after="0" w:line="300" w:lineRule="auto"/>
        <w:jc w:val="center"/>
        <w:rPr>
          <w:rFonts w:ascii="方正小标宋_GBK" w:hAnsi="方正小标宋_GBK" w:eastAsia="方正小标宋_GBK" w:cs="方正小标宋_GBK"/>
          <w:b w:val="0"/>
        </w:rPr>
      </w:pPr>
      <w:r>
        <w:rPr>
          <w:rFonts w:hint="eastAsia" w:ascii="方正小标宋_GBK" w:hAnsi="方正小标宋_GBK" w:eastAsia="方正小标宋_GBK" w:cs="方正小标宋_GBK"/>
          <w:b w:val="0"/>
        </w:rPr>
        <w:t>第五部分 附表</w:t>
      </w:r>
      <w:bookmarkEnd w:id="45"/>
      <w:bookmarkEnd w:id="47"/>
      <w:bookmarkStart w:id="48"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8"/>
    </w:p>
    <w:p>
      <w:pPr>
        <w:pStyle w:val="14"/>
        <w:adjustRightInd w:val="0"/>
        <w:snapToGrid w:val="0"/>
        <w:spacing w:line="560" w:lineRule="exact"/>
        <w:jc w:val="left"/>
        <w:rPr>
          <w:rFonts w:eastAsia="仿宋_GB2312" w:cs="仿宋_GB2312"/>
          <w:sz w:val="32"/>
          <w:szCs w:val="32"/>
        </w:rPr>
      </w:pPr>
      <w:bookmarkStart w:id="49" w:name="_Toc15396620"/>
      <w:r>
        <w:rPr>
          <w:rFonts w:hint="eastAsia" w:eastAsia="仿宋_GB2312" w:cs="仿宋_GB2312"/>
          <w:sz w:val="32"/>
          <w:szCs w:val="32"/>
        </w:rPr>
        <w:t>二、收入决算表</w:t>
      </w:r>
      <w:bookmarkEnd w:id="49"/>
    </w:p>
    <w:p>
      <w:pPr>
        <w:pStyle w:val="14"/>
        <w:adjustRightInd w:val="0"/>
        <w:snapToGrid w:val="0"/>
        <w:spacing w:line="560" w:lineRule="exact"/>
        <w:jc w:val="left"/>
        <w:rPr>
          <w:rFonts w:eastAsia="仿宋_GB2312" w:cs="仿宋_GB2312"/>
          <w:sz w:val="32"/>
          <w:szCs w:val="32"/>
        </w:rPr>
      </w:pPr>
      <w:bookmarkStart w:id="50" w:name="_Toc15396621"/>
      <w:r>
        <w:rPr>
          <w:rFonts w:hint="eastAsia" w:eastAsia="仿宋_GB2312" w:cs="仿宋_GB2312"/>
          <w:sz w:val="32"/>
          <w:szCs w:val="32"/>
        </w:rPr>
        <w:t>三、支出决算表</w:t>
      </w:r>
      <w:bookmarkEnd w:id="50"/>
    </w:p>
    <w:p>
      <w:pPr>
        <w:pStyle w:val="14"/>
        <w:adjustRightInd w:val="0"/>
        <w:snapToGrid w:val="0"/>
        <w:spacing w:line="560" w:lineRule="exact"/>
        <w:jc w:val="left"/>
        <w:rPr>
          <w:rFonts w:eastAsia="仿宋_GB2312" w:cs="仿宋_GB2312"/>
          <w:sz w:val="32"/>
          <w:szCs w:val="32"/>
        </w:rPr>
      </w:pPr>
      <w:bookmarkStart w:id="51" w:name="_Toc15396622"/>
      <w:r>
        <w:rPr>
          <w:rFonts w:hint="eastAsia" w:eastAsia="仿宋_GB2312" w:cs="仿宋_GB2312"/>
          <w:sz w:val="32"/>
          <w:szCs w:val="32"/>
        </w:rPr>
        <w:t>四、财政拨款收入支出决算总表</w:t>
      </w:r>
      <w:bookmarkEnd w:id="51"/>
    </w:p>
    <w:p>
      <w:pPr>
        <w:pStyle w:val="14"/>
        <w:adjustRightInd w:val="0"/>
        <w:snapToGrid w:val="0"/>
        <w:spacing w:line="560" w:lineRule="exact"/>
        <w:jc w:val="left"/>
        <w:rPr>
          <w:rFonts w:eastAsia="仿宋_GB2312" w:cs="仿宋_GB2312"/>
          <w:sz w:val="32"/>
          <w:szCs w:val="32"/>
        </w:rPr>
      </w:pPr>
      <w:bookmarkStart w:id="52" w:name="_Toc15396623"/>
      <w:r>
        <w:rPr>
          <w:rFonts w:hint="eastAsia" w:eastAsia="仿宋_GB2312" w:cs="仿宋_GB2312"/>
          <w:sz w:val="32"/>
          <w:szCs w:val="32"/>
        </w:rPr>
        <w:t>五、财政拨款支出决算明细表</w:t>
      </w:r>
      <w:bookmarkEnd w:id="52"/>
      <w:bookmarkStart w:id="53"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3"/>
    </w:p>
    <w:p>
      <w:pPr>
        <w:pStyle w:val="14"/>
        <w:adjustRightInd w:val="0"/>
        <w:snapToGrid w:val="0"/>
        <w:spacing w:line="560" w:lineRule="exact"/>
        <w:jc w:val="left"/>
        <w:rPr>
          <w:rFonts w:eastAsia="仿宋_GB2312" w:cs="仿宋_GB2312"/>
          <w:sz w:val="32"/>
          <w:szCs w:val="32"/>
        </w:rPr>
      </w:pPr>
      <w:bookmarkStart w:id="54" w:name="_Toc15396625"/>
      <w:r>
        <w:rPr>
          <w:rFonts w:hint="eastAsia" w:eastAsia="仿宋_GB2312" w:cs="仿宋_GB2312"/>
          <w:sz w:val="32"/>
          <w:szCs w:val="32"/>
        </w:rPr>
        <w:t>七、一般公共预算财政拨款支出决算明细表</w:t>
      </w:r>
      <w:bookmarkEnd w:id="54"/>
    </w:p>
    <w:p>
      <w:pPr>
        <w:pStyle w:val="14"/>
        <w:adjustRightInd w:val="0"/>
        <w:snapToGrid w:val="0"/>
        <w:spacing w:line="560" w:lineRule="exact"/>
        <w:jc w:val="left"/>
        <w:rPr>
          <w:rFonts w:eastAsia="仿宋_GB2312" w:cs="仿宋_GB2312"/>
          <w:sz w:val="32"/>
          <w:szCs w:val="32"/>
        </w:rPr>
      </w:pPr>
      <w:bookmarkStart w:id="55" w:name="_Toc15396626"/>
      <w:r>
        <w:rPr>
          <w:rFonts w:hint="eastAsia" w:eastAsia="仿宋_GB2312" w:cs="仿宋_GB2312"/>
          <w:sz w:val="32"/>
          <w:szCs w:val="32"/>
        </w:rPr>
        <w:t>八、一般公共预算财政拨款基本支出决算表</w:t>
      </w:r>
      <w:bookmarkEnd w:id="55"/>
    </w:p>
    <w:p>
      <w:pPr>
        <w:pStyle w:val="14"/>
        <w:adjustRightInd w:val="0"/>
        <w:snapToGrid w:val="0"/>
        <w:spacing w:line="560" w:lineRule="exact"/>
        <w:jc w:val="left"/>
        <w:rPr>
          <w:rFonts w:eastAsia="仿宋_GB2312" w:cs="仿宋_GB2312"/>
          <w:sz w:val="32"/>
          <w:szCs w:val="32"/>
        </w:rPr>
      </w:pPr>
      <w:bookmarkStart w:id="56" w:name="_Toc15396627"/>
      <w:r>
        <w:rPr>
          <w:rFonts w:hint="eastAsia" w:eastAsia="仿宋_GB2312" w:cs="仿宋_GB2312"/>
          <w:sz w:val="32"/>
          <w:szCs w:val="32"/>
        </w:rPr>
        <w:t>九、一般公共预算财政拨款项目支出决算表</w:t>
      </w:r>
      <w:bookmarkEnd w:id="56"/>
    </w:p>
    <w:p>
      <w:pPr>
        <w:pStyle w:val="14"/>
        <w:adjustRightInd w:val="0"/>
        <w:snapToGrid w:val="0"/>
        <w:spacing w:line="560" w:lineRule="exact"/>
        <w:jc w:val="left"/>
        <w:rPr>
          <w:rFonts w:eastAsia="仿宋_GB2312" w:cs="仿宋_GB2312"/>
          <w:sz w:val="32"/>
          <w:szCs w:val="32"/>
        </w:rPr>
      </w:pPr>
      <w:bookmarkStart w:id="57" w:name="_Toc15396628"/>
      <w:r>
        <w:rPr>
          <w:rFonts w:hint="eastAsia" w:eastAsia="仿宋_GB2312" w:cs="仿宋_GB2312"/>
          <w:sz w:val="32"/>
          <w:szCs w:val="32"/>
        </w:rPr>
        <w:t>十、</w:t>
      </w:r>
      <w:bookmarkEnd w:id="57"/>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58" w:name="_Toc15396629"/>
      <w:r>
        <w:rPr>
          <w:rFonts w:hint="eastAsia" w:eastAsia="仿宋_GB2312" w:cs="仿宋_GB2312"/>
          <w:sz w:val="32"/>
          <w:szCs w:val="32"/>
        </w:rPr>
        <w:t>十一、</w:t>
      </w:r>
      <w:bookmarkEnd w:id="58"/>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59" w:name="_Toc15396630"/>
      <w:r>
        <w:rPr>
          <w:rFonts w:hint="eastAsia" w:eastAsia="仿宋_GB2312" w:cs="仿宋_GB2312"/>
          <w:sz w:val="32"/>
          <w:szCs w:val="32"/>
        </w:rPr>
        <w:t>十二、</w:t>
      </w:r>
      <w:bookmarkEnd w:id="59"/>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60" w:name="_Toc15396631"/>
      <w:r>
        <w:rPr>
          <w:rFonts w:hint="eastAsia" w:eastAsia="仿宋_GB2312" w:cs="仿宋_GB2312"/>
          <w:sz w:val="32"/>
          <w:szCs w:val="32"/>
        </w:rPr>
        <w:t>十三、</w:t>
      </w:r>
      <w:bookmarkEnd w:id="60"/>
      <w:r>
        <w:rPr>
          <w:rFonts w:hint="eastAsia" w:eastAsia="仿宋_GB2312" w:cs="仿宋_GB2312"/>
          <w:sz w:val="32"/>
          <w:szCs w:val="32"/>
        </w:rPr>
        <w:t>财政拨款“三公”经费支出决算表</w:t>
      </w:r>
    </w:p>
    <w:p>
      <w:pPr>
        <w:rPr>
          <w:highlight w:val="yellow"/>
        </w:rPr>
      </w:pPr>
    </w:p>
    <w:sectPr>
      <w:footerReference r:id="rId9"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altName w:val="微软雅黑"/>
    <w:panose1 w:val="020106010301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pPr>
                  <w:pStyle w:val="11"/>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- 4 -</w:t>
                </w:r>
                <w:r>
                  <w:rPr>
                    <w:rFonts w:hint="eastAsia" w:ascii="宋体" w:hAnsi="宋体" w:cs="宋体"/>
                    <w:sz w:val="28"/>
                    <w:szCs w:val="28"/>
                  </w:rPr>
                  <w:fldChar w:fldCharType="end"/>
                </w:r>
              </w:p>
            </w:txbxContent>
          </v:textbox>
        </v:shape>
      </w:pic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F1361C"/>
    <w:rsid w:val="000222C6"/>
    <w:rsid w:val="0002549F"/>
    <w:rsid w:val="000468DB"/>
    <w:rsid w:val="00056E9A"/>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6E3"/>
    <w:rsid w:val="00142216"/>
    <w:rsid w:val="00144D6A"/>
    <w:rsid w:val="0014729F"/>
    <w:rsid w:val="00157BAB"/>
    <w:rsid w:val="001654D1"/>
    <w:rsid w:val="00174518"/>
    <w:rsid w:val="0018106D"/>
    <w:rsid w:val="001877A7"/>
    <w:rsid w:val="00191536"/>
    <w:rsid w:val="00196687"/>
    <w:rsid w:val="001A3BFB"/>
    <w:rsid w:val="001C0962"/>
    <w:rsid w:val="001D7531"/>
    <w:rsid w:val="001E737D"/>
    <w:rsid w:val="001F0592"/>
    <w:rsid w:val="001F7506"/>
    <w:rsid w:val="002006CD"/>
    <w:rsid w:val="00202B36"/>
    <w:rsid w:val="00204B7A"/>
    <w:rsid w:val="00204CDE"/>
    <w:rsid w:val="0021101A"/>
    <w:rsid w:val="00220536"/>
    <w:rsid w:val="00223894"/>
    <w:rsid w:val="00235629"/>
    <w:rsid w:val="00260C38"/>
    <w:rsid w:val="002616C0"/>
    <w:rsid w:val="00265372"/>
    <w:rsid w:val="002662AA"/>
    <w:rsid w:val="00280496"/>
    <w:rsid w:val="00294DC9"/>
    <w:rsid w:val="00295495"/>
    <w:rsid w:val="002A06E4"/>
    <w:rsid w:val="002A31DE"/>
    <w:rsid w:val="002B2613"/>
    <w:rsid w:val="002D6D05"/>
    <w:rsid w:val="002F1818"/>
    <w:rsid w:val="002F537C"/>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3BC3"/>
    <w:rsid w:val="004A711F"/>
    <w:rsid w:val="004B199D"/>
    <w:rsid w:val="004B4690"/>
    <w:rsid w:val="004B7BC9"/>
    <w:rsid w:val="004E0A2D"/>
    <w:rsid w:val="004E206B"/>
    <w:rsid w:val="004E6DF7"/>
    <w:rsid w:val="004F0FBD"/>
    <w:rsid w:val="00505A47"/>
    <w:rsid w:val="00512FDA"/>
    <w:rsid w:val="00520DA0"/>
    <w:rsid w:val="005664B8"/>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0795"/>
    <w:rsid w:val="00681A31"/>
    <w:rsid w:val="00683E73"/>
    <w:rsid w:val="006A3141"/>
    <w:rsid w:val="006A5E34"/>
    <w:rsid w:val="006B2422"/>
    <w:rsid w:val="006B2B9A"/>
    <w:rsid w:val="006B70B2"/>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0D3C"/>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5AB1"/>
    <w:rsid w:val="00A16847"/>
    <w:rsid w:val="00A237D8"/>
    <w:rsid w:val="00A268C4"/>
    <w:rsid w:val="00A307CD"/>
    <w:rsid w:val="00A331C8"/>
    <w:rsid w:val="00A40A00"/>
    <w:rsid w:val="00A4142F"/>
    <w:rsid w:val="00A422EB"/>
    <w:rsid w:val="00A45BB7"/>
    <w:rsid w:val="00A46F35"/>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21EF"/>
    <w:rsid w:val="00B53C56"/>
    <w:rsid w:val="00B57DAF"/>
    <w:rsid w:val="00B77EA6"/>
    <w:rsid w:val="00B81598"/>
    <w:rsid w:val="00B841F1"/>
    <w:rsid w:val="00B944D6"/>
    <w:rsid w:val="00BB4DF0"/>
    <w:rsid w:val="00BC0A49"/>
    <w:rsid w:val="00BC289F"/>
    <w:rsid w:val="00BC2D50"/>
    <w:rsid w:val="00BC3B28"/>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5325"/>
    <w:rsid w:val="00E472B1"/>
    <w:rsid w:val="00E50624"/>
    <w:rsid w:val="00E54633"/>
    <w:rsid w:val="00E568DF"/>
    <w:rsid w:val="00E64269"/>
    <w:rsid w:val="00E65024"/>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5B94"/>
    <w:rsid w:val="00F87E96"/>
    <w:rsid w:val="00FA23E8"/>
    <w:rsid w:val="00FD3CC1"/>
    <w:rsid w:val="00FF1E02"/>
    <w:rsid w:val="00FF30B4"/>
    <w:rsid w:val="012A5EC2"/>
    <w:rsid w:val="015975B8"/>
    <w:rsid w:val="02FEBE30"/>
    <w:rsid w:val="044335E5"/>
    <w:rsid w:val="04916F1E"/>
    <w:rsid w:val="05C97E10"/>
    <w:rsid w:val="061E35DE"/>
    <w:rsid w:val="066E0107"/>
    <w:rsid w:val="07996F6E"/>
    <w:rsid w:val="07DFD8BA"/>
    <w:rsid w:val="084A0554"/>
    <w:rsid w:val="09867E8F"/>
    <w:rsid w:val="0A2032A3"/>
    <w:rsid w:val="0ACB34C4"/>
    <w:rsid w:val="0CA8290A"/>
    <w:rsid w:val="0D35B1ED"/>
    <w:rsid w:val="0E254B6B"/>
    <w:rsid w:val="0F98263C"/>
    <w:rsid w:val="101860EC"/>
    <w:rsid w:val="101F47CC"/>
    <w:rsid w:val="10BA0690"/>
    <w:rsid w:val="10C055FF"/>
    <w:rsid w:val="11694EBD"/>
    <w:rsid w:val="11772AA4"/>
    <w:rsid w:val="118107EC"/>
    <w:rsid w:val="12040D96"/>
    <w:rsid w:val="12E24EE2"/>
    <w:rsid w:val="13D50BC4"/>
    <w:rsid w:val="14B17F78"/>
    <w:rsid w:val="15C74CB2"/>
    <w:rsid w:val="165E0673"/>
    <w:rsid w:val="16B831D5"/>
    <w:rsid w:val="16BB723D"/>
    <w:rsid w:val="17E50567"/>
    <w:rsid w:val="186504BB"/>
    <w:rsid w:val="19A445FC"/>
    <w:rsid w:val="1BE8440E"/>
    <w:rsid w:val="1D155CEE"/>
    <w:rsid w:val="1D1638FE"/>
    <w:rsid w:val="1E312DEB"/>
    <w:rsid w:val="1E740ACF"/>
    <w:rsid w:val="1FF35744"/>
    <w:rsid w:val="1FF6BC77"/>
    <w:rsid w:val="20A52FAA"/>
    <w:rsid w:val="21015A43"/>
    <w:rsid w:val="2186353C"/>
    <w:rsid w:val="23860B96"/>
    <w:rsid w:val="240371BF"/>
    <w:rsid w:val="244F3473"/>
    <w:rsid w:val="24893363"/>
    <w:rsid w:val="24C97D99"/>
    <w:rsid w:val="25A718F0"/>
    <w:rsid w:val="25BB59F6"/>
    <w:rsid w:val="260F557C"/>
    <w:rsid w:val="26970054"/>
    <w:rsid w:val="281408E2"/>
    <w:rsid w:val="288C209B"/>
    <w:rsid w:val="29FD04D3"/>
    <w:rsid w:val="2A9C455D"/>
    <w:rsid w:val="2BFF7BC6"/>
    <w:rsid w:val="2C8A61B5"/>
    <w:rsid w:val="2DF04E50"/>
    <w:rsid w:val="2E586DFA"/>
    <w:rsid w:val="2F040D46"/>
    <w:rsid w:val="2F6B035B"/>
    <w:rsid w:val="2FAE5751"/>
    <w:rsid w:val="2FB1A395"/>
    <w:rsid w:val="2FD9A7D8"/>
    <w:rsid w:val="2FDBF714"/>
    <w:rsid w:val="30AB6865"/>
    <w:rsid w:val="319F7F4E"/>
    <w:rsid w:val="32440A76"/>
    <w:rsid w:val="32BD1EF1"/>
    <w:rsid w:val="3304709D"/>
    <w:rsid w:val="33A773CB"/>
    <w:rsid w:val="349D6851"/>
    <w:rsid w:val="36AA5135"/>
    <w:rsid w:val="36BE0DA7"/>
    <w:rsid w:val="36E844AC"/>
    <w:rsid w:val="376B6AA6"/>
    <w:rsid w:val="376D39B2"/>
    <w:rsid w:val="37E16F03"/>
    <w:rsid w:val="37F53A3B"/>
    <w:rsid w:val="389B6C89"/>
    <w:rsid w:val="38D469F0"/>
    <w:rsid w:val="39627CCD"/>
    <w:rsid w:val="397BAF1F"/>
    <w:rsid w:val="39F529A3"/>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9AB3427"/>
    <w:rsid w:val="4A627F82"/>
    <w:rsid w:val="4B0E749A"/>
    <w:rsid w:val="4B2477C4"/>
    <w:rsid w:val="4B4F25DA"/>
    <w:rsid w:val="4BE068DB"/>
    <w:rsid w:val="4D577224"/>
    <w:rsid w:val="4DBF1CEB"/>
    <w:rsid w:val="4DF0007C"/>
    <w:rsid w:val="4E4717E5"/>
    <w:rsid w:val="4EAB630A"/>
    <w:rsid w:val="4ECE2238"/>
    <w:rsid w:val="4F833267"/>
    <w:rsid w:val="4FE9BD67"/>
    <w:rsid w:val="4FFB052F"/>
    <w:rsid w:val="537E6D0A"/>
    <w:rsid w:val="53F74C96"/>
    <w:rsid w:val="55170BA8"/>
    <w:rsid w:val="553218C9"/>
    <w:rsid w:val="567E1AA5"/>
    <w:rsid w:val="56A504D3"/>
    <w:rsid w:val="56E47B74"/>
    <w:rsid w:val="57175D52"/>
    <w:rsid w:val="57BD3DD4"/>
    <w:rsid w:val="5AF92295"/>
    <w:rsid w:val="5B250254"/>
    <w:rsid w:val="5BA95EBC"/>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0E212B"/>
    <w:rsid w:val="698D0931"/>
    <w:rsid w:val="6A7FE5F3"/>
    <w:rsid w:val="6B053271"/>
    <w:rsid w:val="6B0B03D7"/>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2BE7E74"/>
    <w:rsid w:val="73160E6D"/>
    <w:rsid w:val="7332FE48"/>
    <w:rsid w:val="73AB61DA"/>
    <w:rsid w:val="73AD73D5"/>
    <w:rsid w:val="73B6EB34"/>
    <w:rsid w:val="73FA497D"/>
    <w:rsid w:val="744731E5"/>
    <w:rsid w:val="74BBD01D"/>
    <w:rsid w:val="74ED5379"/>
    <w:rsid w:val="75DEEEC2"/>
    <w:rsid w:val="75E32345"/>
    <w:rsid w:val="76BB4203"/>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034068"/>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cap="all" spc="150" baseline="0">
                <a:solidFill>
                  <a:srgbClr val="808080">
                    <a:lumMod val="50000"/>
                    <a:lumOff val="50000"/>
                  </a:srgbClr>
                </a:solidFill>
                <a:latin typeface="+mn-lt"/>
                <a:ea typeface="+mn-ea"/>
                <a:cs typeface="+mn-cs"/>
              </a:defRPr>
            </a:pPr>
            <a:r>
              <a:t>收、支预算安排变动情况图</a:t>
            </a:r>
          </a:p>
        </c:rich>
      </c:tx>
      <c:layout/>
      <c:overlay val="0"/>
      <c:spPr>
        <a:noFill/>
        <a:ln>
          <a:noFill/>
        </a:ln>
        <a:effectLst/>
      </c:spPr>
    </c:title>
    <c:autoTitleDeleted val="0"/>
    <c:plotArea>
      <c:layout/>
      <c:barChart>
        <c:barDir val="col"/>
        <c:grouping val="clustered"/>
        <c:varyColors val="0"/>
        <c:ser>
          <c:idx val="0"/>
          <c:order val="0"/>
          <c:tx>
            <c:strRef>
              <c:f>[Book1]Sheet1!$D$5</c:f>
              <c:strCache>
                <c:ptCount val="1"/>
                <c:pt idx="0">
                  <c:v>金额</c:v>
                </c:pt>
              </c:strCache>
            </c:strRef>
          </c:tx>
          <c:spPr>
            <a:pattFill prst="narHorz">
              <a:fgClr>
                <a:srgbClr val="4F81BD"/>
              </a:fgClr>
              <a:bgClr>
                <a:srgbClr val="DCE6F2">
                  <a:lumMod val="20000"/>
                  <a:lumOff val="80000"/>
                </a:srgbClr>
              </a:bgClr>
            </a:pattFill>
            <a:ln>
              <a:noFill/>
            </a:ln>
            <a:effectLst>
              <a:innerShdw blurRad="114300">
                <a:srgbClr val="4F81BD"/>
              </a:innerShdw>
            </a:effectLst>
          </c:spPr>
          <c:invertIfNegative val="0"/>
          <c:dLbls>
            <c:dLbl>
              <c:idx val="0"/>
              <c:layout>
                <c:manualLayout>
                  <c:x val="0.00416666666666667"/>
                  <c:y val="-0.104166666666667"/>
                </c:manualLayout>
              </c:layout>
              <c:tx>
                <c:rich>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r>
                      <a:t>28421.36</a:t>
                    </a:r>
                  </a:p>
                </c:rich>
              </c:tx>
              <c:dLblPos val="in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08333333333333"/>
                  <c:y val="-0.0972222222222222"/>
                </c:manualLayout>
              </c:layout>
              <c:tx>
                <c:rich>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r>
                      <a:t>31859.13</a:t>
                    </a:r>
                  </a:p>
                </c:rich>
              </c:tx>
              <c:dLblPos val="in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[Book1]Sheet1!$C$6:$C$7</c:f>
              <c:strCache>
                <c:ptCount val="2"/>
                <c:pt idx="0">
                  <c:v>2024年</c:v>
                </c:pt>
                <c:pt idx="1">
                  <c:v>2025年</c:v>
                </c:pt>
              </c:strCache>
            </c:strRef>
          </c:cat>
          <c:val>
            <c:numRef>
              <c:f>[Book1]Sheet1!$D$6:$D$7</c:f>
              <c:numCache>
                <c:formatCode>General</c:formatCode>
                <c:ptCount val="2"/>
                <c:pt idx="0">
                  <c:v>28421.36</c:v>
                </c:pt>
                <c:pt idx="1">
                  <c:v>31859.13</c:v>
                </c:pt>
              </c:numCache>
            </c:numRef>
          </c:val>
        </c:ser>
        <c:dLbls>
          <c:showLegendKey val="0"/>
          <c:showVal val="1"/>
          <c:showCatName val="0"/>
          <c:showSerName val="0"/>
          <c:showPercent val="0"/>
          <c:showBubbleSize val="0"/>
        </c:dLbls>
        <c:gapWidth val="164"/>
        <c:overlap val="-22"/>
        <c:axId val="54424704"/>
        <c:axId val="54426240"/>
      </c:barChart>
      <c:catAx>
        <c:axId val="54424704"/>
        <c:scaling>
          <c:orientation val="minMax"/>
        </c:scaling>
        <c:delete val="0"/>
        <c:axPos val="b"/>
        <c:majorTickMark val="none"/>
        <c:minorTickMark val="none"/>
        <c:tickLblPos val="nextTo"/>
        <c:spPr>
          <a:noFill/>
          <a:ln w="19050" cap="flat" cmpd="sng" algn="ctr">
            <a:solidFill>
              <a:srgbClr val="BFBFBF">
                <a:lumMod val="25000"/>
                <a:lumOff val="7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4426240"/>
        <c:crosses val="autoZero"/>
        <c:auto val="1"/>
        <c:lblAlgn val="ctr"/>
        <c:lblOffset val="100"/>
        <c:noMultiLvlLbl val="0"/>
      </c:catAx>
      <c:valAx>
        <c:axId val="54426240"/>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4424704"/>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Lbls>
            <c:dLbl>
              <c:idx val="0"/>
              <c:layout>
                <c:manualLayout>
                  <c:x val="0.0691381177878943"/>
                  <c:y val="0.0382013084485544"/>
                </c:manualLayout>
              </c:layout>
              <c:tx>
                <c:rich>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r>
                      <a:rPr lang="en-US" altLang="zh-CN"/>
                      <a:t>0.78</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r>
                      <a:t>85</a:t>
                    </a:r>
                    <a:r>
                      <a:rPr lang="en-US" altLang="zh-CN"/>
                      <a:t>.06</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layout>
                <c:manualLayout>
                  <c:x val="-0.0130478227400132"/>
                  <c:y val="0.0330993148312262"/>
                </c:manualLayout>
              </c:layout>
              <c:tx>
                <c:rich>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r>
                      <a:t>12</a:t>
                    </a:r>
                    <a:r>
                      <a:rPr lang="en-US" altLang="zh-CN"/>
                      <a:t>.56</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215290156811872"/>
                  <c:y val="0.00685492561807541"/>
                </c:manualLayout>
              </c:layout>
              <c:tx>
                <c:rich>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r>
                      <a:rPr lang="en-US" altLang="zh-CN"/>
                      <a:t>1.6</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[Book1]Sheet1!$F$67:$F$70</c:f>
              <c:strCache>
                <c:ptCount val="4"/>
                <c:pt idx="0">
                  <c:v>年初结转</c:v>
                </c:pt>
                <c:pt idx="1">
                  <c:v>一般公共预算财政拨款</c:v>
                </c:pt>
                <c:pt idx="2">
                  <c:v>政府性基金预算财政拨款</c:v>
                </c:pt>
                <c:pt idx="3">
                  <c:v>其他收入</c:v>
                </c:pt>
              </c:strCache>
            </c:strRef>
          </c:cat>
          <c:val>
            <c:numRef>
              <c:f>[Book1]Sheet1!$G$67:$G$70</c:f>
              <c:numCache>
                <c:formatCode>General</c:formatCode>
                <c:ptCount val="4"/>
                <c:pt idx="0">
                  <c:v>248.22</c:v>
                </c:pt>
                <c:pt idx="1">
                  <c:v>27102.51</c:v>
                </c:pt>
                <c:pt idx="2">
                  <c:v>4000</c:v>
                </c:pt>
                <c:pt idx="3">
                  <c:v>508.4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zero"/>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r>
                      <a:t>71</a:t>
                    </a:r>
                    <a:r>
                      <a:rPr lang="en-US" altLang="zh-CN"/>
                      <a:t>.06</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r>
                      <a:t>2</a:t>
                    </a:r>
                    <a:r>
                      <a:rPr lang="en-US" altLang="zh-CN"/>
                      <a:t>8.94</a:t>
                    </a:r>
                    <a:r>
                      <a:t>%</a:t>
                    </a:r>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[Book1]Sheet1!$F$109:$F$110</c:f>
              <c:strCache>
                <c:ptCount val="2"/>
                <c:pt idx="0">
                  <c:v>基本支出</c:v>
                </c:pt>
                <c:pt idx="1">
                  <c:v>项目支出</c:v>
                </c:pt>
              </c:strCache>
            </c:strRef>
          </c:cat>
          <c:val>
            <c:numRef>
              <c:f>[Book1]Sheet1!$G$109:$G$110</c:f>
              <c:numCache>
                <c:formatCode>General</c:formatCode>
                <c:ptCount val="2"/>
                <c:pt idx="0">
                  <c:v>22495.95</c:v>
                </c:pt>
                <c:pt idx="1">
                  <c:v>9163.04999999999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zero"/>
    <c:showDLblsOverMax val="0"/>
  </c:chart>
  <c:spPr>
    <a:solidFill>
      <a:srgbClr val="FFFFFF"/>
    </a:solidFill>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[Book1]Sheet1!$I$12:$I$13</c:f>
              <c:strCache>
                <c:ptCount val="2"/>
                <c:pt idx="0">
                  <c:v>2024年</c:v>
                </c:pt>
                <c:pt idx="1">
                  <c:v>2025年</c:v>
                </c:pt>
              </c:strCache>
            </c:strRef>
          </c:cat>
          <c:val>
            <c:numRef>
              <c:f>[Book1]Sheet1!$J$12:$J$13</c:f>
              <c:numCache>
                <c:formatCode>General</c:formatCode>
                <c:ptCount val="2"/>
                <c:pt idx="0">
                  <c:v>27622.99</c:v>
                </c:pt>
                <c:pt idx="1">
                  <c:v>31102.51</c:v>
                </c:pt>
              </c:numCache>
            </c:numRef>
          </c:val>
        </c:ser>
        <c:dLbls>
          <c:showLegendKey val="0"/>
          <c:showVal val="1"/>
          <c:showCatName val="0"/>
          <c:showSerName val="0"/>
          <c:showPercent val="0"/>
          <c:showBubbleSize val="0"/>
        </c:dLbls>
        <c:gapWidth val="75"/>
        <c:axId val="108606976"/>
        <c:axId val="108631168"/>
      </c:barChart>
      <c:catAx>
        <c:axId val="10860697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8631168"/>
        <c:crosses val="autoZero"/>
        <c:auto val="1"/>
        <c:lblAlgn val="ctr"/>
        <c:lblOffset val="100"/>
        <c:noMultiLvlLbl val="0"/>
      </c:catAx>
      <c:valAx>
        <c:axId val="108631168"/>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8606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[Book1]Sheet1!$I$25:$I$26</c:f>
              <c:strCache>
                <c:ptCount val="2"/>
                <c:pt idx="0">
                  <c:v>2024年</c:v>
                </c:pt>
                <c:pt idx="1">
                  <c:v>2025年</c:v>
                </c:pt>
              </c:strCache>
            </c:strRef>
          </c:cat>
          <c:val>
            <c:numRef>
              <c:f>[Book1]Sheet1!$J$25:$J$26</c:f>
              <c:numCache>
                <c:formatCode>General</c:formatCode>
                <c:ptCount val="2"/>
                <c:pt idx="0">
                  <c:v>27523.99</c:v>
                </c:pt>
                <c:pt idx="1">
                  <c:v>27102.51</c:v>
                </c:pt>
              </c:numCache>
            </c:numRef>
          </c:val>
        </c:ser>
        <c:dLbls>
          <c:showLegendKey val="0"/>
          <c:showVal val="1"/>
          <c:showCatName val="0"/>
          <c:showSerName val="0"/>
          <c:showPercent val="0"/>
          <c:showBubbleSize val="0"/>
        </c:dLbls>
        <c:gapWidth val="75"/>
        <c:axId val="109291008"/>
        <c:axId val="109292544"/>
      </c:barChart>
      <c:catAx>
        <c:axId val="10929100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292544"/>
        <c:crosses val="autoZero"/>
        <c:auto val="1"/>
        <c:lblAlgn val="ctr"/>
        <c:lblOffset val="100"/>
        <c:noMultiLvlLbl val="0"/>
      </c:catAx>
      <c:valAx>
        <c:axId val="109292544"/>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291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0892236886392644"/>
                  <c:y val="0.0498651346585107"/>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0</a:t>
                    </a:r>
                    <a:r>
                      <a:rPr lang="en-US" altLang="zh-CN"/>
                      <a:t>.13</a:t>
                    </a:r>
                    <a:r>
                      <a:t>%</a:t>
                    </a:r>
                  </a:p>
                </c:rich>
              </c:tx>
              <c:dLblPos val="bestFit"/>
              <c:showLegendKey val="0"/>
              <c:showVal val="0"/>
              <c:showCatName val="0"/>
              <c:showSerName val="0"/>
              <c:showPercent val="1"/>
              <c:showBubbleSize val="0"/>
              <c:extLst>
                <c:ext xmlns:c15="http://schemas.microsoft.com/office/drawing/2012/chart" uri="{CE6537A1-D6FC-4f65-9D91-7224C49458BB}">
                  <c15:layout>
                    <c:manualLayout>
                      <c:w val="0.145675967319254"/>
                      <c:h val="0.0903755868544601"/>
                    </c:manualLayout>
                  </c15:layout>
                </c:ext>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78.85</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12.78</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3"/>
              <c:layout>
                <c:manualLayout>
                  <c:x val="-0.0012528335959223"/>
                  <c:y val="-0.00139897801665973"/>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3</a:t>
                    </a:r>
                    <a:r>
                      <a:rPr lang="en-US" altLang="zh-CN"/>
                      <a:t>.41</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181098573263567"/>
                  <c:y val="0.0122179848980802"/>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4.83</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[Book1]Sheet1!$H$42:$H$46</c:f>
              <c:strCache>
                <c:ptCount val="5"/>
                <c:pt idx="0">
                  <c:v>一般公共服务支出</c:v>
                </c:pt>
                <c:pt idx="1">
                  <c:v>公共安全支出</c:v>
                </c:pt>
                <c:pt idx="2">
                  <c:v>社会保障和就业支出</c:v>
                </c:pt>
                <c:pt idx="3">
                  <c:v>卫生健康支出</c:v>
                </c:pt>
                <c:pt idx="4">
                  <c:v>住房保障支出</c:v>
                </c:pt>
              </c:strCache>
            </c:strRef>
          </c:cat>
          <c:val>
            <c:numRef>
              <c:f>[Book1]Sheet1!$I$42:$I$46</c:f>
              <c:numCache>
                <c:formatCode>General</c:formatCode>
                <c:ptCount val="5"/>
                <c:pt idx="0">
                  <c:v>35.38</c:v>
                </c:pt>
                <c:pt idx="1">
                  <c:v>21369.07</c:v>
                </c:pt>
                <c:pt idx="2">
                  <c:v>3464.28</c:v>
                </c:pt>
                <c:pt idx="3">
                  <c:v>925.49</c:v>
                </c:pt>
                <c:pt idx="4">
                  <c:v>1308.29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0761111111111111"/>
          <c:y val="0.00694444444444445"/>
          <c:w val="0.848194444444445"/>
          <c:h val="0.14074074074074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1171</Words>
  <Characters>6679</Characters>
  <Lines>55</Lines>
  <Paragraphs>15</Paragraphs>
  <TotalTime>22</TotalTime>
  <ScaleCrop>false</ScaleCrop>
  <LinksUpToDate>false</LinksUpToDate>
  <CharactersWithSpaces>7835</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2025-09-09T01:55:00Z</dcterms:created>
  <dc:creator>曹颖</dc:creator>
  <cp:lastModifiedBy>Administrator</cp:lastModifiedBy>
  <cp:lastPrinted>2026-08-31T08:25:00Z</cp:lastPrinted>
  <dcterms:modified xsi:type="dcterms:W3CDTF">2026-09-14T07:26:02Z</dcterms:modified>
  <dc:title>四川省***</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342095F2F7C541AD8963A4126E984C79</vt:lpwstr>
  </property>
</Properties>
</file>