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Toc15378441"/>
      <w:bookmarkStart w:id="1" w:name="_Toc15396475"/>
      <w:bookmarkStart w:id="2" w:name="_Toc15396597"/>
      <w:bookmarkStart w:id="3" w:name="_Toc15377425"/>
      <w:bookmarkStart w:id="4" w:name="_Toc15377193"/>
      <w:bookmarkStart w:id="5" w:name="_Toc15306267"/>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p>
      <w:pPr>
        <w:pStyle w:val="8"/>
        <w:spacing w:before="93"/>
        <w:jc w:val="center"/>
        <w:rPr>
          <w:rFonts w:ascii="Times New Roman" w:eastAsia="方正小标宋简体"/>
          <w:kern w:val="2"/>
          <w:sz w:val="44"/>
          <w:szCs w:val="44"/>
        </w:rPr>
      </w:pPr>
      <w:bookmarkStart w:id="6" w:name="_Toc15377194"/>
      <w:bookmarkStart w:id="7" w:name="_Toc15378442"/>
      <w:bookmarkStart w:id="8" w:name="_Toc15377426"/>
      <w:bookmarkStart w:id="9" w:name="_Toc15396476"/>
      <w:bookmarkStart w:id="10" w:name="_Toc15396598"/>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rPr>
        <w:t>公安局西区分局</w:t>
      </w:r>
    </w:p>
    <w:p>
      <w:pPr>
        <w:pStyle w:val="8"/>
        <w:spacing w:before="93"/>
        <w:jc w:val="center"/>
        <w:rPr>
          <w:rFonts w:ascii="Times New Roman" w:eastAsia="方正小标宋简体"/>
          <w:kern w:val="2"/>
          <w:sz w:val="44"/>
          <w:szCs w:val="44"/>
        </w:rPr>
      </w:pPr>
      <w:bookmarkStart w:id="69" w:name="_GoBack"/>
      <w:bookmarkEnd w:id="69"/>
      <w:r>
        <w:rPr>
          <w:rFonts w:hint="eastAsia" w:ascii="Times New Roman" w:eastAsia="方正小标宋简体"/>
          <w:kern w:val="2"/>
          <w:sz w:val="44"/>
          <w:szCs w:val="44"/>
        </w:rPr>
        <w:t>部门决算</w:t>
      </w:r>
      <w:bookmarkEnd w:id="6"/>
      <w:bookmarkEnd w:id="7"/>
      <w:bookmarkEnd w:id="8"/>
      <w:bookmarkEnd w:id="9"/>
      <w:bookmarkEnd w:id="10"/>
      <w:bookmarkEnd w:id="11"/>
    </w:p>
    <w:p>
      <w:pPr>
        <w:widowControl/>
        <w:jc w:val="center"/>
        <w:rPr>
          <w:rFonts w:eastAsia="黑体"/>
          <w:sz w:val="48"/>
          <w:szCs w:val="48"/>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公开时间：2026年9月15日</w:t>
      </w:r>
    </w:p>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hint="eastAsia"/>
          <w:sz w:val="24"/>
        </w:rPr>
        <w:t>·············································</w:t>
      </w:r>
      <w:r>
        <w:rPr>
          <w:rFonts w:hint="eastAsia" w:ascii="Times New Roman" w:hAnsi="Times New Roman" w:eastAsia="宋体"/>
          <w:sz w:val="32"/>
          <w:szCs w:val="32"/>
        </w:rPr>
        <w:t>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r>
        <w:rPr>
          <w:rFonts w:hint="eastAsia"/>
          <w:sz w:val="24"/>
        </w:rPr>
        <w:t>···············································</w:t>
      </w:r>
      <w:r>
        <w:rPr>
          <w:rFonts w:hint="eastAsia"/>
          <w:sz w:val="32"/>
          <w:szCs w:val="32"/>
        </w:rPr>
        <w:t>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hint="eastAsia"/>
          <w:sz w:val="24"/>
        </w:rPr>
        <w:t>···············································</w:t>
      </w:r>
      <w:r>
        <w:rPr>
          <w:rFonts w:hint="eastAsia"/>
          <w:sz w:val="32"/>
          <w:szCs w:val="32"/>
        </w:rPr>
        <w:t>3</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r>
        <w:rPr>
          <w:rFonts w:hint="eastAsia"/>
          <w:sz w:val="24"/>
        </w:rPr>
        <w:t>·······················</w:t>
      </w:r>
      <w:r>
        <w:rPr>
          <w:rFonts w:hint="eastAsia"/>
          <w:sz w:val="32"/>
          <w:szCs w:val="32"/>
        </w:rPr>
        <w:t>4</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hint="eastAsia"/>
          <w:sz w:val="24"/>
        </w:rPr>
        <w:t>·························</w:t>
      </w:r>
      <w:r>
        <w:rPr>
          <w:rFonts w:hint="eastAsia"/>
          <w:sz w:val="32"/>
          <w:szCs w:val="32"/>
        </w:rPr>
        <w:t>4</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hint="eastAsia"/>
          <w:sz w:val="24"/>
        </w:rPr>
        <w:t>····································</w:t>
      </w:r>
      <w:r>
        <w:rPr>
          <w:rFonts w:hint="eastAsia"/>
          <w:sz w:val="32"/>
          <w:szCs w:val="32"/>
        </w:rPr>
        <w:t>4</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hint="eastAsia"/>
          <w:sz w:val="24"/>
        </w:rPr>
        <w:t>····································</w:t>
      </w:r>
      <w:r>
        <w:rPr>
          <w:rFonts w:hint="eastAsia"/>
          <w:sz w:val="32"/>
          <w:szCs w:val="32"/>
        </w:rPr>
        <w:t>5</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rFonts w:hint="eastAsia"/>
          <w:sz w:val="24"/>
        </w:rPr>
        <w:t>···············</w:t>
      </w:r>
      <w:r>
        <w:rPr>
          <w:rFonts w:hint="eastAsia"/>
          <w:sz w:val="32"/>
          <w:szCs w:val="32"/>
        </w:rPr>
        <w:t>6</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hint="eastAsia"/>
          <w:sz w:val="24"/>
        </w:rPr>
        <w:t>·········</w:t>
      </w:r>
      <w:r>
        <w:rPr>
          <w:rFonts w:hint="eastAsia"/>
          <w:sz w:val="32"/>
          <w:szCs w:val="32"/>
        </w:rPr>
        <w:t>7</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hint="eastAsia"/>
          <w:sz w:val="24"/>
        </w:rPr>
        <w:t>···</w:t>
      </w:r>
      <w:r>
        <w:rPr>
          <w:rFonts w:hint="eastAsia"/>
          <w:sz w:val="32"/>
          <w:szCs w:val="32"/>
        </w:rPr>
        <w:t>10</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hint="eastAsia"/>
          <w:sz w:val="24"/>
        </w:rPr>
        <w:t>·········</w:t>
      </w:r>
      <w:r>
        <w:rPr>
          <w:rFonts w:hint="eastAsia"/>
          <w:sz w:val="32"/>
          <w:szCs w:val="32"/>
        </w:rPr>
        <w:t>10</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hint="eastAsia"/>
          <w:sz w:val="24"/>
        </w:rPr>
        <w:t>·················</w:t>
      </w:r>
      <w:r>
        <w:rPr>
          <w:rFonts w:hint="eastAsia"/>
          <w:sz w:val="32"/>
          <w:szCs w:val="32"/>
        </w:rPr>
        <w:t>12</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rFonts w:hint="eastAsia"/>
          <w:sz w:val="24"/>
        </w:rPr>
        <w:t>··············</w:t>
      </w:r>
      <w:r>
        <w:rPr>
          <w:rFonts w:hint="eastAsia"/>
          <w:sz w:val="32"/>
          <w:szCs w:val="32"/>
        </w:rPr>
        <w:t>12</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hint="eastAsia"/>
          <w:sz w:val="24"/>
        </w:rPr>
        <w:t>···························</w:t>
      </w:r>
      <w:r>
        <w:rPr>
          <w:rFonts w:hint="eastAsia"/>
          <w:sz w:val="32"/>
          <w:szCs w:val="32"/>
        </w:rPr>
        <w:t>12</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r>
        <w:rPr>
          <w:rFonts w:hint="eastAsia"/>
          <w:sz w:val="24"/>
        </w:rPr>
        <w:t>···········································</w:t>
      </w:r>
      <w:r>
        <w:rPr>
          <w:rFonts w:hint="eastAsia" w:ascii="Times New Roman" w:hAnsi="Times New Roman" w:eastAsia="宋体"/>
          <w:sz w:val="32"/>
          <w:szCs w:val="32"/>
        </w:rPr>
        <w:t>14</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r>
        <w:rPr>
          <w:rFonts w:hint="eastAsia"/>
          <w:sz w:val="24"/>
        </w:rPr>
        <w:t>·················································</w:t>
      </w:r>
      <w:r>
        <w:rPr>
          <w:rFonts w:hint="eastAsia" w:ascii="Times New Roman" w:hAnsi="Times New Roman" w:eastAsia="宋体"/>
          <w:sz w:val="32"/>
          <w:szCs w:val="32"/>
        </w:rPr>
        <w:t>17</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rFonts w:hint="eastAsia"/>
          <w:sz w:val="24"/>
        </w:rPr>
        <w:t>·················································</w:t>
      </w:r>
      <w:r>
        <w:rPr>
          <w:rFonts w:hint="eastAsia" w:ascii="Times New Roman" w:hAnsi="Times New Roman" w:eastAsia="宋体"/>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rFonts w:hint="eastAsia"/>
          <w:sz w:val="24"/>
        </w:rPr>
        <w:t>········</w:t>
      </w:r>
      <w:r>
        <w:rPr>
          <w:rFonts w:hint="eastAsia"/>
          <w:sz w:val="32"/>
          <w:szCs w:val="32"/>
        </w:rPr>
        <w:t>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hint="eastAsia"/>
          <w:sz w:val="24"/>
        </w:rPr>
        <w:t>·············</w:t>
      </w:r>
      <w:r>
        <w:rPr>
          <w:rFonts w:hint="eastAsia"/>
          <w:sz w:val="32"/>
          <w:szCs w:val="32"/>
        </w:rPr>
        <w:t>18</w:t>
      </w:r>
    </w:p>
    <w:p>
      <w:pPr>
        <w:widowControl/>
        <w:spacing w:line="560" w:lineRule="exact"/>
        <w:jc w:val="left"/>
        <w:rPr>
          <w:rFonts w:eastAsia="仿宋_GB2312" w:cs="仿宋_GB2312"/>
          <w:bCs/>
          <w:kern w:val="44"/>
          <w:sz w:val="32"/>
          <w:szCs w:val="32"/>
        </w:rPr>
      </w:pPr>
      <w:bookmarkStart w:id="12" w:name="_Toc15396599"/>
      <w:bookmarkStart w:id="13" w:name="_Toc15377196"/>
      <w:r>
        <w:rPr>
          <w:rFonts w:hint="eastAsia" w:eastAsia="仿宋_GB2312" w:cs="仿宋_GB2312"/>
          <w:b/>
          <w:sz w:val="32"/>
          <w:szCs w:val="32"/>
        </w:rPr>
        <w:br w:type="page"/>
      </w:r>
    </w:p>
    <w:p>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pPr>
        <w:widowControl/>
        <w:jc w:val="left"/>
        <w:rPr>
          <w:rFonts w:eastAsia="黑体"/>
          <w:sz w:val="32"/>
          <w:szCs w:val="32"/>
        </w:rPr>
      </w:pPr>
    </w:p>
    <w:p>
      <w:pPr>
        <w:pStyle w:val="6"/>
        <w:rPr>
          <w:rFonts w:ascii="Times New Roman" w:hAnsi="Times New Roman" w:eastAsia="黑体"/>
          <w:b w:val="0"/>
        </w:rPr>
      </w:pPr>
      <w:bookmarkStart w:id="14" w:name="_Toc15396600"/>
      <w:bookmarkStart w:id="15" w:name="_Toc15377197"/>
      <w:r>
        <w:rPr>
          <w:rFonts w:hint="eastAsia" w:ascii="Times New Roman" w:hAnsi="Times New Roman" w:eastAsia="黑体"/>
          <w:b w:val="0"/>
        </w:rPr>
        <w:t>一、</w:t>
      </w:r>
      <w:bookmarkEnd w:id="14"/>
      <w:bookmarkEnd w:id="15"/>
      <w:r>
        <w:rPr>
          <w:rFonts w:hint="eastAsia" w:ascii="Times New Roman" w:hAnsi="Times New Roman" w:eastAsia="黑体"/>
          <w:b w:val="0"/>
        </w:rPr>
        <w:t>部门职责</w:t>
      </w:r>
    </w:p>
    <w:p>
      <w:pPr>
        <w:pStyle w:val="27"/>
        <w:ind w:left="420" w:firstLine="640"/>
        <w:rPr>
          <w:rFonts w:ascii="仿宋_GB2312" w:hAnsi="仿宋_GB2312" w:eastAsia="仿宋_GB2312" w:cs="仿宋_GB2312"/>
          <w:sz w:val="32"/>
          <w:szCs w:val="32"/>
        </w:rPr>
      </w:pPr>
      <w:r>
        <w:rPr>
          <w:rFonts w:hint="eastAsia" w:ascii="仿宋_GB2312" w:eastAsia="仿宋_GB2312"/>
          <w:bCs/>
          <w:color w:val="000000"/>
          <w:kern w:val="0"/>
          <w:sz w:val="32"/>
          <w:szCs w:val="36"/>
        </w:rPr>
        <w:t>根据攀办发〔2013〕72号《攀枝花市公安局主要职责内设机构和人员编制规定》文件规定，我局主要职责是在市公安局领导下，负责治安行政管理和刑事执法工作以及市公安局22项职责中涉及分局完成的工作职责。</w:t>
      </w:r>
    </w:p>
    <w:p>
      <w:pPr>
        <w:pStyle w:val="6"/>
        <w:rPr>
          <w:rStyle w:val="29"/>
          <w:rFonts w:ascii="Times New Roman" w:hAnsi="Times New Roman"/>
          <w:b w:val="0"/>
          <w:bCs w:val="0"/>
        </w:rPr>
      </w:pPr>
      <w:bookmarkStart w:id="16" w:name="_Toc15377200"/>
      <w:bookmarkStart w:id="17"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p>
    <w:p>
      <w:pPr>
        <w:ind w:firstLine="640" w:firstLineChars="200"/>
      </w:pPr>
      <w:r>
        <w:rPr>
          <w:rFonts w:hint="eastAsia" w:ascii="仿宋_GB2312" w:hAnsi="仿宋" w:eastAsia="仿宋_GB2312"/>
          <w:sz w:val="32"/>
          <w:szCs w:val="32"/>
        </w:rPr>
        <w:t>我局为市级财政二级预算单位，现内设机构17个</w:t>
      </w:r>
      <w:r>
        <w:rPr>
          <w:rFonts w:hint="eastAsia" w:ascii="仿宋_GB2312" w:eastAsia="仿宋_GB2312"/>
          <w:sz w:val="30"/>
          <w:szCs w:val="30"/>
        </w:rPr>
        <w:t>。</w:t>
      </w:r>
    </w:p>
    <w:p>
      <w:pPr>
        <w:widowControl/>
        <w:jc w:val="left"/>
        <w:rPr>
          <w:rFonts w:eastAsia="仿宋"/>
          <w:kern w:val="0"/>
          <w:sz w:val="32"/>
          <w:szCs w:val="32"/>
        </w:rPr>
      </w:pPr>
      <w:r>
        <w:rPr>
          <w:rFonts w:eastAsia="仿宋"/>
          <w:sz w:val="32"/>
          <w:szCs w:val="32"/>
        </w:rPr>
        <w:br w:type="page"/>
      </w:r>
    </w:p>
    <w:p>
      <w:pPr>
        <w:pStyle w:val="5"/>
        <w:jc w:val="center"/>
        <w:rPr>
          <w:rFonts w:eastAsia="方正小标宋简体" w:cs="方正小标宋简体"/>
          <w:b w:val="0"/>
        </w:rPr>
      </w:pPr>
      <w:bookmarkStart w:id="18" w:name="_Toc15377204"/>
      <w:bookmarkStart w:id="19" w:name="_Toc15396602"/>
      <w:r>
        <w:rPr>
          <w:rFonts w:hint="eastAsia" w:eastAsia="方正小标宋简体" w:cs="方正小标宋简体"/>
          <w:b w:val="0"/>
        </w:rPr>
        <w:t>第二部分  2025年度部门决算情况说明</w:t>
      </w:r>
      <w:bookmarkEnd w:id="18"/>
      <w:bookmarkEnd w:id="19"/>
    </w:p>
    <w:p/>
    <w:p>
      <w:pPr>
        <w:pStyle w:val="27"/>
        <w:spacing w:line="600" w:lineRule="exact"/>
        <w:ind w:firstLine="640"/>
        <w:outlineLvl w:val="1"/>
        <w:rPr>
          <w:rStyle w:val="29"/>
          <w:rFonts w:ascii="Times New Roman" w:hAnsi="Times New Roman" w:eastAsia="黑体"/>
          <w:b w:val="0"/>
        </w:rPr>
      </w:pPr>
      <w:bookmarkStart w:id="20" w:name="_Toc15377205"/>
      <w:bookmarkStart w:id="21"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20"/>
      <w:bookmarkEnd w:id="21"/>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9857.12万元。与上年度相比，收入、支出总计各增加1777.94万元，增长22%。主要变动原因是2025年度部门决算中，将以往年度未计入市本级决算的区级资金，计入到2025年度部门决算中，该项目收入、支出合计均为1327.06万元；其他变动原因是人员经费增加。</w:t>
      </w: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drawing>
          <wp:anchor distT="0" distB="0" distL="114300" distR="114300" simplePos="0" relativeHeight="251659264" behindDoc="0" locked="0" layoutInCell="1" allowOverlap="1">
            <wp:simplePos x="0" y="0"/>
            <wp:positionH relativeFrom="column">
              <wp:posOffset>82550</wp:posOffset>
            </wp:positionH>
            <wp:positionV relativeFrom="paragraph">
              <wp:posOffset>486410</wp:posOffset>
            </wp:positionV>
            <wp:extent cx="5256530" cy="2988310"/>
            <wp:effectExtent l="5080" t="4445" r="15240" b="1714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7"/>
        <w:spacing w:line="600" w:lineRule="exact"/>
        <w:ind w:firstLine="0" w:firstLineChars="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w:t>
      </w:r>
    </w:p>
    <w:p>
      <w:pPr>
        <w:ind w:firstLine="640" w:firstLineChars="200"/>
        <w:rPr>
          <w:rFonts w:eastAsia="仿宋_GB2312" w:cs="仿宋_GB2312"/>
          <w:sz w:val="32"/>
          <w:szCs w:val="32"/>
        </w:rPr>
      </w:pPr>
    </w:p>
    <w:p>
      <w:pPr>
        <w:pStyle w:val="27"/>
        <w:spacing w:line="600" w:lineRule="exact"/>
        <w:ind w:firstLine="640"/>
        <w:outlineLvl w:val="1"/>
        <w:rPr>
          <w:rFonts w:eastAsia="黑体"/>
          <w:sz w:val="32"/>
          <w:szCs w:val="32"/>
        </w:rPr>
      </w:pPr>
      <w:bookmarkStart w:id="22" w:name="_Toc15377206"/>
      <w:bookmarkStart w:id="23" w:name="_Toc15396604"/>
      <w:r>
        <w:rPr>
          <w:rFonts w:hint="eastAsia" w:eastAsia="黑体"/>
          <w:sz w:val="32"/>
          <w:szCs w:val="32"/>
        </w:rPr>
        <w:t>二、收入决算情况说明</w:t>
      </w:r>
      <w:bookmarkEnd w:id="22"/>
      <w:bookmarkEnd w:id="23"/>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9857.12万元，其中：一般公共预算财政拨款收入8530.06万元，占86.5%；政府性基金预算财政拨款收入0万元，占0%；国有资本经营预算财政拨款收入0万元，占0%；上级补助收入0万元，占0%；事业收入0万元，占0%；经营收入0万元，占0%；附属单位上缴收入0万元，占0%；其他收入1327.06万元，占13.5%。</w:t>
      </w: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drawing>
          <wp:anchor distT="0" distB="0" distL="114300" distR="114300" simplePos="0" relativeHeight="251660288" behindDoc="0" locked="0" layoutInCell="1" allowOverlap="1">
            <wp:simplePos x="0" y="0"/>
            <wp:positionH relativeFrom="column">
              <wp:posOffset>411480</wp:posOffset>
            </wp:positionH>
            <wp:positionV relativeFrom="paragraph">
              <wp:posOffset>-2700655</wp:posOffset>
            </wp:positionV>
            <wp:extent cx="5256530" cy="2988310"/>
            <wp:effectExtent l="5080" t="4445" r="15240" b="17145"/>
            <wp:wrapSquare wrapText="bothSides"/>
            <wp:docPr id="7" name="图表 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w:t>
      </w:r>
    </w:p>
    <w:p>
      <w:pPr>
        <w:ind w:firstLine="800" w:firstLineChars="250"/>
        <w:rPr>
          <w:rFonts w:eastAsia="仿宋_GB2312" w:cs="仿宋_GB2312"/>
          <w:sz w:val="32"/>
          <w:szCs w:val="32"/>
        </w:rPr>
      </w:pPr>
    </w:p>
    <w:p>
      <w:pPr>
        <w:pStyle w:val="27"/>
        <w:spacing w:line="600" w:lineRule="exact"/>
        <w:ind w:firstLine="640"/>
        <w:outlineLvl w:val="1"/>
        <w:rPr>
          <w:rStyle w:val="29"/>
          <w:rFonts w:ascii="Times New Roman" w:hAnsi="Times New Roman" w:eastAsia="黑体"/>
          <w:b w:val="0"/>
        </w:rPr>
      </w:pPr>
      <w:bookmarkStart w:id="24" w:name="_Toc15396605"/>
      <w:bookmarkStart w:id="25" w:name="_Toc15377207"/>
      <w:r>
        <w:rPr>
          <w:rFonts w:hint="eastAsia" w:eastAsia="黑体"/>
          <w:sz w:val="32"/>
          <w:szCs w:val="32"/>
        </w:rPr>
        <w:t>三、支</w:t>
      </w:r>
      <w:r>
        <w:rPr>
          <w:rStyle w:val="29"/>
          <w:rFonts w:hint="eastAsia" w:ascii="Times New Roman" w:hAnsi="Times New Roman" w:eastAsia="黑体"/>
          <w:b w:val="0"/>
        </w:rPr>
        <w:t>出决算情况说明</w:t>
      </w:r>
      <w:bookmarkEnd w:id="24"/>
      <w:bookmarkEnd w:id="25"/>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2025年度本年支出合计9857.12万元，其中：基本支出8900.53万元，占90.3%；项目支出956.59万元，占9.7%；上缴上级支出0万元，占0%；经营支出0万元，占0%；对附属单位补助支出0万元，占0%。</w:t>
      </w: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drawing>
          <wp:anchor distT="0" distB="0" distL="114300" distR="114300" simplePos="0" relativeHeight="251661312" behindDoc="0" locked="0" layoutInCell="1" allowOverlap="1">
            <wp:simplePos x="0" y="0"/>
            <wp:positionH relativeFrom="column">
              <wp:posOffset>411480</wp:posOffset>
            </wp:positionH>
            <wp:positionV relativeFrom="paragraph">
              <wp:posOffset>-2700655</wp:posOffset>
            </wp:positionV>
            <wp:extent cx="5256530" cy="2988310"/>
            <wp:effectExtent l="5080" t="4445" r="15240" b="1714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w:t>
      </w:r>
    </w:p>
    <w:p>
      <w:pPr>
        <w:pStyle w:val="27"/>
        <w:spacing w:line="600" w:lineRule="exact"/>
        <w:ind w:firstLine="640"/>
        <w:outlineLvl w:val="1"/>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bookmarkStart w:id="26" w:name="_Toc15396606"/>
      <w:bookmarkStart w:id="27"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6"/>
      <w:bookmarkEnd w:id="27"/>
    </w:p>
    <w:p>
      <w:pPr>
        <w:spacing w:line="600" w:lineRule="exact"/>
        <w:ind w:firstLine="640"/>
        <w:rPr>
          <w:rFonts w:ascii="仿宋" w:hAnsi="仿宋" w:eastAsia="仿宋"/>
          <w:sz w:val="32"/>
          <w:szCs w:val="32"/>
        </w:rPr>
      </w:pPr>
      <w:r>
        <w:rPr>
          <w:rFonts w:hint="eastAsia" w:eastAsia="仿宋_GB2312" w:cs="仿宋_GB2312"/>
          <w:sz w:val="32"/>
          <w:szCs w:val="32"/>
        </w:rPr>
        <w:t>2025年度财政拨款收入、支出总计均为8530.06万元。与上年度相比，财政拨款收入、支出总计各增加450.88万元，增长5.6%。主要变动原因是</w:t>
      </w:r>
      <w:r>
        <w:rPr>
          <w:rFonts w:hint="eastAsia" w:ascii="仿宋" w:hAnsi="仿宋" w:eastAsia="仿宋"/>
          <w:sz w:val="32"/>
          <w:szCs w:val="32"/>
        </w:rPr>
        <w:t>人员经费增加。</w:t>
      </w:r>
    </w:p>
    <w:p>
      <w:pPr>
        <w:pStyle w:val="2"/>
      </w:pPr>
    </w:p>
    <w:p>
      <w:pPr>
        <w:pStyle w:val="3"/>
        <w:ind w:left="420"/>
      </w:pPr>
      <w:r>
        <w:rPr>
          <w:rFonts w:hint="eastAsia"/>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2"/>
      </w:pPr>
    </w:p>
    <w:p>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bookmarkStart w:id="28" w:name="_Toc15377209"/>
      <w:bookmarkStart w:id="29"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8"/>
      <w:bookmarkEnd w:id="29"/>
    </w:p>
    <w:p>
      <w:pPr>
        <w:spacing w:line="600" w:lineRule="exact"/>
        <w:ind w:firstLine="643" w:firstLineChars="200"/>
        <w:outlineLvl w:val="2"/>
        <w:rPr>
          <w:rFonts w:eastAsia="楷体_GB2312" w:cs="楷体_GB2312"/>
          <w:b/>
          <w:sz w:val="32"/>
          <w:szCs w:val="32"/>
        </w:rPr>
      </w:pPr>
      <w:bookmarkStart w:id="30" w:name="_Toc15377210"/>
      <w:r>
        <w:rPr>
          <w:rFonts w:hint="eastAsia" w:eastAsia="楷体_GB2312" w:cs="楷体_GB2312"/>
          <w:b/>
          <w:sz w:val="32"/>
          <w:szCs w:val="32"/>
        </w:rPr>
        <w:t>（一）一般公共预算财政拨款支出决算总体情况</w:t>
      </w:r>
      <w:bookmarkEnd w:id="30"/>
    </w:p>
    <w:p>
      <w:pPr>
        <w:spacing w:line="600" w:lineRule="exact"/>
        <w:ind w:firstLine="640"/>
        <w:rPr>
          <w:rFonts w:ascii="仿宋" w:hAnsi="仿宋" w:eastAsia="仿宋"/>
          <w:sz w:val="32"/>
          <w:szCs w:val="32"/>
        </w:rPr>
      </w:pPr>
      <w:r>
        <w:rPr>
          <w:rFonts w:hint="eastAsia" w:eastAsia="仿宋_GB2312" w:cs="仿宋_GB2312"/>
          <w:sz w:val="32"/>
          <w:szCs w:val="32"/>
        </w:rPr>
        <w:t>2025年度一般公共预算财政拨款支出8530.06万元，占本年支出合计的86.5%。与上年度相比，一般公共预算财政拨款支出增加450.88万元，增长5.6%。主要变动原因是</w:t>
      </w:r>
      <w:r>
        <w:rPr>
          <w:rFonts w:hint="eastAsia" w:ascii="仿宋" w:hAnsi="仿宋" w:eastAsia="仿宋"/>
          <w:sz w:val="32"/>
          <w:szCs w:val="32"/>
        </w:rPr>
        <w:t>人员经费增加。</w:t>
      </w:r>
    </w:p>
    <w:p>
      <w:pPr>
        <w:pStyle w:val="2"/>
        <w:rPr>
          <w:rFonts w:ascii="仿宋" w:hAnsi="仿宋" w:eastAsia="仿宋"/>
          <w:sz w:val="32"/>
          <w:szCs w:val="32"/>
        </w:rPr>
      </w:pPr>
    </w:p>
    <w:p>
      <w:pPr>
        <w:pStyle w:val="3"/>
        <w:ind w:left="420"/>
      </w:pPr>
      <w:r>
        <w:rPr>
          <w:rFonts w:hint="eastAsia"/>
        </w:rPr>
        <w:drawing>
          <wp:anchor distT="0" distB="0" distL="114300" distR="114300" simplePos="0" relativeHeight="251662336" behindDoc="0" locked="0" layoutInCell="1" allowOverlap="1">
            <wp:simplePos x="0" y="0"/>
            <wp:positionH relativeFrom="column">
              <wp:posOffset>-46990</wp:posOffset>
            </wp:positionH>
            <wp:positionV relativeFrom="paragraph">
              <wp:posOffset>116205</wp:posOffset>
            </wp:positionV>
            <wp:extent cx="5256530" cy="2988310"/>
            <wp:effectExtent l="5080" t="4445" r="15240" b="17145"/>
            <wp:wrapSquare wrapText="bothSides"/>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3" w:firstLineChars="200"/>
        <w:outlineLvl w:val="2"/>
        <w:rPr>
          <w:rFonts w:eastAsia="楷体_GB2312" w:cs="楷体_GB2312"/>
          <w:b/>
          <w:sz w:val="32"/>
          <w:szCs w:val="32"/>
        </w:rPr>
      </w:pPr>
      <w:bookmarkStart w:id="31" w:name="_Toc15377211"/>
      <w:r>
        <w:rPr>
          <w:rFonts w:hint="eastAsia" w:eastAsia="楷体_GB2312" w:cs="楷体_GB2312"/>
          <w:b/>
          <w:sz w:val="32"/>
          <w:szCs w:val="32"/>
        </w:rPr>
        <w:t>（二）一般公共预算财政拨款支出决算结构情况</w:t>
      </w:r>
      <w:bookmarkEnd w:id="31"/>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2025年度一般公共预算财政拨款支出8530.06万元，主要用于以下方面：公共安全支出6394元，占75%；社会保障和就业支出1313.55万元，占15.4%；卫生健康支出338.48万元，占4%；住房保障支出484.04万元，占5.7%。</w:t>
      </w:r>
    </w:p>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3360" behindDoc="0" locked="0" layoutInCell="1" allowOverlap="1">
            <wp:simplePos x="0" y="0"/>
            <wp:positionH relativeFrom="column">
              <wp:posOffset>411480</wp:posOffset>
            </wp:positionH>
            <wp:positionV relativeFrom="paragraph">
              <wp:posOffset>-2700655</wp:posOffset>
            </wp:positionV>
            <wp:extent cx="5265420" cy="3559175"/>
            <wp:effectExtent l="4445" t="4445" r="6985" b="17780"/>
            <wp:wrapSquare wrapText="bothSides"/>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32" w:name="_Toc15377212"/>
      <w:r>
        <w:rPr>
          <w:rFonts w:hint="eastAsia" w:eastAsia="楷体_GB2312" w:cs="楷体_GB2312"/>
          <w:b/>
          <w:sz w:val="32"/>
          <w:szCs w:val="32"/>
        </w:rPr>
        <w:t>（三）一般公共预算财政拨款支出决算具体情况</w:t>
      </w:r>
      <w:bookmarkEnd w:id="32"/>
    </w:p>
    <w:p>
      <w:pPr>
        <w:spacing w:line="600" w:lineRule="exact"/>
        <w:ind w:firstLine="640"/>
        <w:rPr>
          <w:rFonts w:eastAsia="仿宋_GB2312" w:cs="仿宋_GB2312"/>
          <w:sz w:val="32"/>
          <w:szCs w:val="32"/>
        </w:rPr>
      </w:pPr>
      <w:bookmarkStart w:id="33" w:name="_Toc15377444"/>
      <w:bookmarkStart w:id="34" w:name="_Toc15377213"/>
      <w:bookmarkStart w:id="35" w:name="_Toc15378460"/>
      <w:r>
        <w:rPr>
          <w:rFonts w:hint="eastAsia" w:eastAsia="仿宋_GB2312" w:cs="仿宋_GB2312"/>
          <w:sz w:val="32"/>
          <w:szCs w:val="32"/>
        </w:rPr>
        <w:t>2025年度一般公共预算支出决算数为8530.06，完成预算100%。其中：</w:t>
      </w:r>
      <w:bookmarkEnd w:id="33"/>
      <w:bookmarkEnd w:id="34"/>
      <w:bookmarkEnd w:id="35"/>
    </w:p>
    <w:p>
      <w:pPr>
        <w:spacing w:line="600" w:lineRule="exact"/>
        <w:ind w:firstLine="640"/>
        <w:rPr>
          <w:rFonts w:eastAsia="仿宋_GB2312" w:cs="仿宋_GB2312"/>
          <w:sz w:val="32"/>
          <w:szCs w:val="32"/>
        </w:rPr>
      </w:pPr>
      <w:r>
        <w:rPr>
          <w:rFonts w:hint="eastAsia" w:eastAsia="仿宋_GB2312" w:cs="仿宋_GB2312"/>
          <w:sz w:val="32"/>
          <w:szCs w:val="32"/>
        </w:rPr>
        <w:t>1.公共安全（类）公安（款）行政运行（项）：支出决算为5566.97万元，完成预算100%，决算数等于预算数。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2.公共安全（类）公安（款）一般行政管理事务（项）: 支出决算为76.96万元，完成预算100%。决算数等于预算数。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3.公共安全（类）公安（款）其他公安支出（项）：支出决算为750.06万元，完成预算100%，决算等于预算数。</w:t>
      </w:r>
    </w:p>
    <w:p>
      <w:pPr>
        <w:spacing w:line="600" w:lineRule="exact"/>
        <w:ind w:firstLine="640"/>
        <w:rPr>
          <w:rFonts w:eastAsia="仿宋_GB2312" w:cs="仿宋_GB2312"/>
          <w:sz w:val="32"/>
          <w:szCs w:val="32"/>
        </w:rPr>
      </w:pPr>
      <w:r>
        <w:rPr>
          <w:rFonts w:hint="eastAsia" w:eastAsia="仿宋_GB2312" w:cs="仿宋_GB2312"/>
          <w:sz w:val="32"/>
          <w:szCs w:val="32"/>
        </w:rPr>
        <w:t>4.社会保障和就业（类）人力资源和社会保障管理事务（款）其他人力资源和社会保障管理事务支出（项）：支出决算为4万元，完成预算100%，决算数等于预算数。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5.社会保障和就业（类）行政事业单位养老支出（款）行政单位离退休（项）：支出决算为542.08万元，完成预算100%，决算数等于预算数。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6.社会保障和就业（类）行政事业单位养老支出（款）机关事业单位基本养老保险缴费支出（项）：支出决算为599.57万元，完成预算100%，决算数等于预算数。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7.社会保障和就业（类）行政事业单位养老支出（款）机关事业单位职业年金缴费支出（项）：支出决算为133.52万元，完成预算100%，决算数等于预算数。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8.社会保障和就业（类）行政事业单位养老支出（款）其他行政事业单位养老支出（项）：支出决算为8.08万元，完成预算100%，决算数等于预算数。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9.社会保障和就业（类）抚恤（款）死亡抚恤（项）：支出决算为26.29万元，完成预算100%，决算数等于预算数。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10.卫生健康（类）行政事业单位医疗（款）行政单位医疗（项）：支出决算为304.97万元，完成预算100%，决算数等于预算数。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11.卫生健康（类）行政事业单位医疗（款）公务员医疗补助（项）：支出决算为33.51万元，完成预算100%，决算数等于预算数。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12.住房保障支出（类）住房改革支出（款）住房公积金（项）：支出决算为484.04万元，完成预算100%，决算数等于预算数。</w:t>
      </w:r>
    </w:p>
    <w:p>
      <w:pPr>
        <w:spacing w:line="600" w:lineRule="exact"/>
        <w:ind w:firstLine="640"/>
        <w:rPr>
          <w:rFonts w:eastAsia="仿宋_GB2312" w:cs="仿宋_GB2312"/>
          <w:sz w:val="32"/>
          <w:szCs w:val="32"/>
        </w:rPr>
      </w:pPr>
    </w:p>
    <w:p>
      <w:pPr>
        <w:tabs>
          <w:tab w:val="right" w:pos="8306"/>
        </w:tabs>
        <w:spacing w:line="600" w:lineRule="exact"/>
        <w:ind w:firstLine="640"/>
        <w:outlineLvl w:val="1"/>
        <w:rPr>
          <w:rStyle w:val="29"/>
          <w:rFonts w:ascii="Times New Roman" w:hAnsi="Times New Roman"/>
        </w:rPr>
      </w:pPr>
      <w:bookmarkStart w:id="36" w:name="_Toc15396608"/>
      <w:bookmarkStart w:id="37"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6"/>
      <w:bookmarkEnd w:id="37"/>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2025年度一般公共预算财政拨款基本支出7703.03万元，其中：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7079.98万元，主要包括：基本工资、津贴补贴、奖金、机关事业单位基本养老保险缴费、职业年金缴费、职工基本医疗保险缴费、公务员医疗补助缴费、其他社会保障缴费、住房公积金、其他工资福利支出、抚恤金、生活补助、医疗费补助、奖励金、其他对个人和家庭的补助支出。</w:t>
      </w:r>
      <w:r>
        <w:rPr>
          <w:rFonts w:hint="eastAsia" w:eastAsia="仿宋_GB2312" w:cs="仿宋_GB2312"/>
          <w:sz w:val="32"/>
          <w:szCs w:val="32"/>
        </w:rPr>
        <w:br w:type="textWrapping"/>
      </w:r>
      <w:r>
        <w:rPr>
          <w:rFonts w:hint="eastAsia" w:eastAsia="仿宋_GB2312" w:cs="仿宋_GB2312"/>
          <w:sz w:val="32"/>
          <w:szCs w:val="32"/>
        </w:rPr>
        <w:t>　　公用经费623.05万元，主要包括：办公费、水费、电费、邮电费、差旅费、工会经费、福利费、公务用车运行维护费、其他交通费、其他商品和服务支出。</w:t>
      </w:r>
    </w:p>
    <w:p>
      <w:pPr>
        <w:spacing w:line="600" w:lineRule="exact"/>
        <w:ind w:firstLine="640"/>
        <w:rPr>
          <w:rFonts w:eastAsia="仿宋_GB2312" w:cs="仿宋_GB2312"/>
          <w:sz w:val="32"/>
          <w:szCs w:val="32"/>
        </w:rPr>
      </w:pPr>
    </w:p>
    <w:p>
      <w:pPr>
        <w:spacing w:line="600" w:lineRule="exact"/>
        <w:ind w:firstLine="640"/>
        <w:outlineLvl w:val="1"/>
        <w:rPr>
          <w:rStyle w:val="29"/>
          <w:rFonts w:ascii="Times New Roman" w:hAnsi="Times New Roman" w:eastAsia="黑体"/>
          <w:b w:val="0"/>
        </w:rPr>
      </w:pPr>
      <w:bookmarkStart w:id="38" w:name="_Toc15396609"/>
      <w:bookmarkStart w:id="3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8"/>
      <w:bookmarkEnd w:id="39"/>
    </w:p>
    <w:p>
      <w:pPr>
        <w:spacing w:line="600" w:lineRule="exact"/>
        <w:ind w:firstLine="643" w:firstLineChars="200"/>
        <w:outlineLvl w:val="2"/>
        <w:rPr>
          <w:rFonts w:eastAsia="楷体_GB2312" w:cs="楷体_GB2312"/>
          <w:b/>
          <w:sz w:val="32"/>
          <w:szCs w:val="32"/>
        </w:rPr>
      </w:pPr>
      <w:bookmarkStart w:id="40" w:name="_Toc15377216"/>
      <w:r>
        <w:rPr>
          <w:rFonts w:hint="eastAsia" w:eastAsia="楷体_GB2312" w:cs="楷体_GB2312"/>
          <w:b/>
          <w:sz w:val="32"/>
          <w:szCs w:val="32"/>
        </w:rPr>
        <w:t>（一）财政拨款“三公”经费支出决算总体情况说明</w:t>
      </w:r>
      <w:bookmarkEnd w:id="40"/>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2025年度财政拨款“三公”经费支出决算为70.25万元，完成预算100%，较上年度增加0.96万元，增长1.4%。决算数预算数持平。</w:t>
      </w:r>
    </w:p>
    <w:p>
      <w:pPr>
        <w:spacing w:line="600" w:lineRule="exact"/>
        <w:ind w:firstLine="643" w:firstLineChars="200"/>
        <w:outlineLvl w:val="2"/>
        <w:rPr>
          <w:rFonts w:eastAsia="楷体_GB2312" w:cs="楷体_GB2312"/>
          <w:b/>
          <w:sz w:val="32"/>
          <w:szCs w:val="32"/>
        </w:rPr>
      </w:pPr>
      <w:bookmarkStart w:id="41" w:name="_Toc15377217"/>
      <w:r>
        <w:rPr>
          <w:rFonts w:hint="eastAsia" w:eastAsia="楷体_GB2312" w:cs="楷体_GB2312"/>
          <w:b/>
          <w:sz w:val="32"/>
          <w:szCs w:val="32"/>
        </w:rPr>
        <w:t>（二）财政拨款“三公”经费支出决算具体情况说明</w:t>
      </w:r>
      <w:bookmarkEnd w:id="41"/>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2025年度财政拨款“三公”经费支出决算中，因公出国（境）费支出决算0万元，占0%；公务用车购置及运行维护费支出决算70.25万元，占100%；公务接待费支出决算0万元，占0%。具体情况如下：</w:t>
      </w:r>
    </w:p>
    <w:p>
      <w:pPr>
        <w:pStyle w:val="2"/>
        <w:rPr>
          <w:rFonts w:eastAsia="仿宋_GB2312" w:cs="仿宋_GB2312"/>
          <w:sz w:val="32"/>
          <w:szCs w:val="32"/>
        </w:rPr>
      </w:pPr>
      <w:r>
        <w:rPr>
          <w:rFonts w:hint="eastAsia" w:eastAsia="仿宋_GB2312" w:cs="仿宋_GB2312"/>
          <w:sz w:val="32"/>
          <w:szCs w:val="32"/>
        </w:rPr>
        <w:drawing>
          <wp:anchor distT="0" distB="0" distL="114300" distR="114300" simplePos="0" relativeHeight="251664384" behindDoc="0" locked="0" layoutInCell="1" allowOverlap="1">
            <wp:simplePos x="0" y="0"/>
            <wp:positionH relativeFrom="column">
              <wp:posOffset>140335</wp:posOffset>
            </wp:positionH>
            <wp:positionV relativeFrom="paragraph">
              <wp:posOffset>45720</wp:posOffset>
            </wp:positionV>
            <wp:extent cx="5256530" cy="2988310"/>
            <wp:effectExtent l="5080" t="4445" r="15240" b="17145"/>
            <wp:wrapSquare wrapText="bothSides"/>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1.因公出国（境）经费支出0万元，完成预算0%。</w:t>
      </w:r>
      <w:r>
        <w:rPr>
          <w:rFonts w:hint="eastAsia" w:eastAsia="仿宋_GB2312" w:cs="仿宋_GB2312"/>
          <w:sz w:val="32"/>
          <w:szCs w:val="32"/>
        </w:rPr>
        <w:t>全年安排因公出国（境）团组0次，出国（境）0人。</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2.公务用车购置及运行维护费支出70.25万元，完成预算100%。</w:t>
      </w:r>
      <w:r>
        <w:rPr>
          <w:rFonts w:hint="eastAsia" w:eastAsia="仿宋_GB2312" w:cs="仿宋_GB2312"/>
          <w:sz w:val="32"/>
          <w:szCs w:val="32"/>
        </w:rPr>
        <w:t>公务用车购置及运行维护费支出决算比上年度增加0.96万元，增长1.4%。主要原因是车辆使用年限较长，维护成本增加，油耗增加。</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其中：公务用车购置支出0万元。全年按规定更新购置公务用车0辆。截至2025年12月31日，单位共有公务用车64辆，其中：轿车62辆、越野车1辆、载客汽车1辆。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公务用车运行维护费支出70.25万元。主要用于</w:t>
      </w:r>
      <w:r>
        <w:rPr>
          <w:rFonts w:ascii="仿宋_GB2312" w:eastAsia="仿宋_GB2312"/>
          <w:sz w:val="32"/>
          <w:szCs w:val="32"/>
        </w:rPr>
        <w:t>安保维稳</w:t>
      </w:r>
      <w:r>
        <w:rPr>
          <w:rFonts w:hint="eastAsia" w:ascii="仿宋_GB2312" w:eastAsia="仿宋_GB2312"/>
          <w:sz w:val="32"/>
          <w:szCs w:val="32"/>
        </w:rPr>
        <w:t>，</w:t>
      </w:r>
      <w:r>
        <w:rPr>
          <w:rFonts w:ascii="仿宋_GB2312" w:eastAsia="仿宋_GB2312"/>
          <w:sz w:val="32"/>
          <w:szCs w:val="32"/>
        </w:rPr>
        <w:t>执法巡逻</w:t>
      </w:r>
      <w:r>
        <w:rPr>
          <w:rFonts w:hint="eastAsia" w:ascii="仿宋_GB2312" w:eastAsia="仿宋_GB2312"/>
          <w:sz w:val="32"/>
          <w:szCs w:val="32"/>
        </w:rPr>
        <w:t>，</w:t>
      </w:r>
      <w:r>
        <w:rPr>
          <w:rFonts w:ascii="仿宋_GB2312" w:eastAsia="仿宋_GB2312"/>
          <w:sz w:val="32"/>
          <w:szCs w:val="32"/>
        </w:rPr>
        <w:t>出差办案</w:t>
      </w:r>
      <w:r>
        <w:rPr>
          <w:rFonts w:hint="eastAsia" w:ascii="仿宋_GB2312" w:eastAsia="仿宋_GB2312"/>
          <w:sz w:val="32"/>
          <w:szCs w:val="32"/>
        </w:rPr>
        <w:t>等所需的公务用车燃料费、维修费、过路过桥费，车辆保险费等支出。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3.公务接待费支出0万元，完成预算0%。</w:t>
      </w:r>
    </w:p>
    <w:p>
      <w:pPr>
        <w:spacing w:line="600" w:lineRule="exact"/>
        <w:ind w:firstLine="640"/>
        <w:rPr>
          <w:rFonts w:eastAsia="仿宋_GB2312" w:cs="仿宋_GB2312"/>
          <w:sz w:val="32"/>
          <w:szCs w:val="32"/>
        </w:rPr>
      </w:pPr>
      <w:bookmarkStart w:id="42" w:name="_Toc15396610"/>
      <w:bookmarkStart w:id="43" w:name="_Toc15377218"/>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2"/>
      <w:bookmarkEnd w:id="43"/>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2025年度政府性基金预算财政拨款支出0万元。</w:t>
      </w:r>
    </w:p>
    <w:p>
      <w:pPr>
        <w:spacing w:line="600" w:lineRule="exact"/>
        <w:ind w:left="630"/>
        <w:outlineLvl w:val="1"/>
        <w:rPr>
          <w:rStyle w:val="29"/>
          <w:rFonts w:ascii="Times New Roman" w:hAnsi="Times New Roman" w:eastAsia="黑体"/>
          <w:b w:val="0"/>
        </w:rPr>
      </w:pPr>
      <w:bookmarkStart w:id="44" w:name="_Toc15377219"/>
      <w:bookmarkStart w:id="45" w:name="_Toc15396611"/>
      <w:r>
        <w:rPr>
          <w:rStyle w:val="29"/>
          <w:rFonts w:hint="eastAsia" w:ascii="Times New Roman" w:hAnsi="Times New Roman" w:eastAsia="黑体"/>
          <w:b w:val="0"/>
        </w:rPr>
        <w:t>九、国有资本经营预算支出决算情况说明</w:t>
      </w:r>
      <w:bookmarkEnd w:id="44"/>
      <w:bookmarkEnd w:id="45"/>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2025年度国有资本经营预算财政拨款支出0万元。</w:t>
      </w:r>
    </w:p>
    <w:p>
      <w:pPr>
        <w:spacing w:line="600" w:lineRule="exact"/>
        <w:ind w:left="630"/>
        <w:outlineLvl w:val="1"/>
        <w:rPr>
          <w:rStyle w:val="29"/>
          <w:rFonts w:ascii="Times New Roman" w:hAnsi="Times New Roman" w:eastAsia="黑体"/>
          <w:b w:val="0"/>
        </w:rPr>
      </w:pPr>
      <w:bookmarkStart w:id="46" w:name="_Toc15377221"/>
      <w:bookmarkStart w:id="47" w:name="_Toc15396612"/>
      <w:r>
        <w:rPr>
          <w:rStyle w:val="29"/>
          <w:rFonts w:hint="eastAsia" w:ascii="Times New Roman" w:hAnsi="Times New Roman" w:eastAsia="黑体"/>
          <w:b w:val="0"/>
        </w:rPr>
        <w:t>十、其他重要事项的情况说明</w:t>
      </w:r>
      <w:bookmarkEnd w:id="46"/>
      <w:bookmarkEnd w:id="47"/>
    </w:p>
    <w:p>
      <w:pPr>
        <w:spacing w:line="600" w:lineRule="exact"/>
        <w:ind w:firstLine="643" w:firstLineChars="200"/>
        <w:outlineLvl w:val="2"/>
        <w:rPr>
          <w:rFonts w:eastAsia="楷体_GB2312" w:cs="楷体_GB2312"/>
          <w:b/>
          <w:sz w:val="32"/>
          <w:szCs w:val="32"/>
        </w:rPr>
      </w:pPr>
      <w:bookmarkStart w:id="48" w:name="_Toc15377222"/>
      <w:r>
        <w:rPr>
          <w:rFonts w:hint="eastAsia" w:eastAsia="楷体_GB2312" w:cs="楷体_GB2312"/>
          <w:b/>
          <w:sz w:val="32"/>
          <w:szCs w:val="32"/>
        </w:rPr>
        <w:t>（一）机关运行经费支出情况</w:t>
      </w:r>
      <w:bookmarkEnd w:id="48"/>
    </w:p>
    <w:p>
      <w:pPr>
        <w:spacing w:line="600" w:lineRule="exact"/>
        <w:ind w:firstLine="640"/>
        <w:rPr>
          <w:rFonts w:eastAsia="仿宋_GB2312" w:cs="仿宋_GB2312"/>
          <w:sz w:val="32"/>
          <w:szCs w:val="32"/>
        </w:rPr>
      </w:pPr>
      <w:r>
        <w:rPr>
          <w:rFonts w:hint="eastAsia" w:eastAsia="仿宋_GB2312" w:cs="仿宋_GB2312"/>
          <w:sz w:val="32"/>
          <w:szCs w:val="32"/>
        </w:rPr>
        <w:t>2025年度，四川省攀枝花市公安局西区分局机关运行经费支出623.05万元，比上年度减少1.15万元，下降0.2%。</w:t>
      </w:r>
      <w:r>
        <w:rPr>
          <w:rFonts w:hint="eastAsia" w:ascii="仿宋_GB2312" w:eastAsia="仿宋_GB2312"/>
          <w:sz w:val="32"/>
          <w:szCs w:val="32"/>
        </w:rPr>
        <w:t>基本无变化。</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49" w:name="_Toc15377223"/>
      <w:r>
        <w:rPr>
          <w:rFonts w:hint="eastAsia" w:eastAsia="楷体_GB2312" w:cs="楷体_GB2312"/>
          <w:b/>
          <w:sz w:val="32"/>
          <w:szCs w:val="32"/>
        </w:rPr>
        <w:t>（二）政府采购支出情况</w:t>
      </w:r>
      <w:bookmarkEnd w:id="49"/>
    </w:p>
    <w:p>
      <w:pPr>
        <w:spacing w:line="600" w:lineRule="exact"/>
        <w:ind w:firstLine="640"/>
        <w:rPr>
          <w:rFonts w:eastAsia="仿宋_GB2312" w:cs="仿宋_GB2312"/>
          <w:sz w:val="32"/>
          <w:szCs w:val="32"/>
        </w:rPr>
      </w:pPr>
      <w:r>
        <w:rPr>
          <w:rFonts w:hint="eastAsia" w:eastAsia="仿宋_GB2312" w:cs="仿宋_GB2312"/>
          <w:sz w:val="32"/>
          <w:szCs w:val="32"/>
        </w:rPr>
        <w:t>2025年度，四川省攀枝花市公安局西区分局政府采购支出总额43.4万元，其中：政府采购货物支出14.4万元、政府采购服务支出29万元。主要用于分局执法办案管理中心空调采购；分局执法办案管理中心LED显示屏采购；2025年度公务用车燃油费用；购买2025年公务用车保险。授予中小企业合同金额0万元，占政府采购支出总额的0%，其中：授予小微企业合同金额0万元，占政府采购支出总额的0%。</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50" w:name="_Toc15377224"/>
      <w:r>
        <w:rPr>
          <w:rFonts w:hint="eastAsia" w:eastAsia="楷体_GB2312" w:cs="楷体_GB2312"/>
          <w:b/>
          <w:sz w:val="32"/>
          <w:szCs w:val="32"/>
        </w:rPr>
        <w:t>（三）国有资产占有使用情况</w:t>
      </w:r>
      <w:bookmarkEnd w:id="50"/>
    </w:p>
    <w:p>
      <w:pPr>
        <w:spacing w:line="600" w:lineRule="exact"/>
        <w:ind w:firstLine="640"/>
        <w:rPr>
          <w:rFonts w:eastAsia="仿宋_GB2312" w:cs="仿宋_GB2312"/>
          <w:sz w:val="32"/>
          <w:szCs w:val="32"/>
        </w:rPr>
      </w:pPr>
      <w:r>
        <w:rPr>
          <w:rFonts w:hint="eastAsia" w:eastAsia="仿宋_GB2312" w:cs="仿宋_GB2312"/>
          <w:sz w:val="32"/>
          <w:szCs w:val="32"/>
        </w:rPr>
        <w:t>截至2025年12月31日，四川省攀枝花市公安局西区分局共有车辆64辆，其中：副部（省）级及以上领导用车0辆、主要负责人用车0辆、机要通信用车0辆、应急保障用车0辆、执法执勤用车64辆、特种专业技术用车0辆、离退休干部服务用车0辆、其他用车0辆。单价100万元（含）以上设备（不含车辆）0台（套）。</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四川省攀枝花市公安局西区分局在2025年度，组织对公安特别业务费等4个项目涉及金额1252.45万元开展了事前绩效评估，对4个项目编制了绩效目标，在预算执行过程中，选取4个项目开展绩效监控。</w:t>
      </w:r>
    </w:p>
    <w:p>
      <w:pPr>
        <w:spacing w:line="600" w:lineRule="exact"/>
        <w:ind w:firstLine="640"/>
        <w:rPr>
          <w:rFonts w:ascii="仿宋_GB2312" w:eastAsia="仿宋_GB2312"/>
          <w:sz w:val="32"/>
          <w:szCs w:val="32"/>
        </w:rPr>
      </w:pPr>
      <w:r>
        <w:rPr>
          <w:rFonts w:hint="eastAsia" w:eastAsia="仿宋_GB2312" w:cs="仿宋_GB2312"/>
          <w:sz w:val="32"/>
          <w:szCs w:val="32"/>
        </w:rPr>
        <w:t>组织对公安特别业务费等4个项目开展绩效自评，公安特别业务费专项预算项目绩效自评得分为100分，绩效自评综述该项目完成良好、成效显著，自评结果含预算执行情况及绩效指标，合计自评总分100分。绩效自评报告详见附件。</w:t>
      </w:r>
      <w:r>
        <w:rPr>
          <w:rFonts w:hint="eastAsia" w:ascii="仿宋_GB2312" w:hAnsi="仿宋_GB2312" w:eastAsia="仿宋_GB2312" w:cs="仿宋_GB2312"/>
          <w:sz w:val="32"/>
          <w:szCs w:val="32"/>
        </w:rPr>
        <w:t>有</w:t>
      </w:r>
      <w:r>
        <w:rPr>
          <w:rFonts w:hint="eastAsia" w:eastAsia="仿宋_GB2312" w:cs="仿宋_GB2312"/>
          <w:sz w:val="32"/>
          <w:szCs w:val="32"/>
        </w:rPr>
        <w:t>3</w:t>
      </w:r>
      <w:r>
        <w:rPr>
          <w:rFonts w:hint="eastAsia" w:ascii="仿宋_GB2312" w:hAnsi="仿宋_GB2312" w:eastAsia="仿宋_GB2312" w:cs="仿宋_GB2312"/>
          <w:sz w:val="32"/>
          <w:szCs w:val="32"/>
        </w:rPr>
        <w:t>个涉密敏感项目的绩效自评表未公开</w:t>
      </w:r>
      <w:r>
        <w:rPr>
          <w:rFonts w:hint="eastAsia" w:ascii="仿宋_GB2312" w:eastAsia="仿宋_GB2312"/>
          <w:sz w:val="32"/>
          <w:szCs w:val="32"/>
        </w:rPr>
        <w:t>。</w:t>
      </w:r>
    </w:p>
    <w:p>
      <w:pPr>
        <w:pStyle w:val="2"/>
        <w:rPr>
          <w:rFonts w:ascii="仿宋_GB2312" w:eastAsia="仿宋_GB2312"/>
          <w:sz w:val="32"/>
          <w:szCs w:val="32"/>
        </w:rPr>
      </w:pPr>
    </w:p>
    <w:p>
      <w:pPr>
        <w:pStyle w:val="3"/>
        <w:ind w:left="420" w:firstLine="640"/>
        <w:rPr>
          <w:rFonts w:eastAsia="仿宋_GB2312"/>
          <w:sz w:val="32"/>
        </w:rPr>
      </w:pPr>
    </w:p>
    <w:p/>
    <w:p>
      <w:pPr>
        <w:spacing w:line="600" w:lineRule="exact"/>
        <w:jc w:val="center"/>
        <w:outlineLvl w:val="0"/>
        <w:rPr>
          <w:rFonts w:eastAsia="黑体"/>
          <w:sz w:val="44"/>
          <w:szCs w:val="44"/>
        </w:rPr>
      </w:pPr>
      <w:bookmarkStart w:id="51" w:name="_Toc15396613"/>
      <w:bookmarkStart w:id="52" w:name="_Toc15377225"/>
    </w:p>
    <w:p>
      <w:pPr>
        <w:spacing w:line="600" w:lineRule="exact"/>
        <w:jc w:val="center"/>
        <w:outlineLvl w:val="0"/>
        <w:rPr>
          <w:rFonts w:eastAsia="黑体"/>
          <w:sz w:val="44"/>
          <w:szCs w:val="44"/>
        </w:rPr>
      </w:pPr>
      <w:r>
        <w:rPr>
          <w:rFonts w:hint="eastAsia" w:eastAsia="黑体"/>
          <w:sz w:val="44"/>
          <w:szCs w:val="44"/>
        </w:rPr>
        <w:t>第三部分  名词解释</w:t>
      </w:r>
      <w:bookmarkEnd w:id="51"/>
      <w:bookmarkEnd w:id="52"/>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pPr>
        <w:spacing w:line="600" w:lineRule="exact"/>
        <w:ind w:firstLine="640"/>
        <w:rPr>
          <w:rFonts w:eastAsia="仿宋_GB2312" w:cs="仿宋_GB2312"/>
          <w:sz w:val="32"/>
          <w:szCs w:val="32"/>
        </w:rPr>
      </w:pPr>
      <w:r>
        <w:rPr>
          <w:rFonts w:hint="eastAsia" w:eastAsia="仿宋_GB2312" w:cs="仿宋_GB2312"/>
          <w:sz w:val="32"/>
          <w:szCs w:val="32"/>
        </w:rPr>
        <w:t>9.</w:t>
      </w:r>
      <w:r>
        <w:rPr>
          <w:rFonts w:hint="eastAsia" w:ascii="仿宋_GB2312" w:eastAsia="仿宋_GB2312"/>
          <w:sz w:val="32"/>
          <w:szCs w:val="32"/>
        </w:rPr>
        <w:t>公共安全支出（类）公安（款）行政运行（项）:反映行政单位（包括实行公务员管理的事业单位）的基本支出。</w:t>
      </w:r>
    </w:p>
    <w:p>
      <w:pPr>
        <w:spacing w:line="600" w:lineRule="exact"/>
        <w:ind w:firstLine="640"/>
        <w:rPr>
          <w:rFonts w:eastAsia="仿宋_GB2312" w:cs="仿宋_GB2312"/>
          <w:sz w:val="32"/>
          <w:szCs w:val="32"/>
        </w:rPr>
      </w:pPr>
      <w:r>
        <w:rPr>
          <w:rFonts w:hint="eastAsia" w:eastAsia="仿宋_GB2312" w:cs="仿宋_GB2312"/>
          <w:sz w:val="32"/>
          <w:szCs w:val="32"/>
        </w:rPr>
        <w:t>10.</w:t>
      </w:r>
      <w:r>
        <w:rPr>
          <w:rFonts w:hint="eastAsia" w:ascii="仿宋_GB2312" w:eastAsia="仿宋_GB2312"/>
          <w:sz w:val="32"/>
          <w:szCs w:val="32"/>
        </w:rPr>
        <w:t>公共安全支出（类）公安（款）一般行政管理事务（项）: 反映行政单位（包括实行公务员管理的事业单位）未单独设置项级科目的其他项目支出。</w:t>
      </w:r>
    </w:p>
    <w:p>
      <w:pPr>
        <w:spacing w:line="600" w:lineRule="exact"/>
        <w:ind w:firstLine="640"/>
        <w:rPr>
          <w:rFonts w:eastAsia="仿宋_GB2312" w:cs="仿宋_GB2312"/>
          <w:sz w:val="32"/>
          <w:szCs w:val="32"/>
        </w:rPr>
      </w:pPr>
      <w:r>
        <w:rPr>
          <w:rFonts w:hint="eastAsia" w:eastAsia="仿宋_GB2312" w:cs="仿宋_GB2312"/>
          <w:sz w:val="32"/>
          <w:szCs w:val="32"/>
        </w:rPr>
        <w:t>11.</w:t>
      </w:r>
      <w:r>
        <w:rPr>
          <w:rFonts w:hint="eastAsia" w:ascii="仿宋_GB2312" w:eastAsia="仿宋_GB2312"/>
          <w:sz w:val="32"/>
          <w:szCs w:val="32"/>
        </w:rPr>
        <w:t>公共安全支出（类）其他公共安全支出（款）其他公共安全支出（项）: 反映其他用于公安方面的支出。</w:t>
      </w:r>
    </w:p>
    <w:p>
      <w:pPr>
        <w:spacing w:line="600" w:lineRule="exact"/>
        <w:ind w:firstLine="640"/>
        <w:rPr>
          <w:rFonts w:eastAsia="仿宋_GB2312" w:cs="仿宋_GB2312"/>
          <w:sz w:val="32"/>
          <w:szCs w:val="32"/>
        </w:rPr>
      </w:pPr>
      <w:r>
        <w:rPr>
          <w:rFonts w:hint="eastAsia" w:eastAsia="仿宋_GB2312" w:cs="仿宋_GB2312"/>
          <w:sz w:val="32"/>
          <w:szCs w:val="32"/>
        </w:rPr>
        <w:t>12.</w:t>
      </w:r>
      <w:r>
        <w:rPr>
          <w:rFonts w:hint="eastAsia" w:ascii="仿宋_GB2312" w:eastAsia="仿宋_GB2312"/>
          <w:sz w:val="32"/>
          <w:szCs w:val="32"/>
        </w:rPr>
        <w:t>社会保障和就业支出（类）行政事业单位养老支出（款）行政单位离退休（项）: 反映行政单位（包括实行公务员管理的事业单位）开支的离退休经费。</w:t>
      </w:r>
    </w:p>
    <w:p>
      <w:pPr>
        <w:spacing w:line="600" w:lineRule="exact"/>
        <w:ind w:firstLine="640"/>
        <w:rPr>
          <w:rFonts w:eastAsia="仿宋_GB2312" w:cs="仿宋_GB2312"/>
          <w:sz w:val="32"/>
          <w:szCs w:val="32"/>
        </w:rPr>
      </w:pPr>
      <w:r>
        <w:rPr>
          <w:rFonts w:hint="eastAsia" w:eastAsia="仿宋_GB2312" w:cs="仿宋_GB2312"/>
          <w:sz w:val="32"/>
          <w:szCs w:val="32"/>
        </w:rPr>
        <w:t>13.</w:t>
      </w:r>
      <w:r>
        <w:rPr>
          <w:rFonts w:hint="eastAsia" w:ascii="仿宋_GB2312" w:eastAsia="仿宋_GB2312"/>
          <w:sz w:val="32"/>
          <w:szCs w:val="32"/>
        </w:rPr>
        <w:t>社会保障和就业支出（类）行政事业单位养老支出（款）机关事业单位基本养老保险缴费支出（项）:反映机关事业单位实施养老保险制度由单位缴纳的基本养老保险费支出。</w:t>
      </w:r>
    </w:p>
    <w:p>
      <w:pPr>
        <w:spacing w:line="600" w:lineRule="exact"/>
        <w:ind w:firstLine="640"/>
        <w:rPr>
          <w:rFonts w:ascii="仿宋_GB2312" w:eastAsia="仿宋_GB2312"/>
          <w:sz w:val="32"/>
          <w:szCs w:val="32"/>
        </w:rPr>
      </w:pPr>
      <w:r>
        <w:rPr>
          <w:rFonts w:hint="eastAsia" w:eastAsia="仿宋_GB2312" w:cs="仿宋_GB2312"/>
          <w:sz w:val="32"/>
          <w:szCs w:val="32"/>
        </w:rPr>
        <w:t>14.</w:t>
      </w:r>
      <w:r>
        <w:rPr>
          <w:rFonts w:hint="eastAsia" w:ascii="仿宋_GB2312" w:eastAsia="仿宋_GB2312"/>
          <w:sz w:val="32"/>
          <w:szCs w:val="32"/>
        </w:rPr>
        <w:t>社会保障和就业支出（类）抚恤（款）死亡抚恤（项）:反映按规定用于烈士和牺牲、病故人员家属的一次性和定期抚恤金、丧葬补助费以及烈士褒扬金。</w:t>
      </w:r>
    </w:p>
    <w:p>
      <w:pPr>
        <w:spacing w:line="600" w:lineRule="exact"/>
        <w:ind w:firstLine="640"/>
        <w:rPr>
          <w:rFonts w:ascii="仿宋_GB2312" w:eastAsia="仿宋_GB2312"/>
          <w:sz w:val="32"/>
          <w:szCs w:val="32"/>
        </w:rPr>
      </w:pPr>
      <w:r>
        <w:rPr>
          <w:rFonts w:hint="eastAsia" w:eastAsia="仿宋_GB2312" w:cs="仿宋_GB2312"/>
          <w:sz w:val="32"/>
          <w:szCs w:val="32"/>
        </w:rPr>
        <w:t>15.</w:t>
      </w:r>
      <w:r>
        <w:rPr>
          <w:rFonts w:hint="eastAsia" w:ascii="仿宋_GB2312" w:eastAsia="仿宋_GB2312"/>
          <w:sz w:val="32"/>
          <w:szCs w:val="32"/>
        </w:rPr>
        <w:t>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pPr>
        <w:spacing w:line="600" w:lineRule="exact"/>
        <w:ind w:firstLine="640"/>
        <w:rPr>
          <w:rFonts w:eastAsia="仿宋_GB2312" w:cs="仿宋_GB2312"/>
          <w:sz w:val="32"/>
          <w:szCs w:val="32"/>
        </w:rPr>
      </w:pPr>
      <w:r>
        <w:rPr>
          <w:rFonts w:hint="eastAsia" w:eastAsia="仿宋_GB2312" w:cs="仿宋_GB2312"/>
          <w:sz w:val="32"/>
          <w:szCs w:val="32"/>
        </w:rPr>
        <w:t>16.</w:t>
      </w:r>
      <w:r>
        <w:rPr>
          <w:rStyle w:val="17"/>
          <w:rFonts w:hint="eastAsia" w:ascii="仿宋" w:hAnsi="仿宋" w:eastAsia="仿宋"/>
          <w:b w:val="0"/>
          <w:sz w:val="32"/>
          <w:szCs w:val="32"/>
        </w:rPr>
        <w:t>卫生健康支出（类）行政事业单位医疗（款）公务员医疗补助（项）</w:t>
      </w:r>
      <w:r>
        <w:rPr>
          <w:rStyle w:val="17"/>
          <w:rFonts w:ascii="仿宋" w:hAnsi="仿宋" w:eastAsia="仿宋"/>
          <w:b w:val="0"/>
          <w:sz w:val="32"/>
          <w:szCs w:val="32"/>
        </w:rPr>
        <w:t>:</w:t>
      </w:r>
      <w:r>
        <w:rPr>
          <w:rStyle w:val="17"/>
          <w:rFonts w:hint="eastAsia" w:ascii="仿宋" w:hAnsi="仿宋" w:eastAsia="仿宋"/>
          <w:b w:val="0"/>
          <w:sz w:val="32"/>
          <w:szCs w:val="32"/>
        </w:rPr>
        <w:t>反映财政部门安排的公务员医疗补助经费。</w:t>
      </w:r>
    </w:p>
    <w:p>
      <w:pPr>
        <w:spacing w:line="600" w:lineRule="exact"/>
        <w:ind w:firstLine="640"/>
        <w:rPr>
          <w:rFonts w:eastAsia="仿宋_GB2312" w:cs="仿宋_GB2312"/>
          <w:sz w:val="32"/>
          <w:szCs w:val="32"/>
        </w:rPr>
      </w:pPr>
      <w:r>
        <w:rPr>
          <w:rFonts w:hint="eastAsia" w:eastAsia="仿宋_GB2312" w:cs="仿宋_GB2312"/>
          <w:sz w:val="32"/>
          <w:szCs w:val="32"/>
        </w:rPr>
        <w:t>17.</w:t>
      </w:r>
      <w:r>
        <w:rPr>
          <w:rStyle w:val="17"/>
          <w:rFonts w:hint="eastAsia" w:ascii="仿宋" w:hAnsi="仿宋" w:eastAsia="仿宋"/>
          <w:b w:val="0"/>
          <w:sz w:val="32"/>
          <w:szCs w:val="32"/>
        </w:rPr>
        <w:t>卫生健康支出（类）行政事业单位医疗（款）其他行政事业单位医疗支出（项）</w:t>
      </w:r>
      <w:r>
        <w:rPr>
          <w:rStyle w:val="17"/>
          <w:rFonts w:ascii="仿宋" w:hAnsi="仿宋" w:eastAsia="仿宋"/>
          <w:b w:val="0"/>
          <w:sz w:val="32"/>
          <w:szCs w:val="32"/>
        </w:rPr>
        <w:t>:</w:t>
      </w:r>
      <w:r>
        <w:rPr>
          <w:rStyle w:val="17"/>
          <w:rFonts w:hint="eastAsia" w:ascii="仿宋" w:hAnsi="仿宋" w:eastAsia="仿宋"/>
          <w:b w:val="0"/>
          <w:sz w:val="32"/>
          <w:szCs w:val="32"/>
        </w:rPr>
        <w:t>反映除上述项目以外的其他用于行政事业单位医疗方面的支出。</w:t>
      </w:r>
    </w:p>
    <w:p>
      <w:pPr>
        <w:spacing w:line="600" w:lineRule="exact"/>
        <w:ind w:firstLine="640"/>
        <w:rPr>
          <w:rFonts w:eastAsia="仿宋_GB2312" w:cs="仿宋_GB2312"/>
          <w:sz w:val="32"/>
          <w:szCs w:val="32"/>
        </w:rPr>
      </w:pPr>
      <w:r>
        <w:rPr>
          <w:rFonts w:hint="eastAsia" w:eastAsia="仿宋_GB2312" w:cs="仿宋_GB2312"/>
          <w:sz w:val="32"/>
          <w:szCs w:val="32"/>
        </w:rPr>
        <w:t>18.</w:t>
      </w:r>
      <w:r>
        <w:rPr>
          <w:rFonts w:hint="eastAsia" w:ascii="仿宋_GB2312" w:eastAsia="仿宋_GB2312"/>
          <w:sz w:val="32"/>
          <w:szCs w:val="32"/>
        </w:rPr>
        <w:t>住房保障支出（类）住房改革支出（款）住房公积金（项）:反映行政事业单位按人力资源和社会保障部、财政部规定的基本工资和津贴补贴以及规定比例为职工缴纳的住房公积金。</w:t>
      </w:r>
    </w:p>
    <w:p>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eastAsia="黑体"/>
          <w:sz w:val="44"/>
          <w:szCs w:val="44"/>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pPr>
        <w:pStyle w:val="2"/>
        <w:rPr>
          <w:lang w:val="zh-CN"/>
        </w:rPr>
      </w:pPr>
    </w:p>
    <w:p>
      <w:pPr>
        <w:pStyle w:val="3"/>
        <w:spacing w:line="560" w:lineRule="exact"/>
        <w:ind w:left="0" w:leftChars="0" w:firstLine="640"/>
        <w:rPr>
          <w:rFonts w:ascii="Times New Roman" w:eastAsia="仿宋_GB2312"/>
          <w:sz w:val="32"/>
          <w:lang w:val="zh-CN"/>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p>
      <w:pPr>
        <w:pStyle w:val="3"/>
        <w:spacing w:line="560" w:lineRule="exact"/>
        <w:ind w:left="0" w:leftChars="0" w:firstLine="0" w:firstLineChars="0"/>
        <w:rPr>
          <w:rFonts w:ascii="Times New Roman"/>
          <w:sz w:val="32"/>
          <w:highlight w:val="yellow"/>
          <w:lang w:val="zh-CN"/>
        </w:rPr>
      </w:pPr>
    </w:p>
    <w:p>
      <w:pPr>
        <w:pStyle w:val="8"/>
        <w:spacing w:before="93"/>
        <w:rPr>
          <w:rFonts w:ascii="Times New Roman" w:cs="宋体"/>
          <w:color w:val="FF0000"/>
          <w:sz w:val="32"/>
          <w:szCs w:val="32"/>
          <w:highlight w:val="yellow"/>
          <w:shd w:val="clear" w:color="auto" w:fill="FFFFFF"/>
          <w:lang w:val="zh-CN"/>
        </w:rPr>
      </w:pPr>
    </w:p>
    <w:p>
      <w:pPr>
        <w:rPr>
          <w:rFonts w:eastAsia="仿宋_GB2312" w:cs="仿宋_GB2312"/>
          <w:kern w:val="0"/>
          <w:sz w:val="32"/>
          <w:szCs w:val="32"/>
        </w:rPr>
      </w:pPr>
      <w:r>
        <w:rPr>
          <w:rFonts w:hint="eastAsia" w:eastAsia="黑体" w:cs="黑体"/>
          <w:kern w:val="0"/>
          <w:sz w:val="32"/>
          <w:szCs w:val="32"/>
          <w:shd w:val="clear" w:color="auto" w:fill="FFFFFF"/>
          <w:lang w:val="zh-CN"/>
        </w:rPr>
        <w:br w:type="page"/>
      </w:r>
    </w:p>
    <w:p>
      <w:pPr>
        <w:widowControl/>
        <w:jc w:val="center"/>
        <w:rPr>
          <w:rFonts w:eastAsia="仿宋"/>
        </w:rPr>
      </w:pPr>
      <w:bookmarkStart w:id="55" w:name="_Toc15396618"/>
      <w:r>
        <w:rPr>
          <w:rFonts w:hint="eastAsia" w:eastAsia="黑体"/>
          <w:sz w:val="44"/>
          <w:szCs w:val="44"/>
        </w:rPr>
        <w:t>第</w:t>
      </w:r>
      <w:r>
        <w:rPr>
          <w:rStyle w:val="28"/>
          <w:rFonts w:hint="eastAsia" w:eastAsia="黑体"/>
          <w:b w:val="0"/>
        </w:rPr>
        <w:t>五部分 附表</w:t>
      </w:r>
      <w:bookmarkEnd w:id="53"/>
      <w:bookmarkEnd w:id="55"/>
      <w:bookmarkStart w:id="56"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6"/>
    </w:p>
    <w:p>
      <w:pPr>
        <w:pStyle w:val="14"/>
        <w:adjustRightInd w:val="0"/>
        <w:snapToGrid w:val="0"/>
        <w:spacing w:line="560" w:lineRule="exact"/>
        <w:jc w:val="left"/>
        <w:rPr>
          <w:rFonts w:eastAsia="仿宋_GB2312" w:cs="仿宋_GB2312"/>
          <w:sz w:val="32"/>
          <w:szCs w:val="32"/>
        </w:rPr>
      </w:pPr>
      <w:bookmarkStart w:id="57" w:name="_Toc15396620"/>
      <w:r>
        <w:rPr>
          <w:rFonts w:hint="eastAsia" w:eastAsia="仿宋_GB2312" w:cs="仿宋_GB2312"/>
          <w:sz w:val="32"/>
          <w:szCs w:val="32"/>
        </w:rPr>
        <w:t>二、收入决算表</w:t>
      </w:r>
      <w:bookmarkEnd w:id="57"/>
    </w:p>
    <w:p>
      <w:pPr>
        <w:pStyle w:val="14"/>
        <w:adjustRightInd w:val="0"/>
        <w:snapToGrid w:val="0"/>
        <w:spacing w:line="560" w:lineRule="exact"/>
        <w:jc w:val="left"/>
        <w:rPr>
          <w:rFonts w:eastAsia="仿宋_GB2312" w:cs="仿宋_GB2312"/>
          <w:sz w:val="32"/>
          <w:szCs w:val="32"/>
        </w:rPr>
      </w:pPr>
      <w:bookmarkStart w:id="58" w:name="_Toc15396621"/>
      <w:r>
        <w:rPr>
          <w:rFonts w:hint="eastAsia" w:eastAsia="仿宋_GB2312" w:cs="仿宋_GB2312"/>
          <w:sz w:val="32"/>
          <w:szCs w:val="32"/>
        </w:rPr>
        <w:t>三、支出决算表</w:t>
      </w:r>
      <w:bookmarkEnd w:id="58"/>
    </w:p>
    <w:p>
      <w:pPr>
        <w:pStyle w:val="14"/>
        <w:adjustRightInd w:val="0"/>
        <w:snapToGrid w:val="0"/>
        <w:spacing w:line="560" w:lineRule="exact"/>
        <w:jc w:val="left"/>
        <w:rPr>
          <w:rFonts w:eastAsia="仿宋_GB2312" w:cs="仿宋_GB2312"/>
          <w:sz w:val="32"/>
          <w:szCs w:val="32"/>
        </w:rPr>
      </w:pPr>
      <w:bookmarkStart w:id="59" w:name="_Toc15396622"/>
      <w:r>
        <w:rPr>
          <w:rFonts w:hint="eastAsia" w:eastAsia="仿宋_GB2312" w:cs="仿宋_GB2312"/>
          <w:sz w:val="32"/>
          <w:szCs w:val="32"/>
        </w:rPr>
        <w:t>四、财政拨款收入支出决算总表</w:t>
      </w:r>
      <w:bookmarkEnd w:id="59"/>
    </w:p>
    <w:p>
      <w:pPr>
        <w:pStyle w:val="14"/>
        <w:adjustRightInd w:val="0"/>
        <w:snapToGrid w:val="0"/>
        <w:spacing w:line="560" w:lineRule="exact"/>
        <w:jc w:val="left"/>
        <w:rPr>
          <w:rFonts w:eastAsia="仿宋_GB2312" w:cs="仿宋_GB2312"/>
          <w:sz w:val="32"/>
          <w:szCs w:val="32"/>
        </w:rPr>
      </w:pPr>
      <w:bookmarkStart w:id="60" w:name="_Toc15396623"/>
      <w:r>
        <w:rPr>
          <w:rFonts w:hint="eastAsia" w:eastAsia="仿宋_GB2312" w:cs="仿宋_GB2312"/>
          <w:sz w:val="32"/>
          <w:szCs w:val="32"/>
        </w:rPr>
        <w:t>五、财政拨款支出决算明细表</w:t>
      </w:r>
      <w:bookmarkEnd w:id="60"/>
      <w:bookmarkStart w:id="61"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1"/>
    </w:p>
    <w:p>
      <w:pPr>
        <w:pStyle w:val="14"/>
        <w:adjustRightInd w:val="0"/>
        <w:snapToGrid w:val="0"/>
        <w:spacing w:line="560" w:lineRule="exact"/>
        <w:jc w:val="left"/>
        <w:rPr>
          <w:rFonts w:eastAsia="仿宋_GB2312" w:cs="仿宋_GB2312"/>
          <w:sz w:val="32"/>
          <w:szCs w:val="32"/>
        </w:rPr>
      </w:pPr>
      <w:bookmarkStart w:id="62" w:name="_Toc15396625"/>
      <w:r>
        <w:rPr>
          <w:rFonts w:hint="eastAsia" w:eastAsia="仿宋_GB2312" w:cs="仿宋_GB2312"/>
          <w:sz w:val="32"/>
          <w:szCs w:val="32"/>
        </w:rPr>
        <w:t>七、一般公共预算财政拨款支出决算明细表</w:t>
      </w:r>
      <w:bookmarkEnd w:id="62"/>
    </w:p>
    <w:p>
      <w:pPr>
        <w:pStyle w:val="14"/>
        <w:adjustRightInd w:val="0"/>
        <w:snapToGrid w:val="0"/>
        <w:spacing w:line="560" w:lineRule="exact"/>
        <w:jc w:val="left"/>
        <w:rPr>
          <w:rFonts w:eastAsia="仿宋_GB2312" w:cs="仿宋_GB2312"/>
          <w:sz w:val="32"/>
          <w:szCs w:val="32"/>
        </w:rPr>
      </w:pPr>
      <w:bookmarkStart w:id="63" w:name="_Toc15396626"/>
      <w:r>
        <w:rPr>
          <w:rFonts w:hint="eastAsia" w:eastAsia="仿宋_GB2312" w:cs="仿宋_GB2312"/>
          <w:sz w:val="32"/>
          <w:szCs w:val="32"/>
        </w:rPr>
        <w:t>八、一般公共预算财政拨款基本支出决算表</w:t>
      </w:r>
      <w:bookmarkEnd w:id="63"/>
    </w:p>
    <w:p>
      <w:pPr>
        <w:pStyle w:val="14"/>
        <w:adjustRightInd w:val="0"/>
        <w:snapToGrid w:val="0"/>
        <w:spacing w:line="560" w:lineRule="exact"/>
        <w:jc w:val="left"/>
        <w:rPr>
          <w:rFonts w:eastAsia="仿宋_GB2312" w:cs="仿宋_GB2312"/>
          <w:sz w:val="32"/>
          <w:szCs w:val="32"/>
        </w:rPr>
      </w:pPr>
      <w:bookmarkStart w:id="64" w:name="_Toc15396627"/>
      <w:r>
        <w:rPr>
          <w:rFonts w:hint="eastAsia" w:eastAsia="仿宋_GB2312" w:cs="仿宋_GB2312"/>
          <w:sz w:val="32"/>
          <w:szCs w:val="32"/>
        </w:rPr>
        <w:t>九、一般公共预算财政拨款项目支出决算表</w:t>
      </w:r>
      <w:bookmarkEnd w:id="64"/>
    </w:p>
    <w:p>
      <w:pPr>
        <w:pStyle w:val="14"/>
        <w:adjustRightInd w:val="0"/>
        <w:snapToGrid w:val="0"/>
        <w:spacing w:line="560" w:lineRule="exact"/>
        <w:jc w:val="left"/>
        <w:rPr>
          <w:rFonts w:eastAsia="仿宋_GB2312" w:cs="仿宋_GB2312"/>
          <w:sz w:val="32"/>
          <w:szCs w:val="32"/>
        </w:rPr>
      </w:pPr>
      <w:bookmarkStart w:id="65" w:name="_Toc15396628"/>
      <w:r>
        <w:rPr>
          <w:rFonts w:hint="eastAsia" w:eastAsia="仿宋_GB2312" w:cs="仿宋_GB2312"/>
          <w:sz w:val="32"/>
          <w:szCs w:val="32"/>
        </w:rPr>
        <w:t>十、</w:t>
      </w:r>
      <w:bookmarkEnd w:id="65"/>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66" w:name="_Toc15396629"/>
      <w:r>
        <w:rPr>
          <w:rFonts w:hint="eastAsia" w:eastAsia="仿宋_GB2312" w:cs="仿宋_GB2312"/>
          <w:sz w:val="32"/>
          <w:szCs w:val="32"/>
        </w:rPr>
        <w:t>十一、</w:t>
      </w:r>
      <w:bookmarkEnd w:id="66"/>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67" w:name="_Toc15396630"/>
      <w:r>
        <w:rPr>
          <w:rFonts w:hint="eastAsia" w:eastAsia="仿宋_GB2312" w:cs="仿宋_GB2312"/>
          <w:sz w:val="32"/>
          <w:szCs w:val="32"/>
        </w:rPr>
        <w:t>十二、</w:t>
      </w:r>
      <w:bookmarkEnd w:id="67"/>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8" w:name="_Toc15396631"/>
      <w:r>
        <w:rPr>
          <w:rFonts w:hint="eastAsia" w:eastAsia="仿宋_GB2312" w:cs="仿宋_GB2312"/>
          <w:sz w:val="32"/>
          <w:szCs w:val="32"/>
        </w:rPr>
        <w:t>十三、</w:t>
      </w:r>
      <w:bookmarkEnd w:id="68"/>
      <w:r>
        <w:rPr>
          <w:rFonts w:hint="eastAsia" w:eastAsia="仿宋_GB2312" w:cs="仿宋_GB2312"/>
          <w:sz w:val="32"/>
          <w:szCs w:val="32"/>
        </w:rPr>
        <w:t>财政拨款“三公”经费支出决算表</w:t>
      </w:r>
    </w:p>
    <w:p/>
    <w:sectPr>
      <w:footerReference r:id="rId9" w:type="first"/>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pict>
        <v:shape id="_x0000_s2051" o:spid="_x0000_s2051"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path/>
          <v:fill on="f" focussize="0,0"/>
          <v:stroke on="f" weight="0.5pt" joinstyle="miter"/>
          <v:imagedata o:title=""/>
          <o:lock v:ext="edit"/>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2052" o:spid="_x0000_s2052"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path/>
          <v:fill on="f" focussize="0,0"/>
          <v:stroke on="f" weight="0.5pt" joinstyle="miter"/>
          <v:imagedata o:title=""/>
          <o:lock v:ext="edit"/>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pict>
        <v:shape id="_x0000_s2049" o:spid="_x0000_s2049"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path/>
          <v:fill on="f" focussize="0,0"/>
          <v:stroke on="f" weight="0.5pt" joinstyle="miter"/>
          <v:imagedata o:title=""/>
          <o:lock v:ext="edit"/>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w: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2050" o:spid="_x0000_s2050"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path/>
          <v:fill on="f" focussize="0,0"/>
          <v:stroke on="f" weight="0.5pt" joinstyle="miter"/>
          <v:imagedata o:title=""/>
          <o:lock v:ext="edit"/>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849B4"/>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2B0B"/>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18D0"/>
    <w:rsid w:val="00FA23E8"/>
    <w:rsid w:val="00FD3CC1"/>
    <w:rsid w:val="00FF1E02"/>
    <w:rsid w:val="00FF30B4"/>
    <w:rsid w:val="01591402"/>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DE5D97"/>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0D68B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1523A9"/>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6B2BC2"/>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27687847306114"/>
          <c:y val="0.179133021674458"/>
          <c:w val="0.930345494080696"/>
          <c:h val="0.638631534211645"/>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(Sheet1!$A$3,Sheet1!$A$5)</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(Sheet1!$B$3,Sheet1!$B$5)</c:f>
              <c:numCache>
                <c:formatCode>General</c:formatCode>
                <c:ptCount val="2"/>
                <c:pt idx="0">
                  <c:v>8079.18</c:v>
                </c:pt>
                <c:pt idx="1">
                  <c:v>9857.12</c:v>
                </c:pt>
              </c:numCache>
            </c:numRef>
          </c:val>
        </c:ser>
        <c:dLbls>
          <c:showLegendKey val="0"/>
          <c:showVal val="1"/>
          <c:showCatName val="0"/>
          <c:showSerName val="0"/>
          <c:showPercent val="0"/>
          <c:showBubbleSize val="0"/>
        </c:dLbls>
        <c:gapWidth val="246"/>
        <c:overlap val="-61"/>
        <c:axId val="53744000"/>
        <c:axId val="53745536"/>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系列 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Sheet1!$A$2:$A$5</c15:sqref>
                        </c15:fullRef>
                        <c15:formulaRef>
                          <c15:sqref>(Sheet1!$A$3,Sheet1!$A$5)</c15:sqref>
                        </c15:formulaRef>
                      </c:ext>
                    </c:extLst>
                    <c:strCache>
                      <c:ptCount val="2"/>
                      <c:pt idx="0">
                        <c:v>2024年度</c:v>
                      </c:pt>
                      <c:pt idx="1">
                        <c:v>2025年度</c:v>
                      </c:pt>
                    </c:strCache>
                  </c:strRef>
                </c:cat>
                <c:val>
                  <c:numRef>
                    <c:extLst>
                      <c:ext uri="{02D57815-91ED-43cb-92C2-25804820EDAC}">
                        <c15:fullRef>
                          <c15:sqref>Sheet1!$C$2:$C$5</c15:sqref>
                        </c15:fullRef>
                        <c15:formulaRef>
                          <c15:sqref>(Sheet1!$C$3,Sheet1!$C$5)</c15:sqref>
                        </c15:formulaRef>
                      </c:ext>
                    </c:extLst>
                    <c:numCache>
                      <c:formatCode>General</c:formatCode>
                      <c:ptCount val="2"/>
                      <c:pt idx="0">
                        <c:v>4.4</c:v>
                      </c:pt>
                      <c:pt idx="1">
                        <c:v>2.8</c:v>
                      </c:pt>
                    </c:numCache>
                  </c:numRef>
                </c:val>
              </c15:ser>
            </c15:filteredBarSeries>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Sheet1!$A$2:$A$5</c15:sqref>
                        </c15:fullRef>
                        <c15:formulaRef>
                          <c15:sqref>(Sheet1!$A$3,Sheet1!$A$5)</c15:sqref>
                        </c15:formulaRef>
                      </c:ext>
                    </c:extLst>
                    <c:strCache>
                      <c:ptCount val="2"/>
                      <c:pt idx="0">
                        <c:v>2024年度</c:v>
                      </c:pt>
                      <c:pt idx="1">
                        <c:v>2025年度</c:v>
                      </c:pt>
                    </c:strCache>
                  </c:strRef>
                </c:cat>
                <c:val>
                  <c:numRef>
                    <c:extLst>
                      <c:ext uri="{02D57815-91ED-43cb-92C2-25804820EDAC}">
                        <c15:fullRef>
                          <c15:sqref>Sheet1!$D$2:$D$5</c15:sqref>
                        </c15:fullRef>
                        <c15:formulaRef>
                          <c15:sqref>(Sheet1!$D$3,Sheet1!$D$5)</c15:sqref>
                        </c15:formulaRef>
                      </c:ext>
                    </c:extLst>
                    <c:numCache>
                      <c:formatCode>General</c:formatCode>
                      <c:ptCount val="2"/>
                      <c:pt idx="0">
                        <c:v>2</c:v>
                      </c:pt>
                      <c:pt idx="1">
                        <c:v>5</c:v>
                      </c:pt>
                    </c:numCache>
                  </c:numRef>
                </c:val>
              </c15:ser>
            </c15:filteredBarSeries>
          </c:ext>
        </c:extLst>
      </c:barChart>
      <c:catAx>
        <c:axId val="5374400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45536"/>
        <c:crosses val="autoZero"/>
        <c:auto val="1"/>
        <c:lblAlgn val="ctr"/>
        <c:lblOffset val="100"/>
        <c:noMultiLvlLbl val="0"/>
      </c:catAx>
      <c:valAx>
        <c:axId val="53745536"/>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44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title>
    <c:autoTitleDeleted val="0"/>
    <c:plotArea>
      <c:layout/>
      <c:pieChart>
        <c:varyColors val="1"/>
        <c:ser>
          <c:idx val="0"/>
          <c:order val="0"/>
          <c:tx>
            <c:strRef>
              <c:f>Sheet1!$B$1</c:f>
              <c:strCache>
                <c:ptCount val="1"/>
                <c:pt idx="0">
                  <c:v>本年收入合计</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其他收入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8530.06</c:v>
                </c:pt>
                <c:pt idx="1">
                  <c:v>1327.06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zero"/>
    <c:showDLblsOverMax val="0"/>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支出合计</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8900.53</c:v>
                </c:pt>
                <c:pt idx="1">
                  <c:v>956.59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47692679391157"/>
          <c:y val="0.161920951976201"/>
          <c:w val="0.930345494080696"/>
          <c:h val="0.638631534211645"/>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Sheet1!$A$2</c:f>
              <c:strCache>
                <c:ptCount val="1"/>
                <c:pt idx="0">
                  <c:v>财政拨款收入、支出总计（单位：万元）</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8079.18</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Sheet1!$A$2</c:f>
              <c:strCache>
                <c:ptCount val="1"/>
                <c:pt idx="0">
                  <c:v>财政拨款收入、支出总计（单位：万元）</c:v>
                </c:pt>
              </c:strCache>
            </c:strRef>
          </c:cat>
          <c:val>
            <c:numRef>
              <c:extLst>
                <c:ext xmlns:c15="http://schemas.microsoft.com/office/drawing/2012/chart" uri="{02D57815-91ED-43cb-92C2-25804820EDAC}">
                  <c15:fullRef>
                    <c15:sqref>Sheet1!$C$2:$C$5</c15:sqref>
                  </c15:fullRef>
                </c:ext>
              </c:extLst>
              <c:f>Sheet1!$C$2</c:f>
              <c:numCache>
                <c:formatCode>General</c:formatCode>
                <c:ptCount val="1"/>
                <c:pt idx="0">
                  <c:v>8530.06</c:v>
                </c:pt>
              </c:numCache>
            </c:numRef>
          </c:val>
        </c:ser>
        <c:dLbls>
          <c:showLegendKey val="0"/>
          <c:showVal val="1"/>
          <c:showCatName val="0"/>
          <c:showSerName val="0"/>
          <c:showPercent val="0"/>
          <c:showBubbleSize val="0"/>
        </c:dLbls>
        <c:gapWidth val="246"/>
        <c:overlap val="-100"/>
        <c:axId val="250737408"/>
        <c:axId val="250738944"/>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Sheet1!$A$2:$A$5</c15:sqref>
                        </c15:fullRef>
                        <c15:formulaRef>
                          <c15:sqref>Sheet1!$A$2</c15:sqref>
                        </c15:formulaRef>
                      </c:ext>
                    </c:extLst>
                    <c:strCache>
                      <c:ptCount val="1"/>
                      <c:pt idx="0">
                        <c:v>财政拨款收入、支出总计（单位：万元）</c:v>
                      </c:pt>
                    </c:strCache>
                  </c:str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25073740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0738944"/>
        <c:crosses val="autoZero"/>
        <c:auto val="1"/>
        <c:lblAlgn val="ctr"/>
        <c:lblOffset val="100"/>
        <c:noMultiLvlLbl val="0"/>
      </c:catAx>
      <c:valAx>
        <c:axId val="250738944"/>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07374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Sheet1!$A$2</c:f>
              <c:strCache>
                <c:ptCount val="1"/>
                <c:pt idx="0">
                  <c:v>一般公共预算财政拨款支出（单位：万元）</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8079.18</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Sheet1!$A$2</c:f>
              <c:strCache>
                <c:ptCount val="1"/>
                <c:pt idx="0">
                  <c:v>一般公共预算财政拨款支出（单位：万元）</c:v>
                </c:pt>
              </c:strCache>
            </c:strRef>
          </c:cat>
          <c:val>
            <c:numRef>
              <c:extLst>
                <c:ext xmlns:c15="http://schemas.microsoft.com/office/drawing/2012/chart" uri="{02D57815-91ED-43cb-92C2-25804820EDAC}">
                  <c15:fullRef>
                    <c15:sqref>Sheet1!$C$2:$C$5</c15:sqref>
                  </c15:fullRef>
                </c:ext>
              </c:extLst>
              <c:f>Sheet1!$C$2</c:f>
              <c:numCache>
                <c:formatCode>General</c:formatCode>
                <c:ptCount val="1"/>
                <c:pt idx="0">
                  <c:v>8530.06</c:v>
                </c:pt>
              </c:numCache>
            </c:numRef>
          </c:val>
        </c:ser>
        <c:dLbls>
          <c:showLegendKey val="0"/>
          <c:showVal val="1"/>
          <c:showCatName val="0"/>
          <c:showSerName val="0"/>
          <c:showPercent val="0"/>
          <c:showBubbleSize val="0"/>
        </c:dLbls>
        <c:gapWidth val="246"/>
        <c:overlap val="-100"/>
        <c:axId val="304305280"/>
        <c:axId val="304306816"/>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Sheet1!$A$2:$A$5</c15:sqref>
                        </c15:fullRef>
                        <c15:formulaRef>
                          <c15:sqref>Sheet1!$A$2</c15:sqref>
                        </c15:formulaRef>
                      </c:ext>
                    </c:extLst>
                    <c:strCache>
                      <c:ptCount val="1"/>
                      <c:pt idx="0">
                        <c:v>一般公共预算财政拨款支出（单位：万元）</c:v>
                      </c:pt>
                    </c:strCache>
                  </c:str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30430528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306816"/>
        <c:crosses val="autoZero"/>
        <c:auto val="1"/>
        <c:lblAlgn val="ctr"/>
        <c:lblOffset val="100"/>
        <c:noMultiLvlLbl val="0"/>
      </c:catAx>
      <c:valAx>
        <c:axId val="304306816"/>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3052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General</c:formatCode>
                <c:ptCount val="4"/>
                <c:pt idx="0">
                  <c:v>6394</c:v>
                </c:pt>
                <c:pt idx="1">
                  <c:v>1313.55</c:v>
                </c:pt>
                <c:pt idx="2">
                  <c:v>338.48</c:v>
                </c:pt>
                <c:pt idx="3">
                  <c:v>484.04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438270113554"/>
          <c:y val="0.0282617934551636"/>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v>70.25</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2"/>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1008</Words>
  <Characters>5749</Characters>
  <Lines>47</Lines>
  <Paragraphs>13</Paragraphs>
  <TotalTime>23</TotalTime>
  <ScaleCrop>false</ScaleCrop>
  <LinksUpToDate>false</LinksUpToDate>
  <CharactersWithSpaces>6744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2026-09-14T07:26:29Z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3BF536824C220DA3E40E8B68BA118B1C_42</vt:lpwstr>
  </property>
  <property fmtid="{D5CDD505-2E9C-101B-9397-08002B2CF9AE}" pid="4" name="KSOTemplateDocerSaveRecord">
    <vt:lpwstr>eyJoZGlkIjoiYjEwMGFmOGIwMWUxZDAyYjg2Nzk3ZWQxNGJmOGZjMzgiLCJ1c2VySWQiOiIyNzY1NTM3MzkifQ==</vt:lpwstr>
  </property>
</Properties>
</file>