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991851">
      <w:pPr>
        <w:pStyle w:val="8"/>
        <w:spacing w:before="93"/>
        <w:rPr>
          <w:rFonts w:ascii="Times New Roman" w:eastAsia="方正小标宋简体"/>
          <w:kern w:val="2"/>
          <w:sz w:val="72"/>
          <w:szCs w:val="72"/>
        </w:rPr>
      </w:pPr>
      <w:bookmarkStart w:id="0" w:name="_Toc15396597"/>
      <w:bookmarkStart w:id="1" w:name="_Toc15377193"/>
      <w:bookmarkStart w:id="2" w:name="_Toc15377425"/>
      <w:bookmarkStart w:id="3" w:name="_Toc15378441"/>
      <w:bookmarkStart w:id="4" w:name="_Toc15306267"/>
      <w:bookmarkStart w:id="5" w:name="_Toc15396475"/>
    </w:p>
    <w:p w14:paraId="39000CDA">
      <w:pPr>
        <w:pStyle w:val="8"/>
        <w:spacing w:before="93"/>
        <w:rPr>
          <w:rFonts w:ascii="Times New Roman" w:eastAsia="方正小标宋简体"/>
          <w:kern w:val="2"/>
          <w:sz w:val="72"/>
          <w:szCs w:val="72"/>
        </w:rPr>
      </w:pPr>
    </w:p>
    <w:p w14:paraId="2E594D71">
      <w:pPr>
        <w:pStyle w:val="8"/>
        <w:spacing w:before="93"/>
        <w:rPr>
          <w:rFonts w:ascii="Times New Roman" w:eastAsia="方正小标宋简体"/>
          <w:kern w:val="2"/>
          <w:sz w:val="72"/>
          <w:szCs w:val="72"/>
        </w:rPr>
      </w:pPr>
    </w:p>
    <w:p w14:paraId="0BCF3519">
      <w:pPr>
        <w:pStyle w:val="8"/>
        <w:spacing w:before="93"/>
        <w:jc w:val="center"/>
        <w:rPr>
          <w:rFonts w:ascii="方正小标宋_GBK" w:hAnsi="方正小标宋_GBK" w:eastAsia="方正小标宋_GBK" w:cs="方正小标宋_GBK"/>
          <w:kern w:val="2"/>
          <w:sz w:val="44"/>
          <w:szCs w:val="44"/>
        </w:rPr>
      </w:pPr>
      <w:r>
        <w:rPr>
          <w:rFonts w:hint="eastAsia" w:ascii="方正小标宋_GBK" w:hAnsi="方正小标宋_GBK" w:eastAsia="方正小标宋_GBK" w:cs="方正小标宋_GBK"/>
          <w:kern w:val="2"/>
          <w:sz w:val="44"/>
          <w:szCs w:val="44"/>
        </w:rPr>
        <w:t>2025年度四川省</w:t>
      </w:r>
    </w:p>
    <w:p w14:paraId="3E146E6C">
      <w:pPr>
        <w:pStyle w:val="8"/>
        <w:spacing w:before="93"/>
        <w:jc w:val="center"/>
        <w:rPr>
          <w:rFonts w:ascii="方正小标宋_GBK" w:hAnsi="方正小标宋_GBK" w:eastAsia="方正小标宋_GBK" w:cs="方正小标宋_GBK"/>
          <w:kern w:val="2"/>
          <w:sz w:val="44"/>
          <w:szCs w:val="44"/>
        </w:rPr>
      </w:pPr>
      <w:r>
        <w:rPr>
          <w:rFonts w:hint="eastAsia" w:ascii="方正小标宋_GBK" w:hAnsi="方正小标宋_GBK" w:eastAsia="方正小标宋_GBK" w:cs="方正小标宋_GBK"/>
          <w:kern w:val="2"/>
          <w:sz w:val="44"/>
          <w:szCs w:val="44"/>
        </w:rPr>
        <w:t>攀枝花市公安局部门</w:t>
      </w:r>
    </w:p>
    <w:p w14:paraId="63C3F5B5">
      <w:pPr>
        <w:pStyle w:val="8"/>
        <w:spacing w:before="93"/>
        <w:jc w:val="center"/>
        <w:rPr>
          <w:rFonts w:ascii="方正小标宋_GBK" w:hAnsi="方正小标宋_GBK" w:eastAsia="方正小标宋_GBK" w:cs="方正小标宋_GBK"/>
          <w:kern w:val="2"/>
          <w:sz w:val="44"/>
          <w:szCs w:val="44"/>
        </w:rPr>
      </w:pPr>
      <w:r>
        <w:rPr>
          <w:rFonts w:hint="eastAsia" w:ascii="方正小标宋_GBK" w:hAnsi="方正小标宋_GBK" w:eastAsia="方正小标宋_GBK" w:cs="方正小标宋_GBK"/>
          <w:kern w:val="2"/>
          <w:sz w:val="44"/>
          <w:szCs w:val="44"/>
        </w:rPr>
        <w:t>决算公开编制说明</w:t>
      </w:r>
    </w:p>
    <w:bookmarkEnd w:id="0"/>
    <w:bookmarkEnd w:id="1"/>
    <w:bookmarkEnd w:id="2"/>
    <w:bookmarkEnd w:id="3"/>
    <w:bookmarkEnd w:id="4"/>
    <w:bookmarkEnd w:id="5"/>
    <w:p w14:paraId="36943A31">
      <w:pPr>
        <w:rPr>
          <w:rFonts w:eastAsia="方正小标宋简体"/>
          <w:sz w:val="36"/>
          <w:szCs w:val="36"/>
        </w:rPr>
      </w:pPr>
    </w:p>
    <w:p w14:paraId="5FF03B55">
      <w:pPr>
        <w:rPr>
          <w:rFonts w:eastAsia="方正小标宋简体"/>
          <w:sz w:val="36"/>
          <w:szCs w:val="36"/>
        </w:rPr>
      </w:pPr>
    </w:p>
    <w:p w14:paraId="59DDB297">
      <w:pPr>
        <w:rPr>
          <w:rFonts w:eastAsia="方正小标宋简体"/>
          <w:sz w:val="36"/>
          <w:szCs w:val="36"/>
        </w:rPr>
      </w:pPr>
    </w:p>
    <w:p w14:paraId="67C21E6C">
      <w:pPr>
        <w:rPr>
          <w:rFonts w:eastAsia="方正小标宋简体"/>
          <w:sz w:val="36"/>
          <w:szCs w:val="36"/>
        </w:rPr>
      </w:pPr>
    </w:p>
    <w:p w14:paraId="2C1C24B4">
      <w:pPr>
        <w:jc w:val="center"/>
        <w:rPr>
          <w:rFonts w:eastAsia="黑体"/>
          <w:sz w:val="48"/>
          <w:szCs w:val="48"/>
        </w:rPr>
      </w:pPr>
    </w:p>
    <w:p w14:paraId="7F33E0BA">
      <w:pPr>
        <w:pStyle w:val="2"/>
        <w:rPr>
          <w:rFonts w:eastAsia="黑体"/>
          <w:sz w:val="48"/>
          <w:szCs w:val="48"/>
        </w:rPr>
      </w:pPr>
    </w:p>
    <w:p w14:paraId="6319E6EB">
      <w:pPr>
        <w:pStyle w:val="3"/>
        <w:ind w:left="420" w:firstLine="960"/>
        <w:rPr>
          <w:rFonts w:eastAsia="黑体"/>
          <w:sz w:val="48"/>
          <w:szCs w:val="48"/>
        </w:rPr>
      </w:pPr>
    </w:p>
    <w:p w14:paraId="2D2A06C1">
      <w:pPr>
        <w:rPr>
          <w:rFonts w:eastAsia="黑体"/>
          <w:sz w:val="48"/>
          <w:szCs w:val="48"/>
        </w:rPr>
      </w:pPr>
      <w:r>
        <w:rPr>
          <w:rFonts w:eastAsia="黑体"/>
          <w:sz w:val="48"/>
          <w:szCs w:val="48"/>
        </w:rPr>
        <w:br w:type="page"/>
      </w:r>
    </w:p>
    <w:p w14:paraId="5BEEA01C">
      <w:pPr>
        <w:jc w:val="center"/>
        <w:rPr>
          <w:rFonts w:eastAsia="黑体"/>
          <w:sz w:val="48"/>
          <w:szCs w:val="48"/>
        </w:rPr>
      </w:pPr>
      <w:r>
        <w:rPr>
          <w:rFonts w:hint="eastAsia" w:eastAsia="黑体"/>
          <w:sz w:val="48"/>
          <w:szCs w:val="48"/>
        </w:rPr>
        <w:t>目录</w:t>
      </w:r>
    </w:p>
    <w:p w14:paraId="118946ED">
      <w:pPr>
        <w:widowControl/>
        <w:jc w:val="center"/>
        <w:rPr>
          <w:rFonts w:eastAsia="黑体" w:cstheme="minorBidi"/>
          <w:sz w:val="28"/>
          <w:szCs w:val="28"/>
        </w:rPr>
      </w:pPr>
    </w:p>
    <w:p w14:paraId="57383EA5">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公开时间：2026年9月1</w:t>
      </w:r>
      <w:r>
        <w:rPr>
          <w:rFonts w:hint="eastAsia" w:ascii="Times New Roman" w:hAnsi="Times New Roman" w:eastAsia="仿宋_GB2312" w:cs="仿宋_GB2312"/>
          <w:sz w:val="32"/>
          <w:szCs w:val="32"/>
          <w:lang w:val="en-US" w:eastAsia="zh-CN"/>
        </w:rPr>
        <w:t>5</w:t>
      </w:r>
      <w:r>
        <w:rPr>
          <w:rFonts w:hint="eastAsia" w:ascii="Times New Roman" w:hAnsi="Times New Roman" w:eastAsia="仿宋_GB2312" w:cs="仿宋_GB2312"/>
          <w:sz w:val="32"/>
          <w:szCs w:val="32"/>
        </w:rPr>
        <w:t>日</w:t>
      </w:r>
    </w:p>
    <w:p w14:paraId="3C39661B"/>
    <w:p w14:paraId="7D10DC90">
      <w:pPr>
        <w:pStyle w:val="13"/>
        <w:tabs>
          <w:tab w:val="right" w:leader="middleDot" w:pos="7980"/>
          <w:tab w:val="right" w:leader="middleDot" w:pos="8190"/>
        </w:tabs>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r>
        <w:rPr>
          <w:rFonts w:ascii="Times New Roman" w:hAnsi="Times New Roman" w:eastAsia="黑体" w:cs="黑体"/>
          <w:sz w:val="32"/>
          <w:szCs w:val="32"/>
        </w:rPr>
        <w:tab/>
      </w:r>
      <w:r>
        <w:rPr>
          <w:rFonts w:eastAsia="仿宋_GB2312" w:cs="仿宋_GB2312"/>
          <w:sz w:val="32"/>
          <w:szCs w:val="32"/>
        </w:rPr>
        <w:tab/>
      </w:r>
      <w:r>
        <w:rPr>
          <w:rFonts w:ascii="Times New Roman" w:hAnsi="Times New Roman" w:eastAsia="黑体" w:cs="黑体"/>
          <w:sz w:val="32"/>
          <w:szCs w:val="32"/>
        </w:rPr>
        <w:tab/>
      </w:r>
      <w:r>
        <w:rPr>
          <w:rFonts w:hint="eastAsia" w:ascii="Times New Roman" w:hAnsi="Times New Roman" w:eastAsia="宋体"/>
          <w:sz w:val="32"/>
          <w:szCs w:val="32"/>
        </w:rPr>
        <w:t>1</w:t>
      </w:r>
    </w:p>
    <w:p w14:paraId="133FFD1B">
      <w:pPr>
        <w:pStyle w:val="14"/>
        <w:tabs>
          <w:tab w:val="right" w:leader="middleDot" w:pos="7980"/>
          <w:tab w:val="right" w:leader="middleDot" w:pos="8190"/>
        </w:tabs>
        <w:adjustRightInd w:val="0"/>
        <w:snapToGrid w:val="0"/>
        <w:spacing w:line="560" w:lineRule="exact"/>
        <w:ind w:left="0" w:leftChars="0" w:firstLine="640" w:firstLineChars="200"/>
        <w:jc w:val="left"/>
        <w:rPr>
          <w:sz w:val="32"/>
          <w:szCs w:val="32"/>
        </w:rPr>
      </w:pPr>
      <w:r>
        <w:rPr>
          <w:rFonts w:hint="eastAsia" w:eastAsia="仿宋_GB2312" w:cs="仿宋_GB2312"/>
          <w:sz w:val="32"/>
          <w:szCs w:val="32"/>
        </w:rPr>
        <w:t>一、部门职责</w:t>
      </w:r>
      <w:r>
        <w:rPr>
          <w:rFonts w:eastAsia="仿宋_GB2312" w:cs="仿宋_GB2312"/>
          <w:sz w:val="32"/>
          <w:szCs w:val="32"/>
        </w:rPr>
        <w:tab/>
      </w:r>
      <w:r>
        <w:rPr>
          <w:rFonts w:eastAsia="仿宋_GB2312" w:cs="仿宋_GB2312"/>
          <w:sz w:val="32"/>
          <w:szCs w:val="32"/>
        </w:rPr>
        <w:tab/>
      </w:r>
      <w:r>
        <w:rPr>
          <w:rFonts w:eastAsia="仿宋_GB2312" w:cs="仿宋_GB2312"/>
          <w:sz w:val="32"/>
          <w:szCs w:val="32"/>
        </w:rPr>
        <w:tab/>
      </w:r>
      <w:r>
        <w:rPr>
          <w:rFonts w:hint="eastAsia"/>
          <w:sz w:val="32"/>
          <w:szCs w:val="32"/>
        </w:rPr>
        <w:t>1</w:t>
      </w:r>
    </w:p>
    <w:p w14:paraId="1DB4BFB0">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r>
        <w:rPr>
          <w:rFonts w:eastAsia="仿宋_GB2312" w:cs="仿宋_GB2312"/>
          <w:sz w:val="32"/>
          <w:szCs w:val="32"/>
        </w:rPr>
        <w:tab/>
      </w:r>
      <w:r>
        <w:rPr>
          <w:rFonts w:eastAsia="仿宋_GB2312" w:cs="仿宋_GB2312"/>
          <w:sz w:val="32"/>
          <w:szCs w:val="32"/>
        </w:rPr>
        <w:tab/>
      </w:r>
      <w:r>
        <w:rPr>
          <w:sz w:val="24"/>
        </w:rPr>
        <w:tab/>
      </w:r>
      <w:r>
        <w:rPr>
          <w:rFonts w:hint="eastAsia"/>
          <w:sz w:val="32"/>
          <w:szCs w:val="32"/>
        </w:rPr>
        <w:t>1</w:t>
      </w:r>
    </w:p>
    <w:p w14:paraId="280E6529">
      <w:pPr>
        <w:pStyle w:val="13"/>
        <w:tabs>
          <w:tab w:val="right" w:leader="middleDot" w:pos="7980"/>
          <w:tab w:val="right" w:leader="middleDot" w:pos="8190"/>
        </w:tabs>
        <w:adjustRightInd w:val="0"/>
        <w:snapToGrid w:val="0"/>
        <w:spacing w:before="0" w:line="560" w:lineRule="exact"/>
        <w:jc w:val="left"/>
        <w:rPr>
          <w:rFonts w:ascii="Times New Roman" w:hAnsi="Times New Roman" w:eastAsia="宋体" w:cs="黑体"/>
          <w:sz w:val="32"/>
          <w:szCs w:val="32"/>
        </w:rPr>
      </w:pPr>
      <w:r>
        <w:rPr>
          <w:rFonts w:hint="eastAsia" w:ascii="Times New Roman" w:hAnsi="Times New Roman" w:eastAsia="黑体" w:cs="黑体"/>
          <w:sz w:val="32"/>
          <w:szCs w:val="32"/>
        </w:rPr>
        <w:t>第二部分 2025年度部门决算情况说明</w:t>
      </w:r>
      <w:r>
        <w:rPr>
          <w:rFonts w:ascii="Times New Roman" w:hAnsi="Times New Roman" w:eastAsia="黑体" w:cs="黑体"/>
          <w:sz w:val="32"/>
          <w:szCs w:val="32"/>
        </w:rPr>
        <w:tab/>
      </w:r>
      <w:r>
        <w:rPr>
          <w:rFonts w:ascii="Times New Roman" w:hAnsi="Times New Roman" w:eastAsia="黑体" w:cs="黑体"/>
          <w:sz w:val="32"/>
          <w:szCs w:val="32"/>
        </w:rPr>
        <w:tab/>
      </w:r>
      <w:r>
        <w:rPr>
          <w:rFonts w:hint="eastAsia" w:ascii="Times New Roman" w:hAnsi="Times New Roman" w:eastAsia="宋体"/>
          <w:sz w:val="32"/>
          <w:szCs w:val="32"/>
        </w:rPr>
        <w:tab/>
      </w:r>
      <w:r>
        <w:rPr>
          <w:rFonts w:hint="eastAsia" w:ascii="Times New Roman" w:hAnsi="Times New Roman" w:eastAsia="宋体"/>
          <w:sz w:val="32"/>
          <w:szCs w:val="32"/>
        </w:rPr>
        <w:t>2</w:t>
      </w:r>
    </w:p>
    <w:p w14:paraId="2404657A">
      <w:pPr>
        <w:pStyle w:val="14"/>
        <w:tabs>
          <w:tab w:val="right" w:leader="middleDot" w:pos="7980"/>
          <w:tab w:val="right" w:leader="middleDot" w:pos="8190"/>
        </w:tabs>
        <w:adjustRightInd w:val="0"/>
        <w:snapToGrid w:val="0"/>
        <w:spacing w:line="560" w:lineRule="exact"/>
        <w:ind w:left="0" w:leftChars="0" w:firstLine="640" w:firstLineChars="200"/>
        <w:jc w:val="left"/>
        <w:rPr>
          <w:sz w:val="32"/>
          <w:szCs w:val="32"/>
        </w:rPr>
      </w:pPr>
      <w:r>
        <w:rPr>
          <w:rFonts w:hint="eastAsia" w:eastAsia="仿宋_GB2312" w:cs="仿宋_GB2312"/>
          <w:sz w:val="32"/>
          <w:szCs w:val="32"/>
        </w:rPr>
        <w:t>一、收入支出决算总体情况说明</w:t>
      </w:r>
      <w:r>
        <w:rPr>
          <w:rFonts w:eastAsia="仿宋_GB2312" w:cs="仿宋_GB2312"/>
          <w:sz w:val="32"/>
          <w:szCs w:val="32"/>
        </w:rPr>
        <w:tab/>
      </w:r>
      <w:r>
        <w:rPr>
          <w:rFonts w:eastAsia="仿宋_GB2312" w:cs="仿宋_GB2312"/>
          <w:sz w:val="32"/>
          <w:szCs w:val="32"/>
        </w:rPr>
        <w:tab/>
      </w:r>
      <w:r>
        <w:rPr>
          <w:rFonts w:hint="eastAsia"/>
          <w:sz w:val="32"/>
          <w:szCs w:val="32"/>
        </w:rPr>
        <w:tab/>
      </w:r>
      <w:r>
        <w:rPr>
          <w:rFonts w:hint="eastAsia"/>
          <w:sz w:val="32"/>
          <w:szCs w:val="32"/>
        </w:rPr>
        <w:t>2</w:t>
      </w:r>
    </w:p>
    <w:p w14:paraId="6C714635">
      <w:pPr>
        <w:pStyle w:val="14"/>
        <w:tabs>
          <w:tab w:val="right" w:leader="middleDot" w:pos="7980"/>
          <w:tab w:val="right" w:leader="middleDot" w:pos="8190"/>
        </w:tabs>
        <w:adjustRightInd w:val="0"/>
        <w:snapToGrid w:val="0"/>
        <w:spacing w:line="560" w:lineRule="exact"/>
        <w:ind w:left="0" w:leftChars="0" w:firstLine="640" w:firstLineChars="200"/>
        <w:jc w:val="left"/>
        <w:rPr>
          <w:sz w:val="32"/>
          <w:szCs w:val="32"/>
        </w:rPr>
      </w:pPr>
      <w:r>
        <w:rPr>
          <w:rFonts w:hint="eastAsia" w:eastAsia="仿宋_GB2312" w:cs="仿宋_GB2312"/>
          <w:sz w:val="32"/>
          <w:szCs w:val="32"/>
        </w:rPr>
        <w:t>二、收入决算情况说明</w:t>
      </w:r>
      <w:r>
        <w:rPr>
          <w:rFonts w:eastAsia="仿宋_GB2312" w:cs="仿宋_GB2312"/>
          <w:sz w:val="32"/>
          <w:szCs w:val="32"/>
        </w:rPr>
        <w:tab/>
      </w:r>
      <w:r>
        <w:rPr>
          <w:rFonts w:eastAsia="仿宋_GB2312" w:cs="仿宋_GB2312"/>
          <w:sz w:val="32"/>
          <w:szCs w:val="32"/>
        </w:rPr>
        <w:tab/>
      </w:r>
      <w:r>
        <w:rPr>
          <w:sz w:val="24"/>
        </w:rPr>
        <w:tab/>
      </w:r>
      <w:r>
        <w:rPr>
          <w:rFonts w:hint="eastAsia"/>
          <w:sz w:val="32"/>
          <w:szCs w:val="32"/>
        </w:rPr>
        <w:t>2</w:t>
      </w:r>
    </w:p>
    <w:p w14:paraId="3EAF95DE">
      <w:pPr>
        <w:pStyle w:val="14"/>
        <w:tabs>
          <w:tab w:val="right" w:leader="middleDot" w:pos="7980"/>
          <w:tab w:val="right" w:leader="middleDot" w:pos="8190"/>
        </w:tabs>
        <w:adjustRightInd w:val="0"/>
        <w:snapToGrid w:val="0"/>
        <w:spacing w:line="560" w:lineRule="exact"/>
        <w:ind w:left="0" w:leftChars="0" w:firstLine="640" w:firstLineChars="200"/>
        <w:jc w:val="left"/>
        <w:rPr>
          <w:sz w:val="32"/>
          <w:szCs w:val="32"/>
        </w:rPr>
      </w:pPr>
      <w:r>
        <w:rPr>
          <w:rFonts w:hint="eastAsia" w:eastAsia="仿宋_GB2312" w:cs="仿宋_GB2312"/>
          <w:sz w:val="32"/>
          <w:szCs w:val="32"/>
        </w:rPr>
        <w:t>三、支出决算情况说明</w:t>
      </w:r>
      <w:r>
        <w:rPr>
          <w:rFonts w:eastAsia="仿宋_GB2312" w:cs="仿宋_GB2312"/>
          <w:sz w:val="32"/>
          <w:szCs w:val="32"/>
        </w:rPr>
        <w:tab/>
      </w:r>
      <w:r>
        <w:rPr>
          <w:rFonts w:eastAsia="仿宋_GB2312" w:cs="仿宋_GB2312"/>
          <w:sz w:val="32"/>
          <w:szCs w:val="32"/>
        </w:rPr>
        <w:tab/>
      </w:r>
      <w:r>
        <w:rPr>
          <w:sz w:val="24"/>
        </w:rPr>
        <w:tab/>
      </w:r>
      <w:r>
        <w:rPr>
          <w:rFonts w:hint="eastAsia"/>
          <w:sz w:val="32"/>
          <w:szCs w:val="32"/>
        </w:rPr>
        <w:t>3</w:t>
      </w:r>
    </w:p>
    <w:p w14:paraId="5E73EB6E">
      <w:pPr>
        <w:pStyle w:val="14"/>
        <w:tabs>
          <w:tab w:val="right" w:leader="middleDot" w:pos="7980"/>
          <w:tab w:val="right" w:leader="middleDot" w:pos="8190"/>
        </w:tabs>
        <w:adjustRightInd w:val="0"/>
        <w:snapToGrid w:val="0"/>
        <w:spacing w:line="560" w:lineRule="exact"/>
        <w:ind w:left="0" w:leftChars="0" w:firstLine="640" w:firstLineChars="200"/>
        <w:jc w:val="left"/>
        <w:rPr>
          <w:sz w:val="32"/>
          <w:szCs w:val="32"/>
        </w:rPr>
      </w:pPr>
      <w:r>
        <w:rPr>
          <w:rFonts w:hint="eastAsia" w:eastAsia="仿宋_GB2312" w:cs="仿宋_GB2312"/>
          <w:sz w:val="32"/>
          <w:szCs w:val="32"/>
        </w:rPr>
        <w:t>四、财政拨款收入支出决算总体情况说明</w:t>
      </w:r>
      <w:r>
        <w:rPr>
          <w:rFonts w:eastAsia="仿宋_GB2312" w:cs="仿宋_GB2312"/>
          <w:sz w:val="32"/>
          <w:szCs w:val="32"/>
        </w:rPr>
        <w:tab/>
      </w:r>
      <w:r>
        <w:rPr>
          <w:rFonts w:eastAsia="仿宋_GB2312" w:cs="仿宋_GB2312"/>
          <w:sz w:val="32"/>
          <w:szCs w:val="32"/>
        </w:rPr>
        <w:tab/>
      </w:r>
      <w:r>
        <w:rPr>
          <w:sz w:val="24"/>
        </w:rPr>
        <w:tab/>
      </w:r>
      <w:r>
        <w:rPr>
          <w:rFonts w:hint="eastAsia"/>
          <w:sz w:val="32"/>
          <w:szCs w:val="32"/>
        </w:rPr>
        <w:t>4</w:t>
      </w:r>
    </w:p>
    <w:p w14:paraId="7BC3CCFF">
      <w:pPr>
        <w:pStyle w:val="14"/>
        <w:tabs>
          <w:tab w:val="right" w:leader="middleDot" w:pos="7980"/>
          <w:tab w:val="right" w:leader="middleDot" w:pos="8190"/>
        </w:tabs>
        <w:adjustRightInd w:val="0"/>
        <w:snapToGrid w:val="0"/>
        <w:spacing w:line="560" w:lineRule="exact"/>
        <w:ind w:left="0" w:leftChars="0" w:firstLine="640" w:firstLineChars="200"/>
        <w:jc w:val="left"/>
        <w:rPr>
          <w:sz w:val="32"/>
          <w:szCs w:val="32"/>
        </w:rPr>
      </w:pPr>
      <w:r>
        <w:rPr>
          <w:rFonts w:hint="eastAsia" w:eastAsia="仿宋_GB2312" w:cs="仿宋_GB2312"/>
          <w:sz w:val="32"/>
          <w:szCs w:val="32"/>
        </w:rPr>
        <w:t>五、一般公共预算财政拨款支出决算情况说明</w:t>
      </w:r>
      <w:r>
        <w:rPr>
          <w:rFonts w:eastAsia="仿宋_GB2312" w:cs="仿宋_GB2312"/>
          <w:sz w:val="32"/>
          <w:szCs w:val="32"/>
        </w:rPr>
        <w:tab/>
      </w:r>
      <w:r>
        <w:rPr>
          <w:rFonts w:eastAsia="仿宋_GB2312" w:cs="仿宋_GB2312"/>
          <w:sz w:val="32"/>
          <w:szCs w:val="32"/>
        </w:rPr>
        <w:tab/>
      </w:r>
      <w:r>
        <w:rPr>
          <w:rFonts w:hint="eastAsia"/>
          <w:sz w:val="32"/>
          <w:szCs w:val="32"/>
        </w:rPr>
        <w:tab/>
      </w:r>
      <w:r>
        <w:rPr>
          <w:rFonts w:hint="eastAsia"/>
          <w:sz w:val="32"/>
          <w:szCs w:val="32"/>
        </w:rPr>
        <w:t>4</w:t>
      </w:r>
    </w:p>
    <w:p w14:paraId="64DE9566">
      <w:pPr>
        <w:pStyle w:val="14"/>
        <w:tabs>
          <w:tab w:val="right" w:leader="middleDot" w:pos="7980"/>
          <w:tab w:val="right" w:leader="middleDot" w:pos="8190"/>
        </w:tabs>
        <w:adjustRightInd w:val="0"/>
        <w:snapToGrid w:val="0"/>
        <w:spacing w:line="560" w:lineRule="exact"/>
        <w:ind w:left="0" w:leftChars="0" w:firstLine="640" w:firstLineChars="200"/>
        <w:jc w:val="left"/>
        <w:rPr>
          <w:sz w:val="32"/>
          <w:szCs w:val="32"/>
        </w:rPr>
      </w:pPr>
      <w:r>
        <w:rPr>
          <w:rFonts w:hint="eastAsia" w:eastAsia="仿宋_GB2312" w:cs="仿宋_GB2312"/>
          <w:sz w:val="32"/>
          <w:szCs w:val="32"/>
        </w:rPr>
        <w:t>六、一般公共预算财政拨款基本支出决算情况说明</w:t>
      </w:r>
      <w:r>
        <w:rPr>
          <w:rFonts w:eastAsia="仿宋_GB2312" w:cs="仿宋_GB2312"/>
          <w:sz w:val="32"/>
          <w:szCs w:val="32"/>
        </w:rPr>
        <w:tab/>
      </w:r>
      <w:r>
        <w:rPr>
          <w:rFonts w:eastAsia="仿宋_GB2312" w:cs="仿宋_GB2312"/>
          <w:sz w:val="32"/>
          <w:szCs w:val="32"/>
        </w:rPr>
        <w:tab/>
      </w:r>
      <w:r>
        <w:rPr>
          <w:rFonts w:hint="eastAsia"/>
          <w:sz w:val="32"/>
          <w:szCs w:val="32"/>
        </w:rPr>
        <w:tab/>
      </w:r>
      <w:r>
        <w:rPr>
          <w:rFonts w:hint="eastAsia"/>
          <w:sz w:val="32"/>
          <w:szCs w:val="32"/>
        </w:rPr>
        <w:t>8</w:t>
      </w:r>
    </w:p>
    <w:p w14:paraId="7169C32E">
      <w:pPr>
        <w:pStyle w:val="14"/>
        <w:tabs>
          <w:tab w:val="right" w:leader="middleDot" w:pos="7980"/>
          <w:tab w:val="right" w:leader="middleDot" w:pos="8190"/>
        </w:tabs>
        <w:adjustRightInd w:val="0"/>
        <w:snapToGrid w:val="0"/>
        <w:spacing w:line="560" w:lineRule="exact"/>
        <w:ind w:left="0" w:leftChars="0" w:firstLine="640" w:firstLineChars="200"/>
        <w:jc w:val="left"/>
        <w:rPr>
          <w:sz w:val="32"/>
          <w:szCs w:val="32"/>
        </w:rPr>
      </w:pPr>
      <w:r>
        <w:rPr>
          <w:rFonts w:hint="eastAsia" w:eastAsia="仿宋_GB2312" w:cs="仿宋_GB2312"/>
          <w:sz w:val="32"/>
          <w:szCs w:val="32"/>
        </w:rPr>
        <w:t>七、财政拨款“三公”经费支出决算情况说明</w:t>
      </w:r>
      <w:r>
        <w:rPr>
          <w:rFonts w:eastAsia="仿宋_GB2312" w:cs="仿宋_GB2312"/>
          <w:sz w:val="32"/>
          <w:szCs w:val="32"/>
        </w:rPr>
        <w:tab/>
      </w:r>
      <w:r>
        <w:rPr>
          <w:rFonts w:eastAsia="仿宋_GB2312" w:cs="仿宋_GB2312"/>
          <w:sz w:val="32"/>
          <w:szCs w:val="32"/>
        </w:rPr>
        <w:tab/>
      </w:r>
      <w:r>
        <w:rPr>
          <w:rFonts w:hint="eastAsia"/>
          <w:sz w:val="32"/>
          <w:szCs w:val="32"/>
        </w:rPr>
        <w:tab/>
      </w:r>
      <w:r>
        <w:rPr>
          <w:rFonts w:hint="eastAsia"/>
          <w:sz w:val="32"/>
          <w:szCs w:val="32"/>
        </w:rPr>
        <w:t>9</w:t>
      </w:r>
    </w:p>
    <w:p w14:paraId="1E44AFF0">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r>
        <w:rPr>
          <w:rFonts w:eastAsia="仿宋_GB2312" w:cs="仿宋_GB2312"/>
          <w:sz w:val="32"/>
          <w:szCs w:val="32"/>
        </w:rPr>
        <w:tab/>
      </w:r>
      <w:r>
        <w:rPr>
          <w:rFonts w:eastAsia="仿宋_GB2312" w:cs="仿宋_GB2312"/>
          <w:sz w:val="32"/>
          <w:szCs w:val="32"/>
        </w:rPr>
        <w:tab/>
      </w:r>
      <w:r>
        <w:rPr>
          <w:sz w:val="24"/>
        </w:rPr>
        <w:tab/>
      </w:r>
      <w:r>
        <w:rPr>
          <w:rFonts w:hint="eastAsia"/>
          <w:sz w:val="32"/>
          <w:szCs w:val="32"/>
        </w:rPr>
        <w:t>12</w:t>
      </w:r>
    </w:p>
    <w:p w14:paraId="57A0E25A">
      <w:pPr>
        <w:pStyle w:val="14"/>
        <w:tabs>
          <w:tab w:val="right" w:leader="middleDot" w:pos="7980"/>
          <w:tab w:val="right" w:leader="middleDot" w:pos="8190"/>
        </w:tabs>
        <w:adjustRightInd w:val="0"/>
        <w:snapToGrid w:val="0"/>
        <w:spacing w:line="560" w:lineRule="exact"/>
        <w:ind w:left="0" w:leftChars="0" w:firstLine="640" w:firstLineChars="200"/>
        <w:jc w:val="left"/>
        <w:rPr>
          <w:sz w:val="32"/>
          <w:szCs w:val="32"/>
        </w:rPr>
      </w:pPr>
      <w:r>
        <w:rPr>
          <w:rFonts w:hint="eastAsia" w:eastAsia="仿宋_GB2312" w:cs="仿宋_GB2312"/>
          <w:sz w:val="32"/>
          <w:szCs w:val="32"/>
        </w:rPr>
        <w:t>九、国有资本经营预算支出决算情况说明</w:t>
      </w:r>
      <w:r>
        <w:rPr>
          <w:rFonts w:eastAsia="仿宋_GB2312" w:cs="仿宋_GB2312"/>
          <w:sz w:val="32"/>
          <w:szCs w:val="32"/>
        </w:rPr>
        <w:tab/>
      </w:r>
      <w:r>
        <w:rPr>
          <w:rFonts w:eastAsia="仿宋_GB2312" w:cs="仿宋_GB2312"/>
          <w:sz w:val="32"/>
          <w:szCs w:val="32"/>
        </w:rPr>
        <w:tab/>
      </w:r>
      <w:r>
        <w:rPr>
          <w:sz w:val="24"/>
        </w:rPr>
        <w:tab/>
      </w:r>
      <w:r>
        <w:rPr>
          <w:rFonts w:hint="eastAsia"/>
          <w:sz w:val="32"/>
          <w:szCs w:val="32"/>
        </w:rPr>
        <w:t>12</w:t>
      </w:r>
    </w:p>
    <w:p w14:paraId="5E8E698C">
      <w:pPr>
        <w:pStyle w:val="14"/>
        <w:tabs>
          <w:tab w:val="right" w:leader="middleDot" w:pos="7980"/>
          <w:tab w:val="right" w:leader="middleDot" w:pos="8190"/>
        </w:tabs>
        <w:adjustRightInd w:val="0"/>
        <w:snapToGrid w:val="0"/>
        <w:spacing w:line="560" w:lineRule="exact"/>
        <w:ind w:left="0" w:leftChars="0" w:firstLine="640" w:firstLineChars="200"/>
        <w:jc w:val="left"/>
        <w:rPr>
          <w:sz w:val="32"/>
          <w:szCs w:val="32"/>
        </w:rPr>
      </w:pPr>
      <w:r>
        <w:rPr>
          <w:rFonts w:hint="eastAsia" w:eastAsia="仿宋_GB2312" w:cs="仿宋_GB2312"/>
          <w:sz w:val="32"/>
          <w:szCs w:val="32"/>
        </w:rPr>
        <w:t>十、其他重要事项的情况说明</w:t>
      </w:r>
      <w:r>
        <w:rPr>
          <w:rFonts w:eastAsia="仿宋_GB2312" w:cs="仿宋_GB2312"/>
          <w:sz w:val="32"/>
          <w:szCs w:val="32"/>
        </w:rPr>
        <w:tab/>
      </w:r>
      <w:r>
        <w:rPr>
          <w:rFonts w:eastAsia="仿宋_GB2312" w:cs="仿宋_GB2312"/>
          <w:sz w:val="32"/>
          <w:szCs w:val="32"/>
        </w:rPr>
        <w:tab/>
      </w:r>
      <w:r>
        <w:rPr>
          <w:sz w:val="24"/>
        </w:rPr>
        <w:tab/>
      </w:r>
      <w:r>
        <w:rPr>
          <w:rFonts w:hint="eastAsia"/>
          <w:sz w:val="32"/>
          <w:szCs w:val="32"/>
        </w:rPr>
        <w:t>12</w:t>
      </w:r>
    </w:p>
    <w:p w14:paraId="42CEAF99">
      <w:pPr>
        <w:pStyle w:val="14"/>
        <w:tabs>
          <w:tab w:val="right" w:leader="middleDot" w:pos="7980"/>
          <w:tab w:val="right" w:leader="middleDot" w:pos="8190"/>
        </w:tabs>
        <w:adjustRightInd w:val="0"/>
        <w:snapToGrid w:val="0"/>
        <w:spacing w:line="560" w:lineRule="exact"/>
        <w:ind w:left="0" w:leftChars="0"/>
        <w:jc w:val="left"/>
        <w:rPr>
          <w:rFonts w:cs="黑体"/>
          <w:sz w:val="32"/>
          <w:szCs w:val="32"/>
        </w:rPr>
      </w:pPr>
      <w:r>
        <w:rPr>
          <w:rFonts w:hint="eastAsia" w:eastAsia="黑体" w:cs="黑体"/>
          <w:sz w:val="32"/>
          <w:szCs w:val="32"/>
        </w:rPr>
        <w:t>第三部分 名词解释</w:t>
      </w:r>
      <w:r>
        <w:rPr>
          <w:rFonts w:eastAsia="黑体" w:cs="黑体"/>
          <w:sz w:val="32"/>
          <w:szCs w:val="32"/>
        </w:rPr>
        <w:tab/>
      </w:r>
      <w:r>
        <w:rPr>
          <w:rFonts w:eastAsia="黑体" w:cs="黑体"/>
          <w:sz w:val="32"/>
          <w:szCs w:val="32"/>
        </w:rPr>
        <w:tab/>
      </w:r>
      <w:r>
        <w:rPr>
          <w:sz w:val="24"/>
        </w:rPr>
        <w:tab/>
      </w:r>
      <w:r>
        <w:rPr>
          <w:rFonts w:hint="eastAsia"/>
          <w:sz w:val="32"/>
          <w:szCs w:val="32"/>
        </w:rPr>
        <w:t>14</w:t>
      </w:r>
    </w:p>
    <w:p w14:paraId="552C194D">
      <w:pPr>
        <w:pStyle w:val="13"/>
        <w:tabs>
          <w:tab w:val="right" w:leader="middleDot" w:pos="7980"/>
          <w:tab w:val="right" w:leader="middleDot" w:pos="8190"/>
        </w:tabs>
        <w:adjustRightInd w:val="0"/>
        <w:snapToGrid w:val="0"/>
        <w:spacing w:before="0" w:line="560" w:lineRule="exact"/>
        <w:jc w:val="left"/>
        <w:rPr>
          <w:rFonts w:ascii="Times New Roman" w:hAnsi="Times New Roman" w:eastAsia="宋体"/>
          <w:sz w:val="32"/>
          <w:szCs w:val="32"/>
        </w:rPr>
      </w:pPr>
      <w:r>
        <w:rPr>
          <w:rFonts w:hint="eastAsia" w:ascii="Times New Roman" w:hAnsi="Times New Roman" w:eastAsia="黑体" w:cs="黑体"/>
          <w:sz w:val="32"/>
          <w:szCs w:val="32"/>
        </w:rPr>
        <w:t>第四部分 附件</w:t>
      </w:r>
      <w:r>
        <w:rPr>
          <w:rFonts w:ascii="Times New Roman" w:hAnsi="Times New Roman" w:eastAsia="黑体" w:cs="黑体"/>
          <w:sz w:val="32"/>
          <w:szCs w:val="32"/>
        </w:rPr>
        <w:tab/>
      </w:r>
      <w:r>
        <w:rPr>
          <w:rFonts w:eastAsia="仿宋_GB2312" w:cs="仿宋_GB2312"/>
          <w:sz w:val="32"/>
          <w:szCs w:val="32"/>
        </w:rPr>
        <w:tab/>
      </w:r>
      <w:r>
        <w:rPr>
          <w:rFonts w:ascii="Times New Roman" w:hAnsi="Times New Roman" w:eastAsia="黑体" w:cs="黑体"/>
          <w:sz w:val="32"/>
          <w:szCs w:val="32"/>
        </w:rPr>
        <w:tab/>
      </w:r>
      <w:r>
        <w:rPr>
          <w:rFonts w:hint="eastAsia" w:ascii="Times New Roman" w:hAnsi="Times New Roman" w:eastAsia="宋体"/>
          <w:sz w:val="32"/>
          <w:szCs w:val="32"/>
        </w:rPr>
        <w:t>21</w:t>
      </w:r>
    </w:p>
    <w:p w14:paraId="69761641">
      <w:pPr>
        <w:pStyle w:val="13"/>
        <w:tabs>
          <w:tab w:val="right" w:leader="middleDot" w:pos="7980"/>
          <w:tab w:val="right" w:leader="middleDot" w:pos="8190"/>
        </w:tabs>
        <w:adjustRightInd w:val="0"/>
        <w:snapToGrid w:val="0"/>
        <w:spacing w:before="0" w:line="560" w:lineRule="exact"/>
        <w:jc w:val="left"/>
        <w:rPr>
          <w:rFonts w:ascii="Times New Roman" w:hAnsi="Times New Roman" w:eastAsia="宋体"/>
          <w:sz w:val="32"/>
          <w:szCs w:val="32"/>
        </w:rPr>
      </w:pPr>
      <w:r>
        <w:rPr>
          <w:rFonts w:hint="eastAsia" w:ascii="Times New Roman" w:hAnsi="Times New Roman" w:eastAsia="黑体" w:cs="黑体"/>
          <w:sz w:val="32"/>
          <w:szCs w:val="32"/>
        </w:rPr>
        <w:t>第五部分 附表</w:t>
      </w:r>
      <w:r>
        <w:rPr>
          <w:rFonts w:ascii="Times New Roman" w:hAnsi="Times New Roman" w:eastAsia="黑体" w:cs="黑体"/>
          <w:sz w:val="32"/>
          <w:szCs w:val="32"/>
        </w:rPr>
        <w:tab/>
      </w:r>
      <w:r>
        <w:rPr>
          <w:rFonts w:ascii="Times New Roman" w:hAnsi="Times New Roman" w:eastAsia="黑体" w:cs="黑体"/>
          <w:sz w:val="32"/>
          <w:szCs w:val="32"/>
        </w:rPr>
        <w:tab/>
      </w:r>
      <w:r>
        <w:rPr>
          <w:rFonts w:ascii="Times New Roman" w:hAnsi="Times New Roman" w:eastAsia="宋体"/>
          <w:sz w:val="24"/>
          <w:szCs w:val="24"/>
        </w:rPr>
        <w:tab/>
      </w:r>
      <w:r>
        <w:rPr>
          <w:rFonts w:hint="eastAsia" w:ascii="Times New Roman" w:hAnsi="Times New Roman" w:eastAsia="宋体"/>
          <w:sz w:val="32"/>
          <w:szCs w:val="32"/>
        </w:rPr>
        <w:t>59</w:t>
      </w:r>
    </w:p>
    <w:p w14:paraId="49F44EB0">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r>
        <w:rPr>
          <w:rFonts w:eastAsia="仿宋_GB2312" w:cs="仿宋_GB2312"/>
          <w:sz w:val="32"/>
          <w:szCs w:val="32"/>
        </w:rPr>
        <w:tab/>
      </w:r>
      <w:r>
        <w:rPr>
          <w:rFonts w:eastAsia="仿宋_GB2312" w:cs="仿宋_GB2312"/>
          <w:sz w:val="32"/>
          <w:szCs w:val="32"/>
        </w:rPr>
        <w:tab/>
      </w:r>
      <w:r>
        <w:rPr>
          <w:rFonts w:eastAsia="仿宋_GB2312" w:cs="仿宋_GB2312"/>
          <w:sz w:val="32"/>
          <w:szCs w:val="32"/>
        </w:rPr>
        <w:tab/>
      </w:r>
      <w:r>
        <w:rPr>
          <w:rFonts w:hint="eastAsia" w:eastAsia="仿宋_GB2312" w:cs="仿宋_GB2312"/>
          <w:sz w:val="32"/>
          <w:szCs w:val="32"/>
        </w:rPr>
        <w:t>59</w:t>
      </w:r>
    </w:p>
    <w:p w14:paraId="2C90B5EB">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r>
        <w:rPr>
          <w:rFonts w:eastAsia="仿宋_GB2312" w:cs="仿宋_GB2312"/>
          <w:sz w:val="32"/>
          <w:szCs w:val="32"/>
        </w:rPr>
        <w:tab/>
      </w:r>
      <w:r>
        <w:rPr>
          <w:sz w:val="24"/>
        </w:rPr>
        <w:tab/>
      </w:r>
      <w:r>
        <w:rPr>
          <w:rFonts w:hint="eastAsia" w:eastAsia="仿宋_GB2312" w:cs="仿宋_GB2312"/>
          <w:sz w:val="32"/>
          <w:szCs w:val="32"/>
        </w:rPr>
        <w:t>59</w:t>
      </w:r>
    </w:p>
    <w:p w14:paraId="17545151">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r>
        <w:rPr>
          <w:rFonts w:eastAsia="仿宋_GB2312" w:cs="仿宋_GB2312"/>
          <w:sz w:val="32"/>
          <w:szCs w:val="32"/>
        </w:rPr>
        <w:tab/>
      </w:r>
      <w:r>
        <w:rPr>
          <w:rFonts w:eastAsia="仿宋_GB2312" w:cs="仿宋_GB2312"/>
          <w:sz w:val="32"/>
          <w:szCs w:val="32"/>
        </w:rPr>
        <w:tab/>
      </w:r>
      <w:r>
        <w:rPr>
          <w:rFonts w:hint="eastAsia" w:eastAsia="仿宋_GB2312" w:cs="仿宋_GB2312"/>
          <w:sz w:val="32"/>
          <w:szCs w:val="32"/>
        </w:rPr>
        <w:t>59</w:t>
      </w:r>
    </w:p>
    <w:p w14:paraId="580C60BE">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r>
        <w:rPr>
          <w:rFonts w:eastAsia="仿宋_GB2312" w:cs="仿宋_GB2312"/>
          <w:sz w:val="32"/>
          <w:szCs w:val="32"/>
        </w:rPr>
        <w:tab/>
      </w:r>
      <w:r>
        <w:rPr>
          <w:rFonts w:eastAsia="仿宋_GB2312" w:cs="仿宋_GB2312"/>
          <w:sz w:val="32"/>
          <w:szCs w:val="32"/>
        </w:rPr>
        <w:tab/>
      </w:r>
      <w:r>
        <w:rPr>
          <w:rFonts w:hint="eastAsia" w:eastAsia="仿宋_GB2312" w:cs="仿宋_GB2312"/>
          <w:sz w:val="32"/>
          <w:szCs w:val="32"/>
        </w:rPr>
        <w:t>59</w:t>
      </w:r>
    </w:p>
    <w:p w14:paraId="08E9047B">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r>
        <w:rPr>
          <w:rFonts w:eastAsia="仿宋_GB2312" w:cs="仿宋_GB2312"/>
          <w:sz w:val="32"/>
          <w:szCs w:val="32"/>
        </w:rPr>
        <w:tab/>
      </w:r>
      <w:r>
        <w:rPr>
          <w:rFonts w:eastAsia="仿宋_GB2312" w:cs="仿宋_GB2312"/>
          <w:sz w:val="32"/>
          <w:szCs w:val="32"/>
        </w:rPr>
        <w:tab/>
      </w:r>
      <w:r>
        <w:rPr>
          <w:rFonts w:hint="eastAsia" w:eastAsia="仿宋_GB2312" w:cs="仿宋_GB2312"/>
          <w:sz w:val="32"/>
          <w:szCs w:val="32"/>
        </w:rPr>
        <w:t>59</w:t>
      </w:r>
    </w:p>
    <w:p w14:paraId="7183E2F9">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r>
        <w:rPr>
          <w:rFonts w:eastAsia="仿宋_GB2312" w:cs="仿宋_GB2312"/>
          <w:sz w:val="32"/>
          <w:szCs w:val="32"/>
        </w:rPr>
        <w:tab/>
      </w:r>
      <w:r>
        <w:rPr>
          <w:rFonts w:eastAsia="仿宋_GB2312" w:cs="仿宋_GB2312"/>
          <w:sz w:val="32"/>
          <w:szCs w:val="32"/>
        </w:rPr>
        <w:tab/>
      </w:r>
      <w:r>
        <w:rPr>
          <w:rFonts w:hint="eastAsia" w:eastAsia="仿宋_GB2312" w:cs="仿宋_GB2312"/>
          <w:sz w:val="32"/>
          <w:szCs w:val="32"/>
        </w:rPr>
        <w:t>59</w:t>
      </w:r>
    </w:p>
    <w:p w14:paraId="173A6CB2">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r>
        <w:rPr>
          <w:rFonts w:eastAsia="仿宋_GB2312" w:cs="仿宋_GB2312"/>
          <w:sz w:val="32"/>
          <w:szCs w:val="32"/>
        </w:rPr>
        <w:tab/>
      </w:r>
      <w:r>
        <w:rPr>
          <w:rFonts w:eastAsia="仿宋_GB2312" w:cs="仿宋_GB2312"/>
          <w:sz w:val="32"/>
          <w:szCs w:val="32"/>
        </w:rPr>
        <w:tab/>
      </w:r>
      <w:r>
        <w:rPr>
          <w:rFonts w:hint="eastAsia" w:eastAsia="仿宋_GB2312" w:cs="仿宋_GB2312"/>
          <w:sz w:val="32"/>
          <w:szCs w:val="32"/>
        </w:rPr>
        <w:t>59</w:t>
      </w:r>
    </w:p>
    <w:p w14:paraId="1828DDEE">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r>
        <w:rPr>
          <w:rFonts w:eastAsia="仿宋_GB2312" w:cs="仿宋_GB2312"/>
          <w:sz w:val="32"/>
          <w:szCs w:val="32"/>
        </w:rPr>
        <w:tab/>
      </w:r>
      <w:r>
        <w:rPr>
          <w:rFonts w:eastAsia="仿宋_GB2312" w:cs="仿宋_GB2312"/>
          <w:sz w:val="32"/>
          <w:szCs w:val="32"/>
        </w:rPr>
        <w:tab/>
      </w:r>
      <w:r>
        <w:rPr>
          <w:rFonts w:hint="eastAsia" w:eastAsia="仿宋_GB2312" w:cs="仿宋_GB2312"/>
          <w:sz w:val="32"/>
          <w:szCs w:val="32"/>
        </w:rPr>
        <w:t>59</w:t>
      </w:r>
    </w:p>
    <w:p w14:paraId="09772A77">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r>
        <w:rPr>
          <w:rFonts w:eastAsia="仿宋_GB2312" w:cs="仿宋_GB2312"/>
          <w:sz w:val="32"/>
          <w:szCs w:val="32"/>
        </w:rPr>
        <w:tab/>
      </w:r>
      <w:r>
        <w:rPr>
          <w:sz w:val="24"/>
        </w:rPr>
        <w:tab/>
      </w:r>
      <w:r>
        <w:rPr>
          <w:rFonts w:hint="eastAsia" w:eastAsia="仿宋_GB2312" w:cs="仿宋_GB2312"/>
          <w:sz w:val="32"/>
          <w:szCs w:val="32"/>
        </w:rPr>
        <w:t>59</w:t>
      </w:r>
    </w:p>
    <w:p w14:paraId="131B2B9D">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r>
        <w:rPr>
          <w:rFonts w:eastAsia="仿宋_GB2312" w:cs="仿宋_GB2312"/>
          <w:sz w:val="32"/>
          <w:szCs w:val="32"/>
        </w:rPr>
        <w:tab/>
      </w:r>
      <w:r>
        <w:rPr>
          <w:rFonts w:eastAsia="仿宋_GB2312" w:cs="仿宋_GB2312"/>
          <w:sz w:val="32"/>
          <w:szCs w:val="32"/>
        </w:rPr>
        <w:tab/>
      </w:r>
      <w:r>
        <w:rPr>
          <w:rFonts w:hint="eastAsia" w:eastAsia="仿宋_GB2312" w:cs="仿宋_GB2312"/>
          <w:sz w:val="32"/>
          <w:szCs w:val="32"/>
        </w:rPr>
        <w:t>59</w:t>
      </w:r>
    </w:p>
    <w:p w14:paraId="5BB9FE75">
      <w:pPr>
        <w:pStyle w:val="14"/>
        <w:tabs>
          <w:tab w:val="right" w:leader="middleDot" w:pos="7980"/>
          <w:tab w:val="right" w:leader="middleDot" w:pos="8190"/>
        </w:tabs>
        <w:adjustRightInd w:val="0"/>
        <w:snapToGrid w:val="0"/>
        <w:spacing w:line="560" w:lineRule="exact"/>
        <w:ind w:left="638" w:leftChars="304"/>
        <w:jc w:val="left"/>
        <w:rPr>
          <w:rFonts w:eastAsia="仿宋_GB2312" w:cs="仿宋_GB2312"/>
          <w:sz w:val="32"/>
          <w:szCs w:val="32"/>
        </w:rPr>
      </w:pPr>
      <w:r>
        <w:rPr>
          <w:rFonts w:hint="eastAsia" w:eastAsia="仿宋_GB2312" w:cs="仿宋_GB2312"/>
          <w:sz w:val="32"/>
          <w:szCs w:val="32"/>
        </w:rPr>
        <w:t>十一、国有资本经营预算财政拨款收入支出决算表（此表</w:t>
      </w:r>
    </w:p>
    <w:p w14:paraId="5F1D4A47">
      <w:pPr>
        <w:pStyle w:val="14"/>
        <w:tabs>
          <w:tab w:val="right" w:leader="middleDot" w:pos="7980"/>
          <w:tab w:val="right" w:leader="middleDot" w:pos="8190"/>
        </w:tabs>
        <w:adjustRightInd w:val="0"/>
        <w:snapToGrid w:val="0"/>
        <w:spacing w:line="560" w:lineRule="exact"/>
        <w:ind w:left="638" w:leftChars="304"/>
        <w:jc w:val="left"/>
        <w:rPr>
          <w:rFonts w:eastAsia="仿宋_GB2312" w:cs="仿宋_GB2312"/>
          <w:sz w:val="32"/>
          <w:szCs w:val="32"/>
        </w:rPr>
      </w:pPr>
      <w:r>
        <w:rPr>
          <w:rFonts w:hint="eastAsia" w:eastAsia="仿宋_GB2312" w:cs="仿宋_GB2312"/>
          <w:sz w:val="32"/>
          <w:szCs w:val="32"/>
        </w:rPr>
        <w:t>无数据）</w:t>
      </w:r>
      <w:r>
        <w:rPr>
          <w:rFonts w:eastAsia="仿宋_GB2312" w:cs="仿宋_GB2312"/>
          <w:sz w:val="32"/>
          <w:szCs w:val="32"/>
        </w:rPr>
        <w:tab/>
      </w:r>
      <w:r>
        <w:rPr>
          <w:sz w:val="24"/>
        </w:rPr>
        <w:tab/>
      </w:r>
      <w:r>
        <w:rPr>
          <w:rFonts w:hint="eastAsia" w:eastAsia="仿宋_GB2312" w:cs="仿宋_GB2312"/>
          <w:sz w:val="32"/>
          <w:szCs w:val="32"/>
        </w:rPr>
        <w:t>59</w:t>
      </w:r>
    </w:p>
    <w:p w14:paraId="717BD5B2">
      <w:pPr>
        <w:pStyle w:val="14"/>
        <w:tabs>
          <w:tab w:val="right" w:leader="middleDot" w:pos="7980"/>
          <w:tab w:val="right" w:leader="middleDot" w:pos="8190"/>
        </w:tabs>
        <w:adjustRightInd w:val="0"/>
        <w:snapToGrid w:val="0"/>
        <w:spacing w:line="560" w:lineRule="exact"/>
        <w:ind w:left="638" w:leftChars="304"/>
        <w:jc w:val="left"/>
        <w:rPr>
          <w:rFonts w:eastAsia="仿宋_GB2312" w:cs="仿宋_GB2312"/>
          <w:sz w:val="32"/>
          <w:szCs w:val="32"/>
        </w:rPr>
      </w:pPr>
      <w:r>
        <w:rPr>
          <w:rFonts w:hint="eastAsia" w:eastAsia="仿宋_GB2312" w:cs="仿宋_GB2312"/>
          <w:sz w:val="32"/>
          <w:szCs w:val="32"/>
        </w:rPr>
        <w:t>十二、国有资本经营预算财政拨款支出决算表（此表无数据）</w:t>
      </w:r>
      <w:r>
        <w:rPr>
          <w:rFonts w:eastAsia="仿宋_GB2312" w:cs="仿宋_GB2312"/>
          <w:sz w:val="32"/>
          <w:szCs w:val="32"/>
        </w:rPr>
        <w:tab/>
      </w:r>
      <w:r>
        <w:rPr>
          <w:rFonts w:eastAsia="仿宋_GB2312" w:cs="仿宋_GB2312"/>
          <w:sz w:val="32"/>
          <w:szCs w:val="32"/>
        </w:rPr>
        <w:tab/>
      </w:r>
      <w:r>
        <w:rPr>
          <w:rFonts w:hint="eastAsia"/>
          <w:sz w:val="32"/>
          <w:szCs w:val="32"/>
        </w:rPr>
        <w:t>59</w:t>
      </w:r>
    </w:p>
    <w:p w14:paraId="4BA2A15A">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b/>
          <w:bCs/>
          <w:sz w:val="32"/>
          <w:szCs w:val="32"/>
        </w:rPr>
      </w:pPr>
      <w:r>
        <w:rPr>
          <w:rFonts w:hint="eastAsia" w:eastAsia="仿宋_GB2312" w:cs="仿宋_GB2312"/>
          <w:sz w:val="32"/>
          <w:szCs w:val="32"/>
        </w:rPr>
        <w:t>十三、财政拨款“三公”经费支出决算表</w:t>
      </w:r>
      <w:r>
        <w:rPr>
          <w:rFonts w:eastAsia="仿宋_GB2312" w:cs="仿宋_GB2312"/>
          <w:sz w:val="32"/>
          <w:szCs w:val="32"/>
        </w:rPr>
        <w:tab/>
      </w:r>
      <w:r>
        <w:rPr>
          <w:rFonts w:eastAsia="仿宋_GB2312" w:cs="仿宋_GB2312"/>
          <w:sz w:val="32"/>
          <w:szCs w:val="32"/>
        </w:rPr>
        <w:tab/>
      </w:r>
      <w:r>
        <w:rPr>
          <w:rFonts w:hint="eastAsia" w:eastAsia="仿宋_GB2312" w:cs="仿宋_GB2312"/>
          <w:sz w:val="32"/>
          <w:szCs w:val="32"/>
        </w:rPr>
        <w:t>59</w:t>
      </w:r>
    </w:p>
    <w:p w14:paraId="4CE87C0D">
      <w:pPr>
        <w:pStyle w:val="5"/>
        <w:tabs>
          <w:tab w:val="right" w:leader="middleDot" w:pos="7980"/>
        </w:tabs>
        <w:spacing w:before="0" w:after="0" w:line="300" w:lineRule="auto"/>
        <w:jc w:val="center"/>
        <w:rPr>
          <w:rFonts w:ascii="方正小标宋_GBK" w:hAnsi="方正小标宋_GBK" w:eastAsia="方正小标宋_GBK" w:cs="方正小标宋_GBK"/>
          <w:b w:val="0"/>
        </w:rPr>
        <w:sectPr>
          <w:headerReference r:id="rId3" w:type="default"/>
          <w:footerReference r:id="rId4" w:type="default"/>
          <w:pgSz w:w="11906" w:h="16838"/>
          <w:pgMar w:top="2098" w:right="1474" w:bottom="1984" w:left="1587" w:header="851" w:footer="992" w:gutter="0"/>
          <w:pgNumType w:fmt="numberInDash" w:start="1"/>
          <w:cols w:space="425" w:num="1"/>
          <w:docGrid w:type="lines" w:linePitch="312" w:charSpace="0"/>
        </w:sectPr>
      </w:pPr>
      <w:bookmarkStart w:id="6" w:name="_Toc15377196"/>
      <w:bookmarkStart w:id="7" w:name="_Toc15396599"/>
    </w:p>
    <w:p w14:paraId="77807709">
      <w:pPr>
        <w:pStyle w:val="5"/>
        <w:spacing w:before="0" w:after="0" w:line="300" w:lineRule="auto"/>
        <w:jc w:val="center"/>
        <w:rPr>
          <w:rStyle w:val="28"/>
          <w:rFonts w:ascii="方正小标宋_GBK" w:hAnsi="方正小标宋_GBK" w:eastAsia="方正小标宋_GBK" w:cs="方正小标宋_GBK"/>
          <w:b/>
          <w:bCs w:val="0"/>
        </w:rPr>
      </w:pPr>
      <w:r>
        <w:rPr>
          <w:rFonts w:hint="eastAsia" w:ascii="方正小标宋_GBK" w:hAnsi="方正小标宋_GBK" w:eastAsia="方正小标宋_GBK" w:cs="方正小标宋_GBK"/>
          <w:b w:val="0"/>
        </w:rPr>
        <w:t xml:space="preserve">第一部分 </w:t>
      </w:r>
      <w:r>
        <w:rPr>
          <w:rStyle w:val="28"/>
          <w:rFonts w:hint="eastAsia" w:ascii="方正小标宋_GBK" w:hAnsi="方正小标宋_GBK" w:eastAsia="方正小标宋_GBK" w:cs="方正小标宋_GBK"/>
          <w:b w:val="0"/>
          <w:bCs w:val="0"/>
        </w:rPr>
        <w:t>部门概况</w:t>
      </w:r>
      <w:bookmarkEnd w:id="6"/>
      <w:bookmarkEnd w:id="7"/>
    </w:p>
    <w:p w14:paraId="2278231F">
      <w:pPr>
        <w:widowControl/>
        <w:jc w:val="left"/>
        <w:rPr>
          <w:rFonts w:eastAsia="黑体"/>
          <w:sz w:val="32"/>
          <w:szCs w:val="32"/>
        </w:rPr>
      </w:pPr>
    </w:p>
    <w:p w14:paraId="5A29897D">
      <w:pPr>
        <w:pStyle w:val="6"/>
        <w:spacing w:before="0" w:after="0" w:line="353" w:lineRule="auto"/>
        <w:ind w:firstLine="640" w:firstLineChars="200"/>
        <w:rPr>
          <w:rFonts w:ascii="Times New Roman" w:hAnsi="Times New Roman" w:eastAsia="黑体"/>
          <w:b w:val="0"/>
        </w:rPr>
      </w:pPr>
      <w:r>
        <w:rPr>
          <w:rFonts w:hint="eastAsia" w:ascii="Times New Roman" w:hAnsi="Times New Roman" w:eastAsia="黑体"/>
          <w:b w:val="0"/>
        </w:rPr>
        <w:t>一、部门职责</w:t>
      </w:r>
    </w:p>
    <w:p w14:paraId="0F1A5DF4">
      <w:pPr>
        <w:spacing w:line="353" w:lineRule="auto"/>
        <w:ind w:firstLine="640" w:firstLineChars="200"/>
        <w:rPr>
          <w:rFonts w:eastAsia="仿宋_GB2312"/>
        </w:rPr>
      </w:pPr>
      <w:r>
        <w:rPr>
          <w:rFonts w:eastAsia="仿宋_GB2312"/>
          <w:sz w:val="32"/>
          <w:szCs w:val="32"/>
        </w:rPr>
        <w:t>贯彻执行党和国家关于公安工作的路线、方针、政策和法律法规；预防、制止和侦查违法犯罪活动；维护社会治安秩序，制止危害社会治安秩序的行为；指导、检查、监督本辖区公安机关的执法活动；依法管理户口、居民身份证、枪支弹药、管制刀具和易燃易爆、剧毒、放射性等危险物品和特种待业的管理工作；依法管理集会、游行、示威活动；承办政府和上级公安机关交办的其他事项。</w:t>
      </w:r>
    </w:p>
    <w:p w14:paraId="62F93563">
      <w:pPr>
        <w:pStyle w:val="6"/>
        <w:spacing w:before="0" w:after="0" w:line="353" w:lineRule="auto"/>
        <w:ind w:firstLine="640" w:firstLineChars="200"/>
        <w:rPr>
          <w:rFonts w:ascii="Times New Roman" w:hAnsi="Times New Roman" w:eastAsia="黑体"/>
          <w:b w:val="0"/>
        </w:rPr>
      </w:pPr>
      <w:bookmarkStart w:id="8" w:name="_Toc15377200"/>
      <w:bookmarkStart w:id="9" w:name="_Toc15396601"/>
      <w:r>
        <w:rPr>
          <w:rFonts w:hint="eastAsia" w:ascii="Times New Roman" w:hAnsi="Times New Roman" w:eastAsia="黑体"/>
          <w:b w:val="0"/>
        </w:rPr>
        <w:t>二、机构设置</w:t>
      </w:r>
      <w:bookmarkEnd w:id="8"/>
      <w:bookmarkEnd w:id="9"/>
    </w:p>
    <w:p w14:paraId="47F401CD">
      <w:pPr>
        <w:spacing w:line="353" w:lineRule="auto"/>
        <w:ind w:firstLine="640" w:firstLineChars="200"/>
        <w:rPr>
          <w:rFonts w:eastAsia="仿宋_GB2312"/>
          <w:sz w:val="32"/>
          <w:szCs w:val="32"/>
        </w:rPr>
      </w:pPr>
      <w:r>
        <w:rPr>
          <w:rFonts w:hint="eastAsia" w:eastAsia="仿宋_GB2312"/>
          <w:sz w:val="32"/>
          <w:szCs w:val="32"/>
        </w:rPr>
        <w:t>攀枝花市公安局下属二级预算单位3个，其中行政单位3个，参照公务员法管理的事业单位0个，其他事业单位0个。</w:t>
      </w:r>
    </w:p>
    <w:p w14:paraId="50BA47DF">
      <w:pPr>
        <w:spacing w:line="353" w:lineRule="auto"/>
        <w:ind w:firstLine="640" w:firstLineChars="200"/>
        <w:rPr>
          <w:rFonts w:eastAsia="仿宋_GB2312"/>
          <w:sz w:val="32"/>
          <w:szCs w:val="32"/>
        </w:rPr>
      </w:pPr>
      <w:r>
        <w:rPr>
          <w:rFonts w:hint="eastAsia" w:eastAsia="仿宋_GB2312"/>
          <w:sz w:val="32"/>
          <w:szCs w:val="32"/>
        </w:rPr>
        <w:t>纳入攀枝花市公安局2025年度部门决算编制范围的二级预算单位包括：</w:t>
      </w:r>
    </w:p>
    <w:p w14:paraId="3DA6A0B7">
      <w:pPr>
        <w:spacing w:line="353" w:lineRule="auto"/>
        <w:ind w:firstLine="640" w:firstLineChars="200"/>
        <w:rPr>
          <w:rFonts w:eastAsia="仿宋_GB2312"/>
          <w:sz w:val="32"/>
          <w:szCs w:val="32"/>
        </w:rPr>
      </w:pPr>
      <w:r>
        <w:rPr>
          <w:rFonts w:hint="eastAsia" w:eastAsia="仿宋_GB2312"/>
          <w:sz w:val="32"/>
          <w:szCs w:val="32"/>
        </w:rPr>
        <w:t>1.攀枝花市公安局东区分局</w:t>
      </w:r>
    </w:p>
    <w:p w14:paraId="6F3EA950">
      <w:pPr>
        <w:spacing w:line="353" w:lineRule="auto"/>
        <w:ind w:firstLine="640" w:firstLineChars="200"/>
        <w:rPr>
          <w:rFonts w:eastAsia="仿宋_GB2312"/>
          <w:sz w:val="32"/>
          <w:szCs w:val="32"/>
        </w:rPr>
      </w:pPr>
      <w:r>
        <w:rPr>
          <w:rFonts w:hint="eastAsia" w:eastAsia="仿宋_GB2312"/>
          <w:sz w:val="32"/>
          <w:szCs w:val="32"/>
        </w:rPr>
        <w:t>2.攀枝花市公安局西区分局</w:t>
      </w:r>
    </w:p>
    <w:p w14:paraId="525AE158">
      <w:pPr>
        <w:spacing w:line="353" w:lineRule="auto"/>
        <w:ind w:firstLine="640" w:firstLineChars="200"/>
        <w:rPr>
          <w:rFonts w:eastAsia="仿宋_GB2312"/>
          <w:sz w:val="32"/>
          <w:szCs w:val="32"/>
        </w:rPr>
      </w:pPr>
      <w:r>
        <w:rPr>
          <w:rFonts w:hint="eastAsia" w:eastAsia="仿宋_GB2312"/>
          <w:sz w:val="32"/>
          <w:szCs w:val="32"/>
        </w:rPr>
        <w:t>3.攀枝花市公安局仁和区分局</w:t>
      </w:r>
    </w:p>
    <w:p w14:paraId="1C1A9BD1">
      <w:pPr>
        <w:pStyle w:val="5"/>
        <w:spacing w:before="0" w:after="0" w:line="300" w:lineRule="auto"/>
        <w:jc w:val="center"/>
        <w:rPr>
          <w:rFonts w:ascii="方正小标宋_GBK" w:hAnsi="方正小标宋_GBK" w:eastAsia="方正小标宋_GBK" w:cs="方正小标宋_GBK"/>
          <w:b w:val="0"/>
        </w:rPr>
      </w:pPr>
      <w:bookmarkStart w:id="10" w:name="_Toc15377204"/>
      <w:bookmarkStart w:id="11" w:name="_Toc15396602"/>
      <w:r>
        <w:rPr>
          <w:rFonts w:hint="eastAsia" w:ascii="方正小标宋_GBK" w:hAnsi="方正小标宋_GBK" w:eastAsia="方正小标宋_GBK" w:cs="方正小标宋_GBK"/>
          <w:b w:val="0"/>
        </w:rPr>
        <w:t>第二部分2025年度部门决算情况说明</w:t>
      </w:r>
      <w:bookmarkEnd w:id="10"/>
      <w:bookmarkEnd w:id="11"/>
    </w:p>
    <w:p w14:paraId="497A015E">
      <w:pPr>
        <w:rPr>
          <w:sz w:val="32"/>
          <w:szCs w:val="32"/>
        </w:rPr>
      </w:pPr>
    </w:p>
    <w:p w14:paraId="45B81EA6">
      <w:pPr>
        <w:pStyle w:val="6"/>
        <w:spacing w:before="0" w:after="0" w:line="353" w:lineRule="auto"/>
        <w:ind w:firstLine="640" w:firstLineChars="200"/>
        <w:rPr>
          <w:rFonts w:ascii="Times New Roman" w:hAnsi="Times New Roman" w:eastAsia="黑体"/>
          <w:b w:val="0"/>
        </w:rPr>
      </w:pPr>
      <w:bookmarkStart w:id="12" w:name="_Toc15377205"/>
      <w:bookmarkStart w:id="13" w:name="_Toc15396603"/>
      <w:r>
        <w:rPr>
          <w:rFonts w:hint="eastAsia" w:ascii="Times New Roman" w:hAnsi="Times New Roman" w:eastAsia="黑体"/>
          <w:b w:val="0"/>
        </w:rPr>
        <w:t>一、收入支出决算总体情况说明</w:t>
      </w:r>
      <w:bookmarkEnd w:id="12"/>
      <w:bookmarkEnd w:id="13"/>
    </w:p>
    <w:p w14:paraId="4B8312C4">
      <w:pPr>
        <w:spacing w:line="353" w:lineRule="auto"/>
        <w:ind w:firstLine="640" w:firstLineChars="200"/>
        <w:rPr>
          <w:rFonts w:eastAsia="仿宋_GB2312"/>
          <w:sz w:val="32"/>
          <w:szCs w:val="32"/>
        </w:rPr>
      </w:pPr>
      <w:r>
        <w:rPr>
          <w:rFonts w:hint="eastAsia" w:eastAsia="仿宋_GB2312"/>
          <w:sz w:val="32"/>
          <w:szCs w:val="32"/>
        </w:rPr>
        <w:t>2025年度收入、支出预算总计均为70926.83万元。与2024年度相比，收入、支出总计各增加9254.57万元，增长15.01%。主要变动原因是2025年下达专项债券4000万元用于“</w:t>
      </w:r>
      <w:r>
        <w:rPr>
          <w:rFonts w:eastAsia="仿宋_GB2312"/>
          <w:sz w:val="32"/>
          <w:szCs w:val="32"/>
        </w:rPr>
        <w:t>智能安全系统（天网二期）</w:t>
      </w:r>
      <w:r>
        <w:rPr>
          <w:rFonts w:hint="eastAsia" w:eastAsia="仿宋_GB2312"/>
          <w:sz w:val="32"/>
          <w:szCs w:val="32"/>
        </w:rPr>
        <w:t>”项目，导致项目执行增加。</w:t>
      </w:r>
    </w:p>
    <w:p w14:paraId="32BB340C">
      <w:pPr>
        <w:spacing w:line="353" w:lineRule="auto"/>
        <w:ind w:firstLine="640" w:firstLineChars="200"/>
        <w:rPr>
          <w:rFonts w:eastAsia="仿宋_GB2312"/>
          <w:sz w:val="32"/>
          <w:szCs w:val="32"/>
        </w:rPr>
      </w:pPr>
      <w:r>
        <w:rPr>
          <w:rFonts w:hint="eastAsia" w:eastAsia="仿宋_GB2312"/>
          <w:sz w:val="32"/>
          <w:szCs w:val="32"/>
        </w:rPr>
        <w:t>（图1：收入、支出决算总计变动情况图）（单位：万元）</w:t>
      </w:r>
    </w:p>
    <w:p w14:paraId="0627EFAE">
      <w:pPr>
        <w:ind w:firstLine="420" w:firstLineChars="200"/>
        <w:jc w:val="center"/>
        <w:rPr>
          <w:rFonts w:eastAsia="仿宋_GB2312" w:cs="仿宋_GB2312"/>
          <w:sz w:val="32"/>
          <w:szCs w:val="32"/>
          <w:highlight w:val="yellow"/>
        </w:rPr>
      </w:pPr>
      <w:r>
        <w:drawing>
          <wp:inline distT="0" distB="0" distL="114300" distR="114300">
            <wp:extent cx="4572000" cy="2743200"/>
            <wp:effectExtent l="4445" t="4445" r="1460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5D6AFDE">
      <w:pPr>
        <w:pStyle w:val="6"/>
        <w:spacing w:before="0" w:after="0" w:line="353" w:lineRule="auto"/>
        <w:ind w:firstLine="640" w:firstLineChars="200"/>
        <w:rPr>
          <w:rFonts w:ascii="Times New Roman" w:hAnsi="Times New Roman" w:eastAsia="黑体"/>
          <w:b w:val="0"/>
        </w:rPr>
      </w:pPr>
      <w:bookmarkStart w:id="14" w:name="_Toc15396604"/>
      <w:bookmarkStart w:id="15" w:name="_Toc15377206"/>
      <w:r>
        <w:rPr>
          <w:rFonts w:hint="eastAsia" w:ascii="Times New Roman" w:hAnsi="Times New Roman" w:eastAsia="黑体"/>
          <w:b w:val="0"/>
        </w:rPr>
        <w:t>二、收入决算情况说明</w:t>
      </w:r>
      <w:bookmarkEnd w:id="14"/>
      <w:bookmarkEnd w:id="15"/>
    </w:p>
    <w:p w14:paraId="7DEEE42F">
      <w:pPr>
        <w:spacing w:line="353" w:lineRule="auto"/>
        <w:ind w:firstLine="640" w:firstLineChars="200"/>
        <w:rPr>
          <w:rFonts w:eastAsia="仿宋_GB2312"/>
          <w:sz w:val="32"/>
          <w:szCs w:val="32"/>
        </w:rPr>
      </w:pPr>
      <w:r>
        <w:rPr>
          <w:rFonts w:hint="eastAsia" w:eastAsia="仿宋_GB2312"/>
          <w:sz w:val="32"/>
          <w:szCs w:val="32"/>
        </w:rPr>
        <w:t>2025年度本年收入合计70926.83万元，其中：一般公共预算财政拨款收入59966.22万元，占84.55%；政府性基金预算财政拨款收入4000万元，占5.64%；其他收入6712.39万元，占9.46%；年初结转和结余248.22万元，占0.35%。</w:t>
      </w:r>
    </w:p>
    <w:p w14:paraId="1A9D04BD">
      <w:pPr>
        <w:spacing w:line="353" w:lineRule="auto"/>
        <w:jc w:val="center"/>
        <w:rPr>
          <w:rFonts w:eastAsia="仿宋_GB2312"/>
          <w:sz w:val="32"/>
          <w:szCs w:val="32"/>
        </w:rPr>
      </w:pPr>
      <w:r>
        <w:rPr>
          <w:rFonts w:hint="eastAsia" w:eastAsia="仿宋_GB2312"/>
          <w:sz w:val="32"/>
          <w:szCs w:val="32"/>
        </w:rPr>
        <w:t>（图2：收入决算结构图）（单位：万元）</w:t>
      </w:r>
    </w:p>
    <w:p w14:paraId="0685ADB4">
      <w:pPr>
        <w:ind w:firstLine="525" w:firstLineChars="250"/>
        <w:jc w:val="center"/>
        <w:rPr>
          <w:rFonts w:eastAsia="仿宋_GB2312" w:cs="仿宋_GB2312"/>
          <w:sz w:val="32"/>
          <w:szCs w:val="32"/>
          <w:highlight w:val="yellow"/>
        </w:rPr>
      </w:pPr>
      <w:r>
        <w:drawing>
          <wp:inline distT="0" distB="0" distL="114300" distR="114300">
            <wp:extent cx="4572000" cy="2743200"/>
            <wp:effectExtent l="4445" t="4445" r="1460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85EAF5E">
      <w:pPr>
        <w:pStyle w:val="6"/>
        <w:spacing w:before="0" w:after="0" w:line="353" w:lineRule="auto"/>
        <w:ind w:firstLine="640" w:firstLineChars="200"/>
        <w:rPr>
          <w:rFonts w:ascii="Times New Roman" w:hAnsi="Times New Roman" w:eastAsia="黑体"/>
          <w:b w:val="0"/>
        </w:rPr>
      </w:pPr>
      <w:bookmarkStart w:id="16" w:name="_Toc15396605"/>
      <w:bookmarkStart w:id="17" w:name="_Toc15377207"/>
      <w:r>
        <w:rPr>
          <w:rFonts w:hint="eastAsia" w:ascii="Times New Roman" w:hAnsi="Times New Roman" w:eastAsia="黑体"/>
          <w:b w:val="0"/>
        </w:rPr>
        <w:t>三、支出决算情况说明</w:t>
      </w:r>
      <w:bookmarkEnd w:id="16"/>
      <w:bookmarkEnd w:id="17"/>
    </w:p>
    <w:p w14:paraId="7D9EDE58">
      <w:pPr>
        <w:spacing w:line="353" w:lineRule="auto"/>
        <w:ind w:firstLine="640" w:firstLineChars="200"/>
        <w:rPr>
          <w:rFonts w:eastAsia="仿宋_GB2312"/>
          <w:sz w:val="32"/>
          <w:szCs w:val="32"/>
        </w:rPr>
      </w:pPr>
      <w:r>
        <w:rPr>
          <w:rFonts w:hint="eastAsia" w:eastAsia="仿宋_GB2312"/>
          <w:sz w:val="32"/>
          <w:szCs w:val="32"/>
        </w:rPr>
        <w:t>2025年度本年支出合计70726.72万元，其中：基本支出54579.91万元，占77.17%；项目支出16146.81万元，占22.83%；</w:t>
      </w:r>
    </w:p>
    <w:p w14:paraId="050E083C">
      <w:pPr>
        <w:adjustRightInd w:val="0"/>
        <w:snapToGrid w:val="0"/>
        <w:spacing w:line="353" w:lineRule="auto"/>
        <w:jc w:val="center"/>
        <w:rPr>
          <w:rFonts w:eastAsia="仿宋_GB2312"/>
          <w:sz w:val="32"/>
          <w:szCs w:val="32"/>
        </w:rPr>
      </w:pPr>
      <w:r>
        <w:rPr>
          <w:rFonts w:hint="eastAsia" w:eastAsia="仿宋_GB2312"/>
          <w:sz w:val="32"/>
          <w:szCs w:val="32"/>
        </w:rPr>
        <w:t>（图3：支出决算结构图）（单位：万元）</w:t>
      </w:r>
    </w:p>
    <w:p w14:paraId="2EB9D328">
      <w:pPr>
        <w:jc w:val="center"/>
        <w:rPr>
          <w:rFonts w:eastAsia="仿宋_GB2312" w:cs="仿宋_GB2312"/>
          <w:sz w:val="32"/>
          <w:szCs w:val="32"/>
          <w:highlight w:val="yellow"/>
        </w:rPr>
      </w:pPr>
      <w:r>
        <w:drawing>
          <wp:inline distT="0" distB="0" distL="114300" distR="114300">
            <wp:extent cx="4572000" cy="2743200"/>
            <wp:effectExtent l="4445" t="4445" r="14605" b="1460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B350ECB">
      <w:pPr>
        <w:pStyle w:val="6"/>
        <w:spacing w:before="0" w:after="0" w:line="353" w:lineRule="auto"/>
        <w:ind w:firstLine="640" w:firstLineChars="200"/>
        <w:rPr>
          <w:rFonts w:ascii="Times New Roman" w:hAnsi="Times New Roman" w:eastAsia="黑体"/>
          <w:b w:val="0"/>
        </w:rPr>
      </w:pPr>
      <w:bookmarkStart w:id="18" w:name="_Toc15396606"/>
      <w:bookmarkStart w:id="19" w:name="_Toc15377208"/>
      <w:r>
        <w:rPr>
          <w:rFonts w:hint="eastAsia" w:ascii="Times New Roman" w:hAnsi="Times New Roman" w:eastAsia="黑体"/>
          <w:b w:val="0"/>
        </w:rPr>
        <w:t>四、财政拨款收入支出决算总体情况说明</w:t>
      </w:r>
      <w:bookmarkEnd w:id="18"/>
      <w:bookmarkEnd w:id="19"/>
    </w:p>
    <w:p w14:paraId="121414DD">
      <w:pPr>
        <w:spacing w:line="353" w:lineRule="auto"/>
        <w:ind w:firstLine="640" w:firstLineChars="200"/>
        <w:rPr>
          <w:rFonts w:eastAsia="仿宋_GB2312"/>
          <w:sz w:val="32"/>
          <w:szCs w:val="32"/>
          <w:highlight w:val="yellow"/>
        </w:rPr>
      </w:pPr>
      <w:r>
        <w:rPr>
          <w:rFonts w:hint="eastAsia" w:eastAsia="仿宋_GB2312"/>
          <w:sz w:val="32"/>
          <w:szCs w:val="32"/>
        </w:rPr>
        <w:t>2025年度财政拨款收入、支出总计均为63966.22万元。与2024年度相比，财政拨款收入总计、支出总计各增加4982.04万元，增长8.45%。主要变动原因是2025年下达专项债券4000万元用于“</w:t>
      </w:r>
      <w:r>
        <w:rPr>
          <w:rFonts w:eastAsia="仿宋_GB2312"/>
          <w:sz w:val="32"/>
          <w:szCs w:val="32"/>
        </w:rPr>
        <w:t>智能安全系统（天网二期）</w:t>
      </w:r>
      <w:r>
        <w:rPr>
          <w:rFonts w:hint="eastAsia" w:eastAsia="仿宋_GB2312"/>
          <w:sz w:val="32"/>
          <w:szCs w:val="32"/>
        </w:rPr>
        <w:t>”项目，导致项目执行增加。</w:t>
      </w:r>
    </w:p>
    <w:p w14:paraId="5A29E4E8">
      <w:pPr>
        <w:spacing w:line="353" w:lineRule="auto"/>
        <w:ind w:firstLine="640" w:firstLineChars="200"/>
        <w:rPr>
          <w:rFonts w:eastAsia="仿宋_GB2312"/>
          <w:sz w:val="32"/>
          <w:szCs w:val="32"/>
        </w:rPr>
      </w:pPr>
      <w:r>
        <w:rPr>
          <w:rFonts w:hint="eastAsia" w:eastAsia="仿宋_GB2312"/>
          <w:sz w:val="32"/>
          <w:szCs w:val="32"/>
        </w:rPr>
        <w:t>（图4：财政拨款收、支决算总计变动情况）（单位：万元）</w:t>
      </w:r>
    </w:p>
    <w:p w14:paraId="36BF99EC">
      <w:pPr>
        <w:ind w:firstLine="640"/>
        <w:rPr>
          <w:rFonts w:eastAsia="仿宋_GB2312" w:cs="仿宋_GB2312"/>
          <w:sz w:val="32"/>
          <w:szCs w:val="32"/>
          <w:highlight w:val="yellow"/>
        </w:rPr>
      </w:pPr>
      <w:r>
        <w:drawing>
          <wp:inline distT="0" distB="0" distL="114300" distR="114300">
            <wp:extent cx="4572000" cy="2743200"/>
            <wp:effectExtent l="4445" t="4445" r="14605" b="1460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621DA3C">
      <w:pPr>
        <w:pStyle w:val="6"/>
        <w:spacing w:before="0" w:after="0" w:line="353" w:lineRule="auto"/>
        <w:ind w:firstLine="640" w:firstLineChars="200"/>
        <w:rPr>
          <w:rFonts w:ascii="Times New Roman" w:hAnsi="Times New Roman" w:eastAsia="黑体"/>
          <w:b w:val="0"/>
        </w:rPr>
      </w:pPr>
      <w:bookmarkStart w:id="20" w:name="_Toc15377209"/>
      <w:bookmarkStart w:id="21" w:name="_Toc15396607"/>
      <w:r>
        <w:rPr>
          <w:rFonts w:hint="eastAsia" w:ascii="Times New Roman" w:hAnsi="Times New Roman" w:eastAsia="黑体"/>
          <w:b w:val="0"/>
        </w:rPr>
        <w:t>五、一般公共预算财政拨款支出决算情况说明</w:t>
      </w:r>
      <w:bookmarkEnd w:id="20"/>
      <w:bookmarkEnd w:id="21"/>
    </w:p>
    <w:p w14:paraId="4764A863">
      <w:pPr>
        <w:spacing w:line="353" w:lineRule="auto"/>
        <w:ind w:firstLine="643" w:firstLineChars="200"/>
        <w:outlineLvl w:val="2"/>
        <w:rPr>
          <w:rFonts w:eastAsia="楷体_GB2312" w:cs="楷体_GB2312"/>
          <w:b/>
          <w:sz w:val="32"/>
          <w:szCs w:val="32"/>
        </w:rPr>
      </w:pPr>
      <w:bookmarkStart w:id="22" w:name="_Toc15377210"/>
      <w:r>
        <w:rPr>
          <w:rFonts w:hint="eastAsia" w:eastAsia="楷体_GB2312" w:cs="楷体_GB2312"/>
          <w:b/>
          <w:sz w:val="32"/>
          <w:szCs w:val="32"/>
        </w:rPr>
        <w:t>（一）一般公共预算财政拨款支出决算总体情况</w:t>
      </w:r>
      <w:bookmarkEnd w:id="22"/>
    </w:p>
    <w:p w14:paraId="2EB58DAA">
      <w:pPr>
        <w:spacing w:line="353" w:lineRule="auto"/>
        <w:ind w:firstLine="640" w:firstLineChars="200"/>
        <w:rPr>
          <w:rFonts w:eastAsia="仿宋_GB2312"/>
          <w:sz w:val="32"/>
          <w:szCs w:val="32"/>
        </w:rPr>
      </w:pPr>
      <w:r>
        <w:rPr>
          <w:rFonts w:hint="eastAsia" w:eastAsia="仿宋_GB2312"/>
          <w:sz w:val="32"/>
          <w:szCs w:val="32"/>
        </w:rPr>
        <w:t>2025年度一般公共预算财政拨款支出59966.22万元，占本年支出合计的95.87%。与2024年度相比，一般公共预算财政拨款支出增加1081.04万元，增长1.84%。基本持平。</w:t>
      </w:r>
    </w:p>
    <w:p w14:paraId="3E99BF2F">
      <w:pPr>
        <w:spacing w:line="353" w:lineRule="auto"/>
        <w:ind w:firstLine="640" w:firstLineChars="200"/>
        <w:rPr>
          <w:rFonts w:eastAsia="仿宋_GB2312"/>
          <w:sz w:val="32"/>
          <w:szCs w:val="32"/>
        </w:rPr>
      </w:pPr>
      <w:r>
        <w:rPr>
          <w:rFonts w:hint="eastAsia" w:eastAsia="仿宋_GB2312"/>
          <w:sz w:val="32"/>
          <w:szCs w:val="32"/>
        </w:rPr>
        <w:t>（图5：一般公共预算财政拨款支出决算变动情况）（单位：万元）</w:t>
      </w:r>
    </w:p>
    <w:p w14:paraId="73DFA5F1">
      <w:pPr>
        <w:ind w:firstLine="640"/>
        <w:rPr>
          <w:rFonts w:eastAsia="仿宋_GB2312" w:cs="仿宋_GB2312"/>
          <w:sz w:val="32"/>
          <w:szCs w:val="32"/>
          <w:highlight w:val="yellow"/>
        </w:rPr>
      </w:pPr>
      <w:r>
        <w:drawing>
          <wp:inline distT="0" distB="0" distL="114300" distR="114300">
            <wp:extent cx="4572000" cy="2743200"/>
            <wp:effectExtent l="4445" t="4445" r="14605" b="14605"/>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09B6DCA">
      <w:pPr>
        <w:spacing w:line="353" w:lineRule="auto"/>
        <w:ind w:firstLine="643" w:firstLineChars="200"/>
        <w:outlineLvl w:val="2"/>
        <w:rPr>
          <w:rFonts w:eastAsia="楷体_GB2312" w:cs="楷体_GB2312"/>
          <w:b/>
          <w:sz w:val="32"/>
          <w:szCs w:val="32"/>
        </w:rPr>
      </w:pPr>
      <w:bookmarkStart w:id="23" w:name="_Toc15377211"/>
      <w:r>
        <w:rPr>
          <w:rFonts w:hint="eastAsia" w:eastAsia="楷体_GB2312" w:cs="楷体_GB2312"/>
          <w:b/>
          <w:sz w:val="32"/>
          <w:szCs w:val="32"/>
        </w:rPr>
        <w:t>（二）一般公共预算财政拨款支出决算结构情况</w:t>
      </w:r>
      <w:bookmarkEnd w:id="23"/>
    </w:p>
    <w:p w14:paraId="2555A10B">
      <w:pPr>
        <w:spacing w:line="353" w:lineRule="auto"/>
        <w:ind w:firstLine="640" w:firstLineChars="200"/>
        <w:rPr>
          <w:rFonts w:eastAsia="仿宋_GB2312"/>
          <w:sz w:val="32"/>
          <w:szCs w:val="32"/>
        </w:rPr>
      </w:pPr>
      <w:r>
        <w:rPr>
          <w:rFonts w:hint="eastAsia" w:eastAsia="仿宋_GB2312"/>
          <w:sz w:val="32"/>
          <w:szCs w:val="32"/>
        </w:rPr>
        <w:t>2025年度一般公共预算财政拨款支出59966.22万元，主要用于以下方面：一般公共服务支出416.16万元，占0.69%；公共安全支出45992.3万元，占76.7%；社会保障和就业支出8165.7万元，占13.62%；卫生健康支出2278.92万元，占3.8%；住房保障支出3113.14万元，占5.19%。</w:t>
      </w:r>
    </w:p>
    <w:p w14:paraId="7B6DCDF9">
      <w:pPr>
        <w:spacing w:line="353" w:lineRule="auto"/>
        <w:ind w:firstLine="640" w:firstLineChars="200"/>
        <w:rPr>
          <w:rFonts w:eastAsia="仿宋_GB2312"/>
          <w:sz w:val="32"/>
          <w:szCs w:val="32"/>
        </w:rPr>
      </w:pPr>
      <w:r>
        <w:rPr>
          <w:rFonts w:hint="eastAsia" w:eastAsia="仿宋_GB2312"/>
          <w:sz w:val="32"/>
          <w:szCs w:val="32"/>
        </w:rPr>
        <w:t>（图6：一般公共预算财政拨款支出决算结构）（单位：万元）</w:t>
      </w:r>
    </w:p>
    <w:p w14:paraId="11F6510F">
      <w:pPr>
        <w:pStyle w:val="3"/>
        <w:ind w:left="420"/>
        <w:rPr>
          <w:rFonts w:eastAsia="仿宋_GB2312" w:cs="仿宋_GB2312"/>
          <w:sz w:val="32"/>
          <w:highlight w:val="yellow"/>
        </w:rPr>
      </w:pPr>
      <w:r>
        <w:drawing>
          <wp:inline distT="0" distB="0" distL="114300" distR="114300">
            <wp:extent cx="4279900" cy="2160905"/>
            <wp:effectExtent l="4445" t="4445" r="20955" b="6350"/>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EE5695F">
      <w:pPr>
        <w:spacing w:line="353" w:lineRule="auto"/>
        <w:ind w:firstLine="643" w:firstLineChars="200"/>
        <w:outlineLvl w:val="2"/>
        <w:rPr>
          <w:rFonts w:eastAsia="楷体_GB2312" w:cs="楷体_GB2312"/>
          <w:b/>
          <w:sz w:val="32"/>
          <w:szCs w:val="32"/>
        </w:rPr>
      </w:pPr>
      <w:bookmarkStart w:id="24" w:name="_Toc15377212"/>
      <w:r>
        <w:rPr>
          <w:rFonts w:hint="eastAsia" w:eastAsia="楷体_GB2312" w:cs="楷体_GB2312"/>
          <w:b/>
          <w:sz w:val="32"/>
          <w:szCs w:val="32"/>
        </w:rPr>
        <w:t>（三）一般公共预算财政拨款支出决算具体情况</w:t>
      </w:r>
      <w:bookmarkEnd w:id="24"/>
    </w:p>
    <w:p w14:paraId="47D97DAB">
      <w:pPr>
        <w:spacing w:line="353" w:lineRule="auto"/>
        <w:ind w:firstLine="640" w:firstLineChars="200"/>
        <w:rPr>
          <w:rFonts w:eastAsia="仿宋_GB2312"/>
          <w:sz w:val="32"/>
          <w:szCs w:val="32"/>
        </w:rPr>
      </w:pPr>
      <w:bookmarkStart w:id="25" w:name="_Toc15377444"/>
      <w:bookmarkStart w:id="26" w:name="_Toc15378460"/>
      <w:bookmarkStart w:id="27" w:name="_Toc15377213"/>
      <w:r>
        <w:rPr>
          <w:rFonts w:hint="eastAsia" w:eastAsia="仿宋_GB2312"/>
          <w:sz w:val="32"/>
          <w:szCs w:val="32"/>
        </w:rPr>
        <w:t>2025年度一般公共预算财政拨款支出决算数为59966.22万元，完成预算100%。其中：</w:t>
      </w:r>
      <w:bookmarkEnd w:id="25"/>
      <w:bookmarkEnd w:id="26"/>
      <w:bookmarkEnd w:id="27"/>
    </w:p>
    <w:p w14:paraId="3A8827FE">
      <w:pPr>
        <w:numPr>
          <w:ilvl w:val="0"/>
          <w:numId w:val="1"/>
        </w:numPr>
        <w:spacing w:line="353" w:lineRule="auto"/>
        <w:ind w:firstLine="643" w:firstLineChars="200"/>
        <w:rPr>
          <w:rFonts w:eastAsia="仿宋_GB2312"/>
          <w:sz w:val="32"/>
          <w:szCs w:val="32"/>
        </w:rPr>
      </w:pPr>
      <w:r>
        <w:rPr>
          <w:rFonts w:hint="eastAsia" w:eastAsia="仿宋_GB2312"/>
          <w:b/>
          <w:bCs/>
          <w:sz w:val="32"/>
          <w:szCs w:val="32"/>
        </w:rPr>
        <w:t>一般公共服务（类）人大事务（款）行政运行（项）</w:t>
      </w:r>
      <w:r>
        <w:rPr>
          <w:rFonts w:eastAsia="仿宋_GB2312"/>
          <w:b/>
          <w:bCs/>
          <w:sz w:val="32"/>
          <w:szCs w:val="32"/>
        </w:rPr>
        <w:t>:</w:t>
      </w:r>
      <w:r>
        <w:rPr>
          <w:rFonts w:hint="eastAsia" w:eastAsia="仿宋_GB2312"/>
          <w:sz w:val="32"/>
          <w:szCs w:val="32"/>
        </w:rPr>
        <w:t>支出决算为335万元，完成预算100</w:t>
      </w:r>
      <w:r>
        <w:rPr>
          <w:rFonts w:eastAsia="仿宋_GB2312"/>
          <w:sz w:val="32"/>
          <w:szCs w:val="32"/>
        </w:rPr>
        <w:t>%</w:t>
      </w:r>
      <w:r>
        <w:rPr>
          <w:rFonts w:hint="eastAsia" w:eastAsia="仿宋_GB2312"/>
          <w:sz w:val="32"/>
          <w:szCs w:val="32"/>
        </w:rPr>
        <w:t>，决算数等于预算数。</w:t>
      </w:r>
    </w:p>
    <w:p w14:paraId="19504D11">
      <w:pPr>
        <w:pStyle w:val="2"/>
        <w:ind w:firstLine="643" w:firstLineChars="200"/>
        <w:rPr>
          <w:rFonts w:eastAsia="仿宋_GB2312"/>
          <w:b/>
          <w:bCs/>
          <w:sz w:val="32"/>
          <w:szCs w:val="32"/>
        </w:rPr>
      </w:pPr>
      <w:r>
        <w:rPr>
          <w:rFonts w:hint="eastAsia" w:eastAsia="仿宋_GB2312"/>
          <w:b/>
          <w:bCs/>
          <w:sz w:val="32"/>
          <w:szCs w:val="32"/>
        </w:rPr>
        <w:t>2.一般公共服务（类）政协事务（款）行政运行（项）</w:t>
      </w:r>
      <w:r>
        <w:rPr>
          <w:rFonts w:eastAsia="仿宋_GB2312"/>
          <w:b/>
          <w:bCs/>
          <w:sz w:val="32"/>
          <w:szCs w:val="32"/>
        </w:rPr>
        <w:t>:</w:t>
      </w:r>
      <w:r>
        <w:rPr>
          <w:rFonts w:hint="eastAsia" w:eastAsia="仿宋_GB2312"/>
          <w:sz w:val="32"/>
          <w:szCs w:val="32"/>
        </w:rPr>
        <w:t>支出决算为43.66万元，完成预算100</w:t>
      </w:r>
      <w:r>
        <w:rPr>
          <w:rFonts w:eastAsia="仿宋_GB2312"/>
          <w:sz w:val="32"/>
          <w:szCs w:val="32"/>
        </w:rPr>
        <w:t>%</w:t>
      </w:r>
      <w:r>
        <w:rPr>
          <w:rFonts w:hint="eastAsia" w:eastAsia="仿宋_GB2312"/>
          <w:sz w:val="32"/>
          <w:szCs w:val="32"/>
        </w:rPr>
        <w:t>，决算数等于预算数。</w:t>
      </w:r>
    </w:p>
    <w:p w14:paraId="0F49EB21">
      <w:pPr>
        <w:spacing w:line="353" w:lineRule="auto"/>
        <w:ind w:firstLine="643" w:firstLineChars="200"/>
        <w:rPr>
          <w:rFonts w:eastAsia="仿宋_GB2312"/>
          <w:sz w:val="32"/>
          <w:szCs w:val="32"/>
        </w:rPr>
      </w:pPr>
      <w:r>
        <w:rPr>
          <w:rFonts w:hint="eastAsia" w:eastAsia="仿宋_GB2312"/>
          <w:b/>
          <w:bCs/>
          <w:sz w:val="32"/>
          <w:szCs w:val="32"/>
        </w:rPr>
        <w:t>3.一般公共服务（类）组织事务（款）其他组织事务支出（项）</w:t>
      </w:r>
      <w:r>
        <w:rPr>
          <w:rFonts w:eastAsia="仿宋_GB2312"/>
          <w:b/>
          <w:bCs/>
          <w:sz w:val="32"/>
          <w:szCs w:val="32"/>
        </w:rPr>
        <w:t>:</w:t>
      </w:r>
      <w:r>
        <w:rPr>
          <w:rFonts w:hint="eastAsia" w:eastAsia="仿宋_GB2312"/>
          <w:sz w:val="32"/>
          <w:szCs w:val="32"/>
        </w:rPr>
        <w:t>支出决算为37.5万元，完成预算100</w:t>
      </w:r>
      <w:r>
        <w:rPr>
          <w:rFonts w:eastAsia="仿宋_GB2312"/>
          <w:sz w:val="32"/>
          <w:szCs w:val="32"/>
        </w:rPr>
        <w:t>%</w:t>
      </w:r>
      <w:r>
        <w:rPr>
          <w:rFonts w:hint="eastAsia" w:eastAsia="仿宋_GB2312"/>
          <w:sz w:val="32"/>
          <w:szCs w:val="32"/>
        </w:rPr>
        <w:t>，决算数等于预算数。</w:t>
      </w:r>
    </w:p>
    <w:p w14:paraId="226C74AB">
      <w:pPr>
        <w:spacing w:line="353" w:lineRule="auto"/>
        <w:ind w:firstLine="643" w:firstLineChars="200"/>
        <w:rPr>
          <w:rFonts w:eastAsia="仿宋_GB2312"/>
          <w:sz w:val="32"/>
          <w:szCs w:val="32"/>
        </w:rPr>
      </w:pPr>
      <w:r>
        <w:rPr>
          <w:rFonts w:hint="eastAsia" w:eastAsia="仿宋_GB2312"/>
          <w:b/>
          <w:bCs/>
          <w:sz w:val="32"/>
          <w:szCs w:val="32"/>
        </w:rPr>
        <w:t>4</w:t>
      </w:r>
      <w:r>
        <w:rPr>
          <w:rFonts w:eastAsia="仿宋_GB2312"/>
          <w:b/>
          <w:bCs/>
          <w:sz w:val="32"/>
          <w:szCs w:val="32"/>
        </w:rPr>
        <w:t>.</w:t>
      </w:r>
      <w:r>
        <w:rPr>
          <w:rFonts w:hint="eastAsia" w:eastAsia="仿宋_GB2312"/>
          <w:b/>
          <w:bCs/>
          <w:sz w:val="32"/>
          <w:szCs w:val="32"/>
        </w:rPr>
        <w:t>公共安全支出（类）公安（款）行政运行（项）</w:t>
      </w:r>
      <w:r>
        <w:rPr>
          <w:rFonts w:eastAsia="仿宋_GB2312"/>
          <w:b/>
          <w:bCs/>
          <w:sz w:val="32"/>
          <w:szCs w:val="32"/>
        </w:rPr>
        <w:t xml:space="preserve">: </w:t>
      </w:r>
      <w:r>
        <w:rPr>
          <w:rFonts w:hint="eastAsia" w:eastAsia="仿宋_GB2312"/>
          <w:sz w:val="32"/>
          <w:szCs w:val="32"/>
        </w:rPr>
        <w:t>支出决算为37554.27万元，完成预算100</w:t>
      </w:r>
      <w:r>
        <w:rPr>
          <w:rFonts w:eastAsia="仿宋_GB2312"/>
          <w:sz w:val="32"/>
          <w:szCs w:val="32"/>
        </w:rPr>
        <w:t>%</w:t>
      </w:r>
      <w:r>
        <w:rPr>
          <w:rFonts w:hint="eastAsia" w:eastAsia="仿宋_GB2312"/>
          <w:sz w:val="32"/>
          <w:szCs w:val="32"/>
        </w:rPr>
        <w:t>，决算数等于预算数。</w:t>
      </w:r>
    </w:p>
    <w:p w14:paraId="236DDA7F">
      <w:pPr>
        <w:spacing w:line="353" w:lineRule="auto"/>
        <w:ind w:firstLine="643" w:firstLineChars="200"/>
        <w:rPr>
          <w:rFonts w:eastAsia="仿宋_GB2312"/>
          <w:sz w:val="32"/>
          <w:szCs w:val="32"/>
        </w:rPr>
      </w:pPr>
      <w:r>
        <w:rPr>
          <w:rFonts w:hint="eastAsia" w:eastAsia="仿宋_GB2312"/>
          <w:b/>
          <w:bCs/>
          <w:sz w:val="32"/>
          <w:szCs w:val="32"/>
        </w:rPr>
        <w:t>5</w:t>
      </w:r>
      <w:r>
        <w:rPr>
          <w:rFonts w:eastAsia="仿宋_GB2312"/>
          <w:b/>
          <w:bCs/>
          <w:sz w:val="32"/>
          <w:szCs w:val="32"/>
        </w:rPr>
        <w:t>.</w:t>
      </w:r>
      <w:r>
        <w:rPr>
          <w:rFonts w:hint="eastAsia" w:eastAsia="仿宋_GB2312"/>
          <w:b/>
          <w:bCs/>
          <w:sz w:val="32"/>
          <w:szCs w:val="32"/>
        </w:rPr>
        <w:t xml:space="preserve"> 公共安全支出（类）公安（款）一般行政管理事务（项）</w:t>
      </w:r>
      <w:r>
        <w:rPr>
          <w:rFonts w:eastAsia="仿宋_GB2312"/>
          <w:b/>
          <w:bCs/>
          <w:sz w:val="32"/>
          <w:szCs w:val="32"/>
        </w:rPr>
        <w:t xml:space="preserve">: </w:t>
      </w:r>
      <w:r>
        <w:rPr>
          <w:rFonts w:hint="eastAsia" w:eastAsia="仿宋_GB2312"/>
          <w:sz w:val="32"/>
          <w:szCs w:val="32"/>
        </w:rPr>
        <w:t>支出决算为3123.15万元，完成预算100</w:t>
      </w:r>
      <w:r>
        <w:rPr>
          <w:rFonts w:eastAsia="仿宋_GB2312"/>
          <w:sz w:val="32"/>
          <w:szCs w:val="32"/>
        </w:rPr>
        <w:t>%</w:t>
      </w:r>
      <w:r>
        <w:rPr>
          <w:rFonts w:hint="eastAsia" w:eastAsia="仿宋_GB2312"/>
          <w:sz w:val="32"/>
          <w:szCs w:val="32"/>
        </w:rPr>
        <w:t>，决算数等于预算数。</w:t>
      </w:r>
    </w:p>
    <w:p w14:paraId="7EA4878C">
      <w:pPr>
        <w:spacing w:line="353" w:lineRule="auto"/>
        <w:ind w:firstLine="643" w:firstLineChars="200"/>
        <w:rPr>
          <w:rFonts w:eastAsia="仿宋_GB2312"/>
          <w:sz w:val="32"/>
          <w:szCs w:val="32"/>
        </w:rPr>
      </w:pPr>
      <w:r>
        <w:rPr>
          <w:rFonts w:hint="eastAsia" w:eastAsia="仿宋_GB2312"/>
          <w:b/>
          <w:bCs/>
          <w:sz w:val="32"/>
          <w:szCs w:val="32"/>
        </w:rPr>
        <w:t>6</w:t>
      </w:r>
      <w:r>
        <w:rPr>
          <w:rFonts w:eastAsia="仿宋_GB2312"/>
          <w:b/>
          <w:bCs/>
          <w:sz w:val="32"/>
          <w:szCs w:val="32"/>
        </w:rPr>
        <w:t>.</w:t>
      </w:r>
      <w:r>
        <w:rPr>
          <w:rFonts w:hint="eastAsia" w:eastAsia="仿宋_GB2312"/>
          <w:b/>
          <w:bCs/>
          <w:sz w:val="32"/>
          <w:szCs w:val="32"/>
        </w:rPr>
        <w:t>公共安全支出（类）公安（款）事业运行（项）</w:t>
      </w:r>
      <w:r>
        <w:rPr>
          <w:rFonts w:eastAsia="仿宋_GB2312"/>
          <w:b/>
          <w:bCs/>
          <w:sz w:val="32"/>
          <w:szCs w:val="32"/>
        </w:rPr>
        <w:t xml:space="preserve">: </w:t>
      </w:r>
      <w:r>
        <w:rPr>
          <w:rFonts w:hint="eastAsia" w:eastAsia="仿宋_GB2312"/>
          <w:sz w:val="32"/>
          <w:szCs w:val="32"/>
        </w:rPr>
        <w:t>支出决算为121.09万元，完成预算100</w:t>
      </w:r>
      <w:r>
        <w:rPr>
          <w:rFonts w:eastAsia="仿宋_GB2312"/>
          <w:sz w:val="32"/>
          <w:szCs w:val="32"/>
        </w:rPr>
        <w:t>%</w:t>
      </w:r>
      <w:r>
        <w:rPr>
          <w:rFonts w:hint="eastAsia" w:eastAsia="仿宋_GB2312"/>
          <w:sz w:val="32"/>
          <w:szCs w:val="32"/>
        </w:rPr>
        <w:t>，决算数等于预算数。</w:t>
      </w:r>
    </w:p>
    <w:p w14:paraId="2A88EBE8">
      <w:pPr>
        <w:spacing w:line="353" w:lineRule="auto"/>
        <w:ind w:firstLine="643" w:firstLineChars="200"/>
        <w:rPr>
          <w:rFonts w:eastAsia="仿宋_GB2312"/>
          <w:sz w:val="32"/>
          <w:szCs w:val="32"/>
        </w:rPr>
      </w:pPr>
      <w:r>
        <w:rPr>
          <w:rFonts w:hint="eastAsia" w:eastAsia="仿宋_GB2312"/>
          <w:b/>
          <w:bCs/>
          <w:sz w:val="32"/>
          <w:szCs w:val="32"/>
        </w:rPr>
        <w:t>7</w:t>
      </w:r>
      <w:r>
        <w:rPr>
          <w:rFonts w:eastAsia="仿宋_GB2312"/>
          <w:b/>
          <w:bCs/>
          <w:sz w:val="32"/>
          <w:szCs w:val="32"/>
        </w:rPr>
        <w:t>.</w:t>
      </w:r>
      <w:r>
        <w:rPr>
          <w:rFonts w:hint="eastAsia" w:eastAsia="仿宋_GB2312"/>
          <w:b/>
          <w:bCs/>
          <w:sz w:val="32"/>
          <w:szCs w:val="32"/>
        </w:rPr>
        <w:t xml:space="preserve"> 公共安全支出（类）公安（款）其他公安支出（项）</w:t>
      </w:r>
      <w:r>
        <w:rPr>
          <w:rFonts w:eastAsia="仿宋_GB2312"/>
          <w:b/>
          <w:bCs/>
          <w:sz w:val="32"/>
          <w:szCs w:val="32"/>
        </w:rPr>
        <w:t xml:space="preserve">: </w:t>
      </w:r>
      <w:r>
        <w:rPr>
          <w:rFonts w:hint="eastAsia" w:eastAsia="仿宋_GB2312"/>
          <w:sz w:val="32"/>
          <w:szCs w:val="32"/>
        </w:rPr>
        <w:t>支出决算为5193.79万元，完成预算100</w:t>
      </w:r>
      <w:r>
        <w:rPr>
          <w:rFonts w:eastAsia="仿宋_GB2312"/>
          <w:sz w:val="32"/>
          <w:szCs w:val="32"/>
        </w:rPr>
        <w:t>%</w:t>
      </w:r>
      <w:r>
        <w:rPr>
          <w:rFonts w:hint="eastAsia" w:eastAsia="仿宋_GB2312"/>
          <w:sz w:val="32"/>
          <w:szCs w:val="32"/>
        </w:rPr>
        <w:t>，决算数等于预算数。</w:t>
      </w:r>
    </w:p>
    <w:p w14:paraId="1D196579">
      <w:pPr>
        <w:spacing w:line="353" w:lineRule="auto"/>
        <w:ind w:firstLine="643" w:firstLineChars="200"/>
        <w:rPr>
          <w:rFonts w:eastAsia="仿宋_GB2312"/>
          <w:sz w:val="32"/>
          <w:szCs w:val="32"/>
        </w:rPr>
      </w:pPr>
      <w:r>
        <w:rPr>
          <w:rFonts w:hint="eastAsia" w:eastAsia="仿宋_GB2312"/>
          <w:b/>
          <w:bCs/>
          <w:sz w:val="32"/>
          <w:szCs w:val="32"/>
        </w:rPr>
        <w:t>8</w:t>
      </w:r>
      <w:r>
        <w:rPr>
          <w:rFonts w:eastAsia="仿宋_GB2312"/>
          <w:b/>
          <w:bCs/>
          <w:sz w:val="32"/>
          <w:szCs w:val="32"/>
        </w:rPr>
        <w:t>.</w:t>
      </w:r>
      <w:r>
        <w:rPr>
          <w:rFonts w:hint="eastAsia" w:eastAsia="仿宋_GB2312"/>
          <w:b/>
          <w:bCs/>
          <w:sz w:val="32"/>
          <w:szCs w:val="32"/>
        </w:rPr>
        <w:t xml:space="preserve">社会保障和就业支出（类）人力资源和社会保障管理事务（款）其他人力资源和社会保障管理事务支出（项）: </w:t>
      </w:r>
      <w:r>
        <w:rPr>
          <w:rFonts w:hint="eastAsia" w:eastAsia="仿宋_GB2312"/>
          <w:sz w:val="32"/>
          <w:szCs w:val="32"/>
        </w:rPr>
        <w:t>支出决算为26.4万元，完成预算100%，决算数等于预算数。</w:t>
      </w:r>
    </w:p>
    <w:p w14:paraId="220D2B90">
      <w:pPr>
        <w:spacing w:line="353" w:lineRule="auto"/>
        <w:ind w:firstLine="643" w:firstLineChars="200"/>
        <w:rPr>
          <w:rFonts w:eastAsia="仿宋_GB2312"/>
          <w:sz w:val="32"/>
          <w:szCs w:val="32"/>
        </w:rPr>
      </w:pPr>
      <w:r>
        <w:rPr>
          <w:rFonts w:hint="eastAsia" w:eastAsia="仿宋_GB2312"/>
          <w:b/>
          <w:bCs/>
          <w:sz w:val="32"/>
          <w:szCs w:val="32"/>
        </w:rPr>
        <w:t>9</w:t>
      </w:r>
      <w:r>
        <w:rPr>
          <w:rFonts w:eastAsia="仿宋_GB2312"/>
          <w:b/>
          <w:bCs/>
          <w:sz w:val="32"/>
          <w:szCs w:val="32"/>
        </w:rPr>
        <w:t>.</w:t>
      </w:r>
      <w:r>
        <w:rPr>
          <w:rFonts w:hint="eastAsia" w:eastAsia="仿宋_GB2312"/>
          <w:b/>
          <w:bCs/>
          <w:sz w:val="32"/>
          <w:szCs w:val="32"/>
        </w:rPr>
        <w:t>社会保障和就业（类）行政事业单位养老支出（款）行政单位离退休（项）</w:t>
      </w:r>
      <w:r>
        <w:rPr>
          <w:rFonts w:eastAsia="仿宋_GB2312"/>
          <w:b/>
          <w:bCs/>
          <w:sz w:val="32"/>
          <w:szCs w:val="32"/>
        </w:rPr>
        <w:t xml:space="preserve">: </w:t>
      </w:r>
      <w:r>
        <w:rPr>
          <w:rFonts w:hint="eastAsia" w:eastAsia="仿宋_GB2312"/>
          <w:sz w:val="32"/>
          <w:szCs w:val="32"/>
        </w:rPr>
        <w:t>支出决算为3428.75万元，完成预算100</w:t>
      </w:r>
      <w:r>
        <w:rPr>
          <w:rFonts w:eastAsia="仿宋_GB2312"/>
          <w:sz w:val="32"/>
          <w:szCs w:val="32"/>
        </w:rPr>
        <w:t>%</w:t>
      </w:r>
      <w:r>
        <w:rPr>
          <w:rFonts w:hint="eastAsia" w:eastAsia="仿宋_GB2312"/>
          <w:sz w:val="32"/>
          <w:szCs w:val="32"/>
        </w:rPr>
        <w:t>，决算数等于预算数。</w:t>
      </w:r>
    </w:p>
    <w:p w14:paraId="7B932914">
      <w:pPr>
        <w:spacing w:line="353" w:lineRule="auto"/>
        <w:ind w:firstLine="643" w:firstLineChars="200"/>
        <w:rPr>
          <w:rFonts w:eastAsia="仿宋_GB2312"/>
          <w:sz w:val="32"/>
          <w:szCs w:val="32"/>
        </w:rPr>
      </w:pPr>
      <w:r>
        <w:rPr>
          <w:rFonts w:hint="eastAsia" w:eastAsia="仿宋_GB2312"/>
          <w:b/>
          <w:bCs/>
          <w:sz w:val="32"/>
          <w:szCs w:val="32"/>
        </w:rPr>
        <w:t>10.社会保障和就业（类）行政事业单位养老支出（款）事业单位离退休（项）</w:t>
      </w:r>
      <w:r>
        <w:rPr>
          <w:rFonts w:eastAsia="仿宋_GB2312"/>
          <w:b/>
          <w:bCs/>
          <w:sz w:val="32"/>
          <w:szCs w:val="32"/>
        </w:rPr>
        <w:t xml:space="preserve">: </w:t>
      </w:r>
      <w:r>
        <w:rPr>
          <w:rFonts w:hint="eastAsia" w:eastAsia="仿宋_GB2312"/>
          <w:sz w:val="32"/>
          <w:szCs w:val="32"/>
        </w:rPr>
        <w:t>支出决算为35.56万元，完成预算100</w:t>
      </w:r>
      <w:r>
        <w:rPr>
          <w:rFonts w:eastAsia="仿宋_GB2312"/>
          <w:sz w:val="32"/>
          <w:szCs w:val="32"/>
        </w:rPr>
        <w:t>%</w:t>
      </w:r>
      <w:r>
        <w:rPr>
          <w:rFonts w:hint="eastAsia" w:eastAsia="仿宋_GB2312"/>
          <w:sz w:val="32"/>
          <w:szCs w:val="32"/>
        </w:rPr>
        <w:t>，决算数等于预算数。</w:t>
      </w:r>
    </w:p>
    <w:p w14:paraId="33138F86">
      <w:pPr>
        <w:spacing w:line="353" w:lineRule="auto"/>
        <w:ind w:firstLine="643" w:firstLineChars="200"/>
        <w:rPr>
          <w:rFonts w:eastAsia="仿宋_GB2312"/>
          <w:sz w:val="32"/>
          <w:szCs w:val="32"/>
        </w:rPr>
      </w:pPr>
      <w:r>
        <w:rPr>
          <w:rFonts w:hint="eastAsia" w:eastAsia="仿宋_GB2312"/>
          <w:b/>
          <w:bCs/>
          <w:sz w:val="32"/>
          <w:szCs w:val="32"/>
        </w:rPr>
        <w:t>11</w:t>
      </w:r>
      <w:r>
        <w:rPr>
          <w:rFonts w:eastAsia="仿宋_GB2312"/>
          <w:b/>
          <w:bCs/>
          <w:sz w:val="32"/>
          <w:szCs w:val="32"/>
        </w:rPr>
        <w:t>.</w:t>
      </w:r>
      <w:r>
        <w:rPr>
          <w:rFonts w:hint="eastAsia" w:eastAsia="仿宋_GB2312"/>
          <w:b/>
          <w:bCs/>
          <w:sz w:val="32"/>
          <w:szCs w:val="32"/>
        </w:rPr>
        <w:t>社会保障和就业（类）行政事业单位养老支出（款）机关事业单位基本养老保险缴费支出（项）</w:t>
      </w:r>
      <w:r>
        <w:rPr>
          <w:rFonts w:eastAsia="仿宋_GB2312"/>
          <w:b/>
          <w:bCs/>
          <w:sz w:val="32"/>
          <w:szCs w:val="32"/>
        </w:rPr>
        <w:t xml:space="preserve">: </w:t>
      </w:r>
      <w:r>
        <w:rPr>
          <w:rFonts w:hint="eastAsia" w:eastAsia="仿宋_GB2312"/>
          <w:sz w:val="32"/>
          <w:szCs w:val="32"/>
        </w:rPr>
        <w:t>支出决算为3941.99万元，完成预算100</w:t>
      </w:r>
      <w:r>
        <w:rPr>
          <w:rFonts w:eastAsia="仿宋_GB2312"/>
          <w:sz w:val="32"/>
          <w:szCs w:val="32"/>
        </w:rPr>
        <w:t>%</w:t>
      </w:r>
      <w:r>
        <w:rPr>
          <w:rFonts w:hint="eastAsia" w:eastAsia="仿宋_GB2312"/>
          <w:sz w:val="32"/>
          <w:szCs w:val="32"/>
        </w:rPr>
        <w:t>，决算数等于预算数。</w:t>
      </w:r>
    </w:p>
    <w:p w14:paraId="6B9D8710">
      <w:pPr>
        <w:spacing w:line="353" w:lineRule="auto"/>
        <w:ind w:firstLine="643" w:firstLineChars="200"/>
        <w:rPr>
          <w:rFonts w:eastAsia="仿宋_GB2312"/>
          <w:sz w:val="32"/>
          <w:szCs w:val="32"/>
        </w:rPr>
      </w:pPr>
      <w:r>
        <w:rPr>
          <w:rFonts w:hint="eastAsia" w:eastAsia="仿宋_GB2312"/>
          <w:b/>
          <w:bCs/>
          <w:sz w:val="32"/>
          <w:szCs w:val="32"/>
        </w:rPr>
        <w:t>12</w:t>
      </w:r>
      <w:r>
        <w:rPr>
          <w:rFonts w:eastAsia="仿宋_GB2312"/>
          <w:b/>
          <w:bCs/>
          <w:sz w:val="32"/>
          <w:szCs w:val="32"/>
        </w:rPr>
        <w:t>.</w:t>
      </w:r>
      <w:r>
        <w:rPr>
          <w:rFonts w:hint="eastAsia" w:eastAsia="仿宋_GB2312"/>
          <w:b/>
          <w:bCs/>
          <w:sz w:val="32"/>
          <w:szCs w:val="32"/>
        </w:rPr>
        <w:t>社会保障和就业（类）行政事业单位养老支出（款）机关事业单位职业年金缴费支出（项）</w:t>
      </w:r>
      <w:r>
        <w:rPr>
          <w:rFonts w:eastAsia="仿宋_GB2312"/>
          <w:b/>
          <w:bCs/>
          <w:sz w:val="32"/>
          <w:szCs w:val="32"/>
        </w:rPr>
        <w:t xml:space="preserve">: </w:t>
      </w:r>
      <w:r>
        <w:rPr>
          <w:rFonts w:hint="eastAsia" w:eastAsia="仿宋_GB2312"/>
          <w:sz w:val="32"/>
          <w:szCs w:val="32"/>
        </w:rPr>
        <w:t>支出决算为627.63万元，完成预算100</w:t>
      </w:r>
      <w:r>
        <w:rPr>
          <w:rFonts w:eastAsia="仿宋_GB2312"/>
          <w:sz w:val="32"/>
          <w:szCs w:val="32"/>
        </w:rPr>
        <w:t>%</w:t>
      </w:r>
      <w:r>
        <w:rPr>
          <w:rFonts w:hint="eastAsia" w:eastAsia="仿宋_GB2312"/>
          <w:sz w:val="32"/>
          <w:szCs w:val="32"/>
        </w:rPr>
        <w:t>，决算数等于预算数。</w:t>
      </w:r>
    </w:p>
    <w:p w14:paraId="39C6BA40">
      <w:pPr>
        <w:spacing w:line="353" w:lineRule="auto"/>
        <w:ind w:firstLine="643" w:firstLineChars="200"/>
        <w:rPr>
          <w:rFonts w:eastAsia="仿宋_GB2312"/>
          <w:sz w:val="32"/>
          <w:szCs w:val="32"/>
        </w:rPr>
      </w:pPr>
      <w:r>
        <w:rPr>
          <w:rFonts w:hint="eastAsia" w:eastAsia="仿宋_GB2312"/>
          <w:b/>
          <w:bCs/>
          <w:sz w:val="32"/>
          <w:szCs w:val="32"/>
        </w:rPr>
        <w:t>13.社会保障和就业（类）行政事业单位养老支出（款）其他行政事业单位养老支出（项）</w:t>
      </w:r>
      <w:r>
        <w:rPr>
          <w:rFonts w:eastAsia="仿宋_GB2312"/>
          <w:b/>
          <w:bCs/>
          <w:sz w:val="32"/>
          <w:szCs w:val="32"/>
        </w:rPr>
        <w:t xml:space="preserve">:  </w:t>
      </w:r>
      <w:r>
        <w:rPr>
          <w:rFonts w:hint="eastAsia" w:eastAsia="仿宋_GB2312"/>
          <w:sz w:val="32"/>
          <w:szCs w:val="32"/>
        </w:rPr>
        <w:t>支出决算为8.08万元，完成预算100</w:t>
      </w:r>
      <w:r>
        <w:rPr>
          <w:rFonts w:eastAsia="仿宋_GB2312"/>
          <w:sz w:val="32"/>
          <w:szCs w:val="32"/>
        </w:rPr>
        <w:t>%</w:t>
      </w:r>
      <w:r>
        <w:rPr>
          <w:rFonts w:hint="eastAsia" w:eastAsia="仿宋_GB2312"/>
          <w:sz w:val="32"/>
          <w:szCs w:val="32"/>
        </w:rPr>
        <w:t>，决算数等于预算数。</w:t>
      </w:r>
    </w:p>
    <w:p w14:paraId="127AC598">
      <w:pPr>
        <w:spacing w:line="353" w:lineRule="auto"/>
        <w:ind w:firstLine="643" w:firstLineChars="200"/>
        <w:rPr>
          <w:rFonts w:eastAsia="仿宋_GB2312"/>
          <w:sz w:val="32"/>
          <w:szCs w:val="32"/>
        </w:rPr>
      </w:pPr>
      <w:r>
        <w:rPr>
          <w:rFonts w:hint="eastAsia" w:eastAsia="仿宋_GB2312"/>
          <w:b/>
          <w:bCs/>
          <w:sz w:val="32"/>
          <w:szCs w:val="32"/>
        </w:rPr>
        <w:t>14</w:t>
      </w:r>
      <w:r>
        <w:rPr>
          <w:rFonts w:eastAsia="仿宋_GB2312"/>
          <w:b/>
          <w:bCs/>
          <w:sz w:val="32"/>
          <w:szCs w:val="32"/>
        </w:rPr>
        <w:t>.</w:t>
      </w:r>
      <w:r>
        <w:rPr>
          <w:rFonts w:hint="eastAsia" w:eastAsia="仿宋_GB2312"/>
          <w:b/>
          <w:bCs/>
          <w:sz w:val="32"/>
          <w:szCs w:val="32"/>
        </w:rPr>
        <w:t>社会保障和就业（类）抚恤（款）死亡抚恤（项）</w:t>
      </w:r>
      <w:r>
        <w:rPr>
          <w:rFonts w:eastAsia="仿宋_GB2312"/>
          <w:b/>
          <w:bCs/>
          <w:sz w:val="32"/>
          <w:szCs w:val="32"/>
        </w:rPr>
        <w:t xml:space="preserve">: </w:t>
      </w:r>
      <w:r>
        <w:rPr>
          <w:rFonts w:hint="eastAsia" w:eastAsia="仿宋_GB2312"/>
          <w:sz w:val="32"/>
          <w:szCs w:val="32"/>
        </w:rPr>
        <w:t>支出决算为217.29万元，完成预算100</w:t>
      </w:r>
      <w:r>
        <w:rPr>
          <w:rFonts w:eastAsia="仿宋_GB2312"/>
          <w:sz w:val="32"/>
          <w:szCs w:val="32"/>
        </w:rPr>
        <w:t>%</w:t>
      </w:r>
      <w:r>
        <w:rPr>
          <w:rFonts w:hint="eastAsia" w:eastAsia="仿宋_GB2312"/>
          <w:sz w:val="32"/>
          <w:szCs w:val="32"/>
        </w:rPr>
        <w:t>，决算数等于预算数。</w:t>
      </w:r>
    </w:p>
    <w:p w14:paraId="26FE59AD">
      <w:pPr>
        <w:spacing w:line="353" w:lineRule="auto"/>
        <w:ind w:firstLine="643" w:firstLineChars="200"/>
        <w:rPr>
          <w:rFonts w:eastAsia="仿宋_GB2312"/>
          <w:sz w:val="32"/>
          <w:szCs w:val="32"/>
        </w:rPr>
      </w:pPr>
      <w:r>
        <w:rPr>
          <w:rFonts w:hint="eastAsia" w:eastAsia="仿宋_GB2312"/>
          <w:b/>
          <w:bCs/>
          <w:sz w:val="32"/>
          <w:szCs w:val="32"/>
        </w:rPr>
        <w:t>15</w:t>
      </w:r>
      <w:r>
        <w:rPr>
          <w:rFonts w:eastAsia="仿宋_GB2312"/>
          <w:b/>
          <w:bCs/>
          <w:sz w:val="32"/>
          <w:szCs w:val="32"/>
        </w:rPr>
        <w:t>.</w:t>
      </w:r>
      <w:r>
        <w:rPr>
          <w:rFonts w:hint="eastAsia" w:eastAsia="仿宋_GB2312"/>
          <w:b/>
          <w:bCs/>
          <w:sz w:val="32"/>
          <w:szCs w:val="32"/>
        </w:rPr>
        <w:t>社会保障和就业（类）抚恤（款）伤残抚恤（项）</w:t>
      </w:r>
      <w:r>
        <w:rPr>
          <w:rFonts w:eastAsia="仿宋_GB2312"/>
          <w:b/>
          <w:bCs/>
          <w:sz w:val="32"/>
          <w:szCs w:val="32"/>
        </w:rPr>
        <w:t xml:space="preserve">: </w:t>
      </w:r>
      <w:r>
        <w:rPr>
          <w:rFonts w:hint="eastAsia" w:eastAsia="仿宋_GB2312"/>
          <w:sz w:val="32"/>
          <w:szCs w:val="32"/>
        </w:rPr>
        <w:t>支出决算为60万元，完成预算100</w:t>
      </w:r>
      <w:r>
        <w:rPr>
          <w:rFonts w:eastAsia="仿宋_GB2312"/>
          <w:sz w:val="32"/>
          <w:szCs w:val="32"/>
        </w:rPr>
        <w:t>%</w:t>
      </w:r>
      <w:r>
        <w:rPr>
          <w:rFonts w:hint="eastAsia" w:eastAsia="仿宋_GB2312"/>
          <w:sz w:val="32"/>
          <w:szCs w:val="32"/>
        </w:rPr>
        <w:t>，决算数等于预算数。</w:t>
      </w:r>
    </w:p>
    <w:p w14:paraId="66F5E6C0">
      <w:pPr>
        <w:spacing w:line="353" w:lineRule="auto"/>
        <w:ind w:firstLine="643" w:firstLineChars="200"/>
        <w:rPr>
          <w:rFonts w:eastAsia="仿宋_GB2312"/>
          <w:sz w:val="32"/>
          <w:szCs w:val="32"/>
        </w:rPr>
      </w:pPr>
      <w:r>
        <w:rPr>
          <w:rFonts w:hint="eastAsia" w:eastAsia="仿宋_GB2312"/>
          <w:b/>
          <w:bCs/>
          <w:sz w:val="32"/>
          <w:szCs w:val="32"/>
        </w:rPr>
        <w:t>16</w:t>
      </w:r>
      <w:r>
        <w:rPr>
          <w:rFonts w:eastAsia="仿宋_GB2312"/>
          <w:b/>
          <w:bCs/>
          <w:sz w:val="32"/>
          <w:szCs w:val="32"/>
        </w:rPr>
        <w:t>.</w:t>
      </w:r>
      <w:r>
        <w:rPr>
          <w:rFonts w:hint="eastAsia" w:eastAsia="仿宋_GB2312"/>
          <w:b/>
          <w:bCs/>
          <w:sz w:val="32"/>
          <w:szCs w:val="32"/>
        </w:rPr>
        <w:t>卫生健康支出（类）公共卫生（款）重大公共卫生服务（项）</w:t>
      </w:r>
      <w:r>
        <w:rPr>
          <w:rFonts w:eastAsia="仿宋_GB2312"/>
          <w:b/>
          <w:bCs/>
          <w:sz w:val="32"/>
          <w:szCs w:val="32"/>
        </w:rPr>
        <w:t>:</w:t>
      </w:r>
      <w:r>
        <w:rPr>
          <w:rFonts w:hint="eastAsia" w:eastAsia="仿宋_GB2312"/>
          <w:sz w:val="32"/>
          <w:szCs w:val="32"/>
        </w:rPr>
        <w:t>支出决算为0.1万元，完成预算100</w:t>
      </w:r>
      <w:r>
        <w:rPr>
          <w:rFonts w:eastAsia="仿宋_GB2312"/>
          <w:sz w:val="32"/>
          <w:szCs w:val="32"/>
        </w:rPr>
        <w:t>%</w:t>
      </w:r>
      <w:r>
        <w:rPr>
          <w:rFonts w:hint="eastAsia" w:eastAsia="仿宋_GB2312"/>
          <w:sz w:val="32"/>
          <w:szCs w:val="32"/>
        </w:rPr>
        <w:t>，决算数等于预算数。</w:t>
      </w:r>
    </w:p>
    <w:p w14:paraId="47E16C49">
      <w:pPr>
        <w:spacing w:line="353" w:lineRule="auto"/>
        <w:ind w:firstLine="643" w:firstLineChars="200"/>
        <w:rPr>
          <w:rFonts w:eastAsia="仿宋_GB2312"/>
          <w:sz w:val="32"/>
          <w:szCs w:val="32"/>
        </w:rPr>
      </w:pPr>
      <w:r>
        <w:rPr>
          <w:rFonts w:hint="eastAsia" w:eastAsia="仿宋_GB2312"/>
          <w:b/>
          <w:bCs/>
          <w:sz w:val="32"/>
          <w:szCs w:val="32"/>
        </w:rPr>
        <w:t>17</w:t>
      </w:r>
      <w:r>
        <w:rPr>
          <w:rFonts w:eastAsia="仿宋_GB2312"/>
          <w:b/>
          <w:bCs/>
          <w:sz w:val="32"/>
          <w:szCs w:val="32"/>
        </w:rPr>
        <w:t>.</w:t>
      </w:r>
      <w:r>
        <w:rPr>
          <w:rFonts w:hint="eastAsia" w:eastAsia="仿宋_GB2312"/>
          <w:b/>
          <w:bCs/>
          <w:sz w:val="32"/>
          <w:szCs w:val="32"/>
        </w:rPr>
        <w:t>卫生健康支出（类）行政事业单位医疗（款）行政单位医疗（项）</w:t>
      </w:r>
      <w:r>
        <w:rPr>
          <w:rFonts w:eastAsia="仿宋_GB2312"/>
          <w:b/>
          <w:bCs/>
          <w:sz w:val="32"/>
          <w:szCs w:val="32"/>
        </w:rPr>
        <w:t>:</w:t>
      </w:r>
      <w:r>
        <w:rPr>
          <w:rFonts w:hint="eastAsia" w:eastAsia="仿宋_GB2312"/>
          <w:sz w:val="32"/>
          <w:szCs w:val="32"/>
        </w:rPr>
        <w:t>支出决算为2061.36万元，完成预算100</w:t>
      </w:r>
      <w:r>
        <w:rPr>
          <w:rFonts w:eastAsia="仿宋_GB2312"/>
          <w:sz w:val="32"/>
          <w:szCs w:val="32"/>
        </w:rPr>
        <w:t>%</w:t>
      </w:r>
      <w:r>
        <w:rPr>
          <w:rFonts w:hint="eastAsia" w:eastAsia="仿宋_GB2312"/>
          <w:sz w:val="32"/>
          <w:szCs w:val="32"/>
        </w:rPr>
        <w:t>，决算数等于预算数。</w:t>
      </w:r>
    </w:p>
    <w:p w14:paraId="378BE334">
      <w:pPr>
        <w:spacing w:line="353" w:lineRule="auto"/>
        <w:ind w:firstLine="643" w:firstLineChars="200"/>
        <w:rPr>
          <w:rFonts w:eastAsia="仿宋_GB2312"/>
          <w:sz w:val="32"/>
          <w:szCs w:val="32"/>
        </w:rPr>
      </w:pPr>
      <w:r>
        <w:rPr>
          <w:rFonts w:hint="eastAsia" w:eastAsia="仿宋_GB2312"/>
          <w:b/>
          <w:bCs/>
          <w:sz w:val="32"/>
          <w:szCs w:val="32"/>
        </w:rPr>
        <w:t>18</w:t>
      </w:r>
      <w:r>
        <w:rPr>
          <w:rFonts w:eastAsia="仿宋_GB2312"/>
          <w:b/>
          <w:bCs/>
          <w:sz w:val="32"/>
          <w:szCs w:val="32"/>
        </w:rPr>
        <w:t>.</w:t>
      </w:r>
      <w:r>
        <w:rPr>
          <w:rFonts w:hint="eastAsia" w:eastAsia="仿宋_GB2312"/>
          <w:b/>
          <w:bCs/>
          <w:sz w:val="32"/>
          <w:szCs w:val="32"/>
        </w:rPr>
        <w:t>卫生健康支出（类）行政事业单位医疗（款）事业单位医疗（项）</w:t>
      </w:r>
      <w:r>
        <w:rPr>
          <w:rFonts w:eastAsia="仿宋_GB2312"/>
          <w:b/>
          <w:bCs/>
          <w:sz w:val="32"/>
          <w:szCs w:val="32"/>
        </w:rPr>
        <w:t>:</w:t>
      </w:r>
      <w:r>
        <w:rPr>
          <w:rFonts w:hint="eastAsia" w:eastAsia="仿宋_GB2312"/>
          <w:sz w:val="32"/>
          <w:szCs w:val="32"/>
        </w:rPr>
        <w:t>支出决算为7.07万元，完成预算100</w:t>
      </w:r>
      <w:r>
        <w:rPr>
          <w:rFonts w:eastAsia="仿宋_GB2312"/>
          <w:sz w:val="32"/>
          <w:szCs w:val="32"/>
        </w:rPr>
        <w:t>%</w:t>
      </w:r>
      <w:r>
        <w:rPr>
          <w:rFonts w:hint="eastAsia" w:eastAsia="仿宋_GB2312"/>
          <w:sz w:val="32"/>
          <w:szCs w:val="32"/>
        </w:rPr>
        <w:t>，决算数等于预算数。</w:t>
      </w:r>
    </w:p>
    <w:p w14:paraId="7C5FA21D">
      <w:pPr>
        <w:spacing w:line="353" w:lineRule="auto"/>
        <w:ind w:firstLine="643" w:firstLineChars="200"/>
        <w:rPr>
          <w:rFonts w:eastAsia="仿宋_GB2312"/>
          <w:sz w:val="32"/>
          <w:szCs w:val="32"/>
        </w:rPr>
      </w:pPr>
      <w:r>
        <w:rPr>
          <w:rFonts w:hint="eastAsia" w:eastAsia="仿宋_GB2312"/>
          <w:b/>
          <w:bCs/>
          <w:sz w:val="32"/>
          <w:szCs w:val="32"/>
        </w:rPr>
        <w:t>19</w:t>
      </w:r>
      <w:r>
        <w:rPr>
          <w:rFonts w:eastAsia="仿宋_GB2312"/>
          <w:b/>
          <w:bCs/>
          <w:sz w:val="32"/>
          <w:szCs w:val="32"/>
        </w:rPr>
        <w:t>.</w:t>
      </w:r>
      <w:r>
        <w:rPr>
          <w:rFonts w:hint="eastAsia" w:eastAsia="仿宋_GB2312"/>
          <w:b/>
          <w:bCs/>
          <w:sz w:val="32"/>
          <w:szCs w:val="32"/>
        </w:rPr>
        <w:t>卫生健康支出（类）行政事业单位医疗（款）公务员医疗补助（项）</w:t>
      </w:r>
      <w:r>
        <w:rPr>
          <w:rFonts w:eastAsia="仿宋_GB2312"/>
          <w:b/>
          <w:bCs/>
          <w:sz w:val="32"/>
          <w:szCs w:val="32"/>
        </w:rPr>
        <w:t>:</w:t>
      </w:r>
      <w:r>
        <w:rPr>
          <w:rFonts w:hint="eastAsia" w:eastAsia="仿宋_GB2312"/>
          <w:sz w:val="32"/>
          <w:szCs w:val="32"/>
        </w:rPr>
        <w:t>支出决算为210.4万元，完成预算100</w:t>
      </w:r>
      <w:r>
        <w:rPr>
          <w:rFonts w:eastAsia="仿宋_GB2312"/>
          <w:sz w:val="32"/>
          <w:szCs w:val="32"/>
        </w:rPr>
        <w:t>%</w:t>
      </w:r>
      <w:r>
        <w:rPr>
          <w:rFonts w:hint="eastAsia" w:eastAsia="仿宋_GB2312"/>
          <w:sz w:val="32"/>
          <w:szCs w:val="32"/>
        </w:rPr>
        <w:t>，决算数等于预算数。</w:t>
      </w:r>
    </w:p>
    <w:p w14:paraId="1981E8A2">
      <w:pPr>
        <w:spacing w:line="353" w:lineRule="auto"/>
        <w:ind w:firstLine="643" w:firstLineChars="200"/>
        <w:rPr>
          <w:rFonts w:eastAsia="仿宋_GB2312"/>
          <w:sz w:val="32"/>
          <w:szCs w:val="32"/>
        </w:rPr>
      </w:pPr>
      <w:r>
        <w:rPr>
          <w:rFonts w:hint="eastAsia" w:eastAsia="仿宋_GB2312"/>
          <w:b/>
          <w:bCs/>
          <w:sz w:val="32"/>
          <w:szCs w:val="32"/>
        </w:rPr>
        <w:t>20</w:t>
      </w:r>
      <w:r>
        <w:rPr>
          <w:rFonts w:eastAsia="仿宋_GB2312"/>
          <w:b/>
          <w:bCs/>
          <w:sz w:val="32"/>
          <w:szCs w:val="32"/>
        </w:rPr>
        <w:t>.</w:t>
      </w:r>
      <w:r>
        <w:rPr>
          <w:rFonts w:hint="eastAsia" w:eastAsia="仿宋_GB2312"/>
          <w:b/>
          <w:bCs/>
          <w:sz w:val="32"/>
          <w:szCs w:val="32"/>
        </w:rPr>
        <w:t>住房保障支出（类）住房改革支出（款）住房公积金（项）</w:t>
      </w:r>
      <w:r>
        <w:rPr>
          <w:rFonts w:eastAsia="仿宋_GB2312"/>
          <w:b/>
          <w:bCs/>
          <w:sz w:val="32"/>
          <w:szCs w:val="32"/>
        </w:rPr>
        <w:t>:</w:t>
      </w:r>
      <w:r>
        <w:rPr>
          <w:rFonts w:hint="eastAsia" w:eastAsia="仿宋_GB2312"/>
          <w:sz w:val="32"/>
          <w:szCs w:val="32"/>
        </w:rPr>
        <w:t>支出决算为3113.14万元，完成预算100</w:t>
      </w:r>
      <w:r>
        <w:rPr>
          <w:rFonts w:eastAsia="仿宋_GB2312"/>
          <w:sz w:val="32"/>
          <w:szCs w:val="32"/>
        </w:rPr>
        <w:t>%</w:t>
      </w:r>
      <w:r>
        <w:rPr>
          <w:rFonts w:hint="eastAsia" w:eastAsia="仿宋_GB2312"/>
          <w:sz w:val="32"/>
          <w:szCs w:val="32"/>
        </w:rPr>
        <w:t>，决算数等于预算数。</w:t>
      </w:r>
    </w:p>
    <w:p w14:paraId="5E07FD01">
      <w:pPr>
        <w:pStyle w:val="6"/>
        <w:spacing w:before="0" w:after="0" w:line="353" w:lineRule="auto"/>
        <w:ind w:firstLine="640" w:firstLineChars="200"/>
        <w:rPr>
          <w:rFonts w:ascii="Times New Roman" w:hAnsi="Times New Roman" w:eastAsia="黑体"/>
          <w:b w:val="0"/>
        </w:rPr>
      </w:pPr>
      <w:bookmarkStart w:id="28" w:name="_Toc15396608"/>
      <w:bookmarkStart w:id="29" w:name="_Toc15377214"/>
      <w:r>
        <w:rPr>
          <w:rFonts w:hint="eastAsia" w:ascii="Times New Roman" w:hAnsi="Times New Roman" w:eastAsia="黑体"/>
          <w:b w:val="0"/>
        </w:rPr>
        <w:t>六、一般公共预算财政拨款基本支出决算情况说明</w:t>
      </w:r>
      <w:bookmarkEnd w:id="28"/>
      <w:bookmarkEnd w:id="29"/>
      <w:r>
        <w:rPr>
          <w:rFonts w:hint="eastAsia" w:ascii="Times New Roman" w:hAnsi="Times New Roman" w:eastAsia="黑体"/>
          <w:b w:val="0"/>
        </w:rPr>
        <w:tab/>
      </w:r>
    </w:p>
    <w:p w14:paraId="2483DB53">
      <w:pPr>
        <w:spacing w:line="353" w:lineRule="auto"/>
        <w:ind w:firstLine="640" w:firstLineChars="200"/>
        <w:rPr>
          <w:rFonts w:eastAsia="仿宋_GB2312"/>
          <w:sz w:val="32"/>
          <w:szCs w:val="32"/>
        </w:rPr>
      </w:pPr>
      <w:r>
        <w:rPr>
          <w:rFonts w:hint="eastAsia" w:eastAsia="仿宋_GB2312"/>
          <w:sz w:val="32"/>
          <w:szCs w:val="32"/>
        </w:rPr>
        <w:t>2025年度一般公共预算财政拨款基本支出51642.29万元，其中：</w:t>
      </w:r>
    </w:p>
    <w:p w14:paraId="0DB60213">
      <w:pPr>
        <w:spacing w:line="353" w:lineRule="auto"/>
        <w:ind w:firstLine="640" w:firstLineChars="200"/>
        <w:rPr>
          <w:rFonts w:hint="eastAsia" w:eastAsia="仿宋_GB2312"/>
          <w:sz w:val="32"/>
          <w:szCs w:val="32"/>
        </w:rPr>
      </w:pPr>
      <w:r>
        <w:rPr>
          <w:rFonts w:hint="eastAsia" w:eastAsia="仿宋_GB2312"/>
          <w:sz w:val="32"/>
          <w:szCs w:val="32"/>
        </w:rPr>
        <w:t>人员经费47250.49万元，主要包括：基本工资9349.27万元、津贴补贴10763.18万元、奖金9530.14万元、绩效工资45.53万元、机关事业单位基本养老保险缴费3941.99万元、职业年金缴费627.63万元、职工基本医疗保险缴费2068.43万元、公务员医疗补助缴费475.35万元、其他社会保障缴费68.04万元、其他工资福利支出3838.58万元、离休费17.98万元、抚恤金277.29万元、生活补助2877.53万元、医疗费补助193.49万元、奖励金1.72万元、住房公积金61.18万元。</w:t>
      </w:r>
      <w:r>
        <w:rPr>
          <w:rFonts w:hint="eastAsia" w:eastAsia="仿宋_GB2312"/>
          <w:sz w:val="32"/>
          <w:szCs w:val="32"/>
        </w:rPr>
        <w:br w:type="textWrapping"/>
      </w:r>
      <w:r>
        <w:rPr>
          <w:rFonts w:hint="eastAsia" w:eastAsia="仿宋_GB2312"/>
          <w:sz w:val="32"/>
          <w:szCs w:val="32"/>
        </w:rPr>
        <w:t>　　公用经费4391.81万元，主要包括：办公费282.55万元、印刷费6.62万元、水费88.88万元、电费370.85万元、邮电费85.1万元、物业管理费95.84万元、差旅费231.1万元、维修（护）费75.87万元、会议费4.8万元、培训费19.56万元、公务接待费1.1万元、被装购置费45.93万元、劳务费72.96万元、委托业务费94.61万元、工会经费347.69万元、福利费235.53万元、公务用车运行维护费470.4万元、其他交通费1634.19万元、其他商品和服务支出230.23万元。</w:t>
      </w:r>
      <w:bookmarkStart w:id="30" w:name="_Toc15396609"/>
      <w:bookmarkStart w:id="31" w:name="_Toc15377215"/>
    </w:p>
    <w:p w14:paraId="2118D2F2">
      <w:pPr>
        <w:spacing w:line="353" w:lineRule="auto"/>
        <w:ind w:firstLine="640" w:firstLineChars="200"/>
        <w:rPr>
          <w:rFonts w:eastAsia="黑体" w:cstheme="majorBidi"/>
          <w:bCs/>
          <w:sz w:val="32"/>
          <w:szCs w:val="32"/>
        </w:rPr>
      </w:pPr>
      <w:r>
        <w:rPr>
          <w:rFonts w:hint="eastAsia" w:eastAsia="黑体" w:cstheme="majorBidi"/>
          <w:bCs/>
          <w:sz w:val="32"/>
          <w:szCs w:val="32"/>
        </w:rPr>
        <w:t>七、财政拨款“三公”经费支出决算情况说明</w:t>
      </w:r>
      <w:bookmarkEnd w:id="30"/>
      <w:bookmarkEnd w:id="31"/>
    </w:p>
    <w:p w14:paraId="43A00950">
      <w:pPr>
        <w:pStyle w:val="6"/>
        <w:spacing w:before="0" w:after="0" w:line="353" w:lineRule="auto"/>
        <w:ind w:firstLine="315" w:firstLineChars="98"/>
        <w:rPr>
          <w:rFonts w:eastAsia="楷体_GB2312" w:cs="楷体_GB2312"/>
        </w:rPr>
      </w:pPr>
      <w:bookmarkStart w:id="32" w:name="_Toc15377216"/>
      <w:r>
        <w:rPr>
          <w:rFonts w:hint="eastAsia" w:eastAsia="楷体_GB2312" w:cs="楷体_GB2312"/>
        </w:rPr>
        <w:t>（一）财政拨款“三公”经费财政拨款支出决算总体情况说明</w:t>
      </w:r>
      <w:bookmarkEnd w:id="32"/>
    </w:p>
    <w:p w14:paraId="0A9892C0">
      <w:pPr>
        <w:spacing w:line="353" w:lineRule="auto"/>
        <w:ind w:firstLine="640" w:firstLineChars="200"/>
        <w:rPr>
          <w:rFonts w:eastAsia="仿宋_GB2312"/>
          <w:sz w:val="32"/>
          <w:szCs w:val="32"/>
          <w:highlight w:val="yellow"/>
        </w:rPr>
      </w:pPr>
      <w:r>
        <w:rPr>
          <w:rFonts w:hint="eastAsia" w:eastAsia="仿宋_GB2312"/>
          <w:sz w:val="32"/>
          <w:szCs w:val="32"/>
        </w:rPr>
        <w:t>2025年度“三公”经费财政拨款支出决算为471.51万元，完成预算100%，较上年度减少51.09万元，下降9.78%。</w:t>
      </w:r>
      <w:r>
        <w:rPr>
          <w:rFonts w:eastAsia="仿宋_GB2312"/>
          <w:sz w:val="32"/>
          <w:szCs w:val="32"/>
        </w:rPr>
        <w:t>主要原因是市局机关厉行节约，对公务用车严格审批程序，使得公务用车运行维护费较上年降低，另一方面严格控制公务接待费用的管理和支出，导致今年“三公”经费比去年降低。</w:t>
      </w:r>
    </w:p>
    <w:p w14:paraId="6396A53C">
      <w:pPr>
        <w:spacing w:line="600" w:lineRule="exact"/>
        <w:ind w:firstLine="643" w:firstLineChars="200"/>
        <w:outlineLvl w:val="2"/>
        <w:rPr>
          <w:rFonts w:eastAsia="楷体_GB2312" w:cs="楷体_GB2312"/>
          <w:b/>
          <w:sz w:val="32"/>
          <w:szCs w:val="32"/>
        </w:rPr>
      </w:pPr>
      <w:bookmarkStart w:id="33" w:name="_Toc15377217"/>
      <w:r>
        <w:rPr>
          <w:rFonts w:hint="eastAsia" w:eastAsia="楷体_GB2312" w:cs="楷体_GB2312"/>
          <w:b/>
          <w:sz w:val="32"/>
          <w:szCs w:val="32"/>
        </w:rPr>
        <w:t>（二）财政拨款“三公”经费财政拨款支出决算具体情况说明</w:t>
      </w:r>
      <w:bookmarkEnd w:id="33"/>
    </w:p>
    <w:p w14:paraId="36B2E603">
      <w:pPr>
        <w:spacing w:line="353" w:lineRule="auto"/>
        <w:ind w:firstLine="640" w:firstLineChars="200"/>
        <w:rPr>
          <w:rFonts w:eastAsia="仿宋_GB2312"/>
          <w:sz w:val="32"/>
          <w:szCs w:val="32"/>
        </w:rPr>
      </w:pPr>
      <w:r>
        <w:rPr>
          <w:rFonts w:hint="eastAsia" w:eastAsia="仿宋_GB2312"/>
          <w:sz w:val="32"/>
          <w:szCs w:val="32"/>
        </w:rPr>
        <w:t>2025年度“三公”经费财政拨款支出决算中，因公出国（境）费支出决算0万元，占0%；公务用车购置及运行维护费支出决算470.4万元，占99.76%；公务接待费支出决算1.11万元，占0.24%。具体情况如下：</w:t>
      </w:r>
    </w:p>
    <w:p w14:paraId="51D719C9">
      <w:pPr>
        <w:spacing w:line="353" w:lineRule="auto"/>
        <w:ind w:firstLine="640" w:firstLineChars="200"/>
        <w:rPr>
          <w:rFonts w:eastAsia="仿宋_GB2312"/>
          <w:sz w:val="32"/>
          <w:szCs w:val="32"/>
        </w:rPr>
      </w:pPr>
      <w:r>
        <w:rPr>
          <w:rFonts w:hint="eastAsia" w:eastAsia="仿宋_GB2312"/>
          <w:sz w:val="32"/>
          <w:szCs w:val="32"/>
        </w:rPr>
        <w:t>（图7：“三公”经费财政拨款支出结构）（单位：万元）</w:t>
      </w:r>
    </w:p>
    <w:p w14:paraId="5074BA74">
      <w:pPr>
        <w:pStyle w:val="2"/>
        <w:jc w:val="center"/>
        <w:rPr>
          <w:highlight w:val="yellow"/>
        </w:rPr>
      </w:pPr>
      <w:r>
        <w:drawing>
          <wp:inline distT="0" distB="0" distL="114300" distR="114300">
            <wp:extent cx="4572000" cy="2743200"/>
            <wp:effectExtent l="4445" t="4445" r="14605" b="14605"/>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63A051A">
      <w:pPr>
        <w:spacing w:line="600" w:lineRule="exact"/>
        <w:ind w:firstLine="640"/>
        <w:rPr>
          <w:rFonts w:eastAsia="仿宋_GB2312"/>
          <w:sz w:val="32"/>
          <w:szCs w:val="32"/>
        </w:rPr>
      </w:pPr>
      <w:r>
        <w:rPr>
          <w:rFonts w:eastAsia="仿宋_GB2312"/>
          <w:b/>
          <w:bCs/>
          <w:sz w:val="32"/>
          <w:szCs w:val="32"/>
        </w:rPr>
        <w:t>1.因公出国（境）经费支出0万元，完成预算0%。</w:t>
      </w:r>
      <w:r>
        <w:rPr>
          <w:rFonts w:hint="eastAsia" w:eastAsia="仿宋_GB2312"/>
          <w:sz w:val="32"/>
          <w:szCs w:val="32"/>
        </w:rPr>
        <w:t>全年安排因公出国（境）团组0次，出国（境）0人。因公出国（境）支出决算比2024年决算持平。主要原因是攀枝花市公安局2024年、2025年均未安排因公出国（境），未开支经费，无开支内容。</w:t>
      </w:r>
    </w:p>
    <w:p w14:paraId="586A7415">
      <w:pPr>
        <w:spacing w:line="353" w:lineRule="auto"/>
        <w:ind w:firstLine="643" w:firstLineChars="200"/>
        <w:rPr>
          <w:rFonts w:eastAsia="仿宋_GB2312"/>
          <w:sz w:val="32"/>
          <w:szCs w:val="32"/>
          <w:highlight w:val="yellow"/>
        </w:rPr>
      </w:pPr>
      <w:r>
        <w:rPr>
          <w:rFonts w:eastAsia="仿宋_GB2312"/>
          <w:b/>
          <w:bCs/>
          <w:sz w:val="32"/>
          <w:szCs w:val="32"/>
        </w:rPr>
        <w:t>2.公务用车购置及运行维护费支出</w:t>
      </w:r>
      <w:r>
        <w:rPr>
          <w:rFonts w:hint="eastAsia" w:eastAsia="仿宋_GB2312"/>
          <w:b/>
          <w:bCs/>
          <w:sz w:val="32"/>
          <w:szCs w:val="32"/>
        </w:rPr>
        <w:t>470.4</w:t>
      </w:r>
      <w:r>
        <w:rPr>
          <w:rFonts w:eastAsia="仿宋_GB2312"/>
          <w:b/>
          <w:bCs/>
          <w:sz w:val="32"/>
          <w:szCs w:val="32"/>
        </w:rPr>
        <w:t>万元，完成预算</w:t>
      </w:r>
      <w:r>
        <w:rPr>
          <w:rFonts w:hint="eastAsia" w:eastAsia="仿宋_GB2312"/>
          <w:b/>
          <w:bCs/>
          <w:sz w:val="32"/>
          <w:szCs w:val="32"/>
        </w:rPr>
        <w:t>100</w:t>
      </w:r>
      <w:r>
        <w:rPr>
          <w:rFonts w:eastAsia="仿宋_GB2312"/>
          <w:b/>
          <w:bCs/>
          <w:sz w:val="32"/>
          <w:szCs w:val="32"/>
        </w:rPr>
        <w:t>%。</w:t>
      </w:r>
      <w:r>
        <w:rPr>
          <w:rFonts w:hint="eastAsia" w:eastAsia="仿宋_GB2312"/>
          <w:sz w:val="32"/>
          <w:szCs w:val="32"/>
        </w:rPr>
        <w:t>公务用车购置及运行维护费支出决算比2024年度减少48.9万元，下降9.42%。主要原因是</w:t>
      </w:r>
      <w:r>
        <w:rPr>
          <w:rFonts w:eastAsia="仿宋_GB2312"/>
          <w:sz w:val="32"/>
          <w:szCs w:val="32"/>
        </w:rPr>
        <w:t>市局机关厉行节约，对公务用车严格审批程序，使得公务用车运行维护费较上年降低，</w:t>
      </w:r>
    </w:p>
    <w:p w14:paraId="12AA3A18">
      <w:pPr>
        <w:spacing w:line="600" w:lineRule="exact"/>
        <w:ind w:firstLine="640"/>
        <w:rPr>
          <w:rFonts w:eastAsia="仿宋_GB2312"/>
          <w:sz w:val="32"/>
          <w:szCs w:val="32"/>
        </w:rPr>
      </w:pPr>
      <w:r>
        <w:rPr>
          <w:rFonts w:hint="eastAsia" w:eastAsia="仿宋_GB2312"/>
          <w:sz w:val="32"/>
          <w:szCs w:val="32"/>
        </w:rPr>
        <w:t>其中：公务用车购置支出0万元。截至2024年12月31日，单位共有公务用车381辆，其中轿车241辆、越野车53辆、载客汽车72辆、其他车型15辆。</w:t>
      </w:r>
    </w:p>
    <w:p w14:paraId="1F6763FD">
      <w:pPr>
        <w:spacing w:line="353" w:lineRule="auto"/>
        <w:ind w:firstLine="640" w:firstLineChars="200"/>
        <w:rPr>
          <w:rFonts w:eastAsia="仿宋_GB2312"/>
          <w:sz w:val="32"/>
          <w:szCs w:val="32"/>
        </w:rPr>
      </w:pPr>
      <w:r>
        <w:rPr>
          <w:rFonts w:hint="eastAsia" w:eastAsia="仿宋_GB2312"/>
          <w:sz w:val="32"/>
          <w:szCs w:val="32"/>
        </w:rPr>
        <w:t>公务用车运行维护费支出470.4万元。主要用于执法办案、道路交通管理、公务出差等所需的公务用车燃料费、维修费、过路过桥费、保险费等支出。</w:t>
      </w:r>
    </w:p>
    <w:p w14:paraId="2989BF95">
      <w:pPr>
        <w:spacing w:line="353" w:lineRule="auto"/>
        <w:ind w:firstLine="643" w:firstLineChars="200"/>
        <w:rPr>
          <w:rFonts w:eastAsia="仿宋_GB2312"/>
          <w:sz w:val="32"/>
          <w:szCs w:val="32"/>
        </w:rPr>
      </w:pPr>
      <w:r>
        <w:rPr>
          <w:rFonts w:eastAsia="仿宋_GB2312"/>
          <w:b/>
          <w:bCs/>
          <w:sz w:val="32"/>
          <w:szCs w:val="32"/>
        </w:rPr>
        <w:t>3.公务接待费支出</w:t>
      </w:r>
      <w:r>
        <w:rPr>
          <w:rFonts w:hint="eastAsia" w:eastAsia="仿宋_GB2312"/>
          <w:b/>
          <w:bCs/>
          <w:sz w:val="32"/>
          <w:szCs w:val="32"/>
        </w:rPr>
        <w:t>1.11</w:t>
      </w:r>
      <w:r>
        <w:rPr>
          <w:rFonts w:eastAsia="仿宋_GB2312"/>
          <w:b/>
          <w:bCs/>
          <w:sz w:val="32"/>
          <w:szCs w:val="32"/>
        </w:rPr>
        <w:t>万元，完成预算100%。</w:t>
      </w:r>
      <w:r>
        <w:rPr>
          <w:rFonts w:hint="eastAsia" w:eastAsia="仿宋_GB2312"/>
          <w:sz w:val="32"/>
          <w:szCs w:val="32"/>
        </w:rPr>
        <w:t>公务接待费支出决算比2024年度减少2.19万元，下降66.36%。主要原因是本年来攀考察交流活动减少，接待批次和人数较上年减少。</w:t>
      </w:r>
    </w:p>
    <w:p w14:paraId="2978A360">
      <w:pPr>
        <w:spacing w:line="353" w:lineRule="auto"/>
        <w:ind w:firstLine="640" w:firstLineChars="200"/>
        <w:rPr>
          <w:rFonts w:eastAsia="仿宋_GB2312"/>
          <w:sz w:val="32"/>
          <w:szCs w:val="32"/>
        </w:rPr>
      </w:pPr>
      <w:r>
        <w:rPr>
          <w:rFonts w:hint="eastAsia" w:eastAsia="仿宋_GB2312"/>
          <w:sz w:val="32"/>
          <w:szCs w:val="32"/>
        </w:rPr>
        <w:t>国内公务接待支出1.1万元，主要用于执行公务、开展业务活动开支的用餐费。国内公务接待8批次，64人次（不包括陪同人员），共计支出1.1万元，具体内容包括：市局接待遂宁市公安局交流学习0.31万元；市本级接待巴中市公安局交流学习0.1万元；接待射洪市公安局赴攀考察0.1万元；接待科通总队调研0.19万元，接待省厅来攀调研0.1万元；接待刑警学院赴攀考察0.1元。仁和分局接待</w:t>
      </w:r>
      <w:r>
        <w:rPr>
          <w:rFonts w:hint="eastAsia" w:eastAsia="仿宋_GB2312" w:cs="仿宋_GB2312"/>
          <w:sz w:val="32"/>
          <w:szCs w:val="32"/>
        </w:rPr>
        <w:t>云南永仁县公安局交流学习</w:t>
      </w:r>
      <w:r>
        <w:rPr>
          <w:rFonts w:hint="eastAsia" w:eastAsia="仿宋_GB2312"/>
          <w:sz w:val="32"/>
          <w:szCs w:val="32"/>
        </w:rPr>
        <w:t>0.1万元；仁和分局接待</w:t>
      </w:r>
      <w:r>
        <w:rPr>
          <w:rFonts w:hint="eastAsia" w:eastAsia="仿宋_GB2312" w:cs="仿宋_GB2312"/>
          <w:sz w:val="32"/>
          <w:szCs w:val="32"/>
        </w:rPr>
        <w:t>巴中市公安局食药环支队交流学习0.1万元，</w:t>
      </w:r>
      <w:r>
        <w:rPr>
          <w:rFonts w:hint="eastAsia" w:eastAsia="仿宋_GB2312"/>
          <w:sz w:val="32"/>
          <w:szCs w:val="32"/>
        </w:rPr>
        <w:t>外事接待支出0万元</w:t>
      </w:r>
      <w:bookmarkStart w:id="34" w:name="_Toc15377218"/>
      <w:bookmarkStart w:id="35" w:name="_Toc15396610"/>
      <w:r>
        <w:rPr>
          <w:rFonts w:hint="eastAsia" w:eastAsia="仿宋_GB2312"/>
          <w:sz w:val="32"/>
          <w:szCs w:val="32"/>
        </w:rPr>
        <w:t>，主要用于接待无。外事接待0批次，0人次（不包括陪同人员），共计支出0万元。</w:t>
      </w:r>
    </w:p>
    <w:p w14:paraId="207314E2">
      <w:pPr>
        <w:pStyle w:val="6"/>
        <w:spacing w:before="0" w:after="0" w:line="353" w:lineRule="auto"/>
        <w:ind w:firstLine="640" w:firstLineChars="200"/>
        <w:rPr>
          <w:rFonts w:ascii="Times New Roman" w:hAnsi="Times New Roman" w:eastAsia="黑体"/>
          <w:b w:val="0"/>
        </w:rPr>
      </w:pPr>
      <w:r>
        <w:rPr>
          <w:rFonts w:hint="eastAsia" w:ascii="Times New Roman" w:hAnsi="Times New Roman" w:eastAsia="黑体"/>
          <w:b w:val="0"/>
        </w:rPr>
        <w:t>八、政府性基金预算支出决算情况说明</w:t>
      </w:r>
      <w:bookmarkEnd w:id="34"/>
      <w:bookmarkEnd w:id="35"/>
    </w:p>
    <w:p w14:paraId="37D35B46">
      <w:pPr>
        <w:spacing w:line="353" w:lineRule="auto"/>
        <w:ind w:firstLine="640" w:firstLineChars="200"/>
        <w:rPr>
          <w:rFonts w:eastAsia="仿宋_GB2312"/>
          <w:sz w:val="32"/>
          <w:szCs w:val="32"/>
          <w:highlight w:val="yellow"/>
        </w:rPr>
      </w:pPr>
      <w:r>
        <w:rPr>
          <w:rFonts w:hint="eastAsia" w:eastAsia="仿宋_GB2312"/>
          <w:sz w:val="32"/>
          <w:szCs w:val="32"/>
        </w:rPr>
        <w:t>2025年度政府性基金预算财政拨款支出4000万元，占本年支出合计的5.66%。与2024年度相比，政府性基金预算财政拨款支出增加3901万元，增长3940.4%。主要变动原因是2025年下达专项债券4000万元用于“</w:t>
      </w:r>
      <w:r>
        <w:rPr>
          <w:rFonts w:eastAsia="仿宋_GB2312"/>
          <w:sz w:val="32"/>
          <w:szCs w:val="32"/>
        </w:rPr>
        <w:t>智能安全系统（天网二期）</w:t>
      </w:r>
      <w:r>
        <w:rPr>
          <w:rFonts w:hint="eastAsia" w:eastAsia="仿宋_GB2312"/>
          <w:sz w:val="32"/>
          <w:szCs w:val="32"/>
        </w:rPr>
        <w:t>”项目，导致项目执行增加。</w:t>
      </w:r>
    </w:p>
    <w:p w14:paraId="3D2A6FC2">
      <w:pPr>
        <w:pStyle w:val="6"/>
        <w:spacing w:before="0" w:after="0" w:line="353" w:lineRule="auto"/>
        <w:ind w:firstLine="640" w:firstLineChars="200"/>
        <w:rPr>
          <w:rFonts w:ascii="Times New Roman" w:hAnsi="Times New Roman" w:eastAsia="黑体"/>
          <w:b w:val="0"/>
        </w:rPr>
      </w:pPr>
      <w:bookmarkStart w:id="36" w:name="_Toc15377219"/>
      <w:bookmarkStart w:id="37" w:name="_Toc15396611"/>
      <w:r>
        <w:rPr>
          <w:rFonts w:hint="eastAsia" w:ascii="Times New Roman" w:hAnsi="Times New Roman" w:eastAsia="黑体"/>
          <w:b w:val="0"/>
        </w:rPr>
        <w:t>九、国有资本经营预算支出决算情况说明</w:t>
      </w:r>
      <w:bookmarkEnd w:id="36"/>
      <w:bookmarkEnd w:id="37"/>
    </w:p>
    <w:p w14:paraId="3E80EADA">
      <w:pPr>
        <w:spacing w:line="353" w:lineRule="auto"/>
        <w:ind w:firstLine="640" w:firstLineChars="200"/>
        <w:rPr>
          <w:rFonts w:eastAsia="仿宋_GB2312"/>
          <w:sz w:val="32"/>
          <w:szCs w:val="32"/>
        </w:rPr>
      </w:pPr>
      <w:bookmarkStart w:id="38" w:name="_Toc15396612"/>
      <w:bookmarkStart w:id="39" w:name="_Toc15377221"/>
      <w:r>
        <w:rPr>
          <w:rFonts w:hint="eastAsia" w:eastAsia="仿宋_GB2312"/>
          <w:sz w:val="32"/>
          <w:szCs w:val="32"/>
        </w:rPr>
        <w:t>2025年度国有资本经营预算财政拨款支出0万元，占本年支出合计的0%。与2024年度相比，国有资本经营预算财政拨款支出持平，均为0万元。</w:t>
      </w:r>
    </w:p>
    <w:p w14:paraId="5B18859E">
      <w:pPr>
        <w:pStyle w:val="6"/>
        <w:spacing w:before="0" w:after="0" w:line="353" w:lineRule="auto"/>
        <w:ind w:firstLine="640" w:firstLineChars="200"/>
        <w:rPr>
          <w:rFonts w:ascii="Times New Roman" w:hAnsi="Times New Roman" w:eastAsia="黑体"/>
          <w:b w:val="0"/>
        </w:rPr>
      </w:pPr>
      <w:r>
        <w:rPr>
          <w:rFonts w:hint="eastAsia" w:ascii="Times New Roman" w:hAnsi="Times New Roman" w:eastAsia="黑体"/>
          <w:b w:val="0"/>
        </w:rPr>
        <w:t>十、其他重要事项的情况说明</w:t>
      </w:r>
      <w:bookmarkEnd w:id="38"/>
      <w:bookmarkEnd w:id="39"/>
    </w:p>
    <w:p w14:paraId="2FC2CE95">
      <w:pPr>
        <w:spacing w:line="600" w:lineRule="exact"/>
        <w:ind w:firstLine="643" w:firstLineChars="200"/>
        <w:outlineLvl w:val="2"/>
        <w:rPr>
          <w:rFonts w:eastAsia="楷体_GB2312" w:cs="楷体_GB2312"/>
          <w:b/>
          <w:sz w:val="32"/>
          <w:szCs w:val="32"/>
        </w:rPr>
      </w:pPr>
      <w:bookmarkStart w:id="40" w:name="_Toc15377222"/>
      <w:r>
        <w:rPr>
          <w:rFonts w:hint="eastAsia" w:eastAsia="楷体_GB2312" w:cs="楷体_GB2312"/>
          <w:b/>
          <w:sz w:val="32"/>
          <w:szCs w:val="32"/>
        </w:rPr>
        <w:t>（一）机关运行经费支出情况</w:t>
      </w:r>
      <w:bookmarkEnd w:id="40"/>
    </w:p>
    <w:p w14:paraId="31C2E03A">
      <w:pPr>
        <w:spacing w:line="353" w:lineRule="auto"/>
        <w:ind w:firstLine="640" w:firstLineChars="200"/>
        <w:rPr>
          <w:rFonts w:eastAsia="仿宋_GB2312"/>
          <w:sz w:val="32"/>
          <w:szCs w:val="32"/>
          <w:highlight w:val="yellow"/>
        </w:rPr>
      </w:pPr>
      <w:r>
        <w:rPr>
          <w:rFonts w:hint="eastAsia" w:eastAsia="仿宋_GB2312"/>
          <w:sz w:val="32"/>
          <w:szCs w:val="32"/>
        </w:rPr>
        <w:t>2025年度，四川省攀枝花市公安局机关运行经费支出4391.81万元，比2023年度减少398.2万元，下降8.31%。主要原因是牢固树立过“紧日子”的观念，严格执行《严肃财经纪律严防财政资金跑冒滴漏十条规定》，坚持精打细算、效率优先、结果评判，严格控制“三公”经费。</w:t>
      </w:r>
    </w:p>
    <w:p w14:paraId="7D5E821A">
      <w:pPr>
        <w:spacing w:line="600" w:lineRule="exact"/>
        <w:ind w:firstLine="643" w:firstLineChars="200"/>
        <w:outlineLvl w:val="2"/>
        <w:rPr>
          <w:rFonts w:eastAsia="楷体_GB2312" w:cs="楷体_GB2312"/>
          <w:b/>
          <w:sz w:val="32"/>
          <w:szCs w:val="32"/>
        </w:rPr>
      </w:pPr>
      <w:bookmarkStart w:id="41" w:name="_Toc15377223"/>
      <w:r>
        <w:rPr>
          <w:rFonts w:hint="eastAsia" w:eastAsia="楷体_GB2312" w:cs="楷体_GB2312"/>
          <w:b/>
          <w:sz w:val="32"/>
          <w:szCs w:val="32"/>
        </w:rPr>
        <w:t>（二）政府采购支出情况</w:t>
      </w:r>
      <w:bookmarkEnd w:id="41"/>
    </w:p>
    <w:p w14:paraId="386C17B2">
      <w:pPr>
        <w:spacing w:line="353" w:lineRule="auto"/>
        <w:ind w:firstLine="640" w:firstLineChars="200"/>
        <w:rPr>
          <w:rFonts w:eastAsia="仿宋_GB2312"/>
          <w:sz w:val="32"/>
          <w:szCs w:val="32"/>
        </w:rPr>
      </w:pPr>
      <w:r>
        <w:rPr>
          <w:rFonts w:hint="eastAsia" w:eastAsia="仿宋_GB2312"/>
          <w:sz w:val="32"/>
          <w:szCs w:val="32"/>
        </w:rPr>
        <w:t>2025年度，四川省攀枝花市公安局政府采购支出总额3298.59万元，其中：政府采购货物支出1545.95万元、政府采购工程支出489.3万元、政府采购服务支出1263.35万元。主要用于办公设备、专用设备、信息软件、物业管理服务等的购置。授予中小企业合同金额2778.04万元，占政府采购支出总额的84.22%，其中：授予小微企业合同金额2544.08万元，占政府采购支出总额的77.13%。</w:t>
      </w:r>
    </w:p>
    <w:p w14:paraId="7C920730">
      <w:pPr>
        <w:spacing w:line="600" w:lineRule="exact"/>
        <w:ind w:firstLine="643" w:firstLineChars="200"/>
        <w:outlineLvl w:val="2"/>
        <w:rPr>
          <w:rFonts w:eastAsia="楷体_GB2312" w:cs="楷体_GB2312"/>
          <w:b/>
          <w:sz w:val="32"/>
          <w:szCs w:val="32"/>
        </w:rPr>
      </w:pPr>
      <w:bookmarkStart w:id="42" w:name="_Toc15377224"/>
      <w:r>
        <w:rPr>
          <w:rFonts w:hint="eastAsia" w:eastAsia="楷体_GB2312" w:cs="楷体_GB2312"/>
          <w:b/>
          <w:sz w:val="32"/>
          <w:szCs w:val="32"/>
        </w:rPr>
        <w:t>（三）国有资产占有使用情况</w:t>
      </w:r>
      <w:bookmarkEnd w:id="42"/>
    </w:p>
    <w:p w14:paraId="0B45FF59">
      <w:pPr>
        <w:spacing w:line="353" w:lineRule="auto"/>
        <w:ind w:firstLine="640" w:firstLineChars="200"/>
        <w:rPr>
          <w:rFonts w:eastAsia="仿宋_GB2312"/>
          <w:sz w:val="32"/>
          <w:szCs w:val="32"/>
        </w:rPr>
      </w:pPr>
      <w:r>
        <w:rPr>
          <w:rFonts w:hint="eastAsia" w:eastAsia="仿宋_GB2312"/>
          <w:sz w:val="32"/>
          <w:szCs w:val="32"/>
        </w:rPr>
        <w:t>截至2025年12月31日，四川省攀枝花市公安局共有车辆382辆，其中：主要领导干部用车0辆、机要通信用车0辆、应急保障用车1辆、执法执勤用车372辆、特种专业技术用车8辆、其他用车1辆，其他用车主要是用于保障应急通讯（动中通）。单价</w:t>
      </w:r>
      <w:r>
        <w:rPr>
          <w:rFonts w:eastAsia="仿宋_GB2312"/>
          <w:sz w:val="32"/>
          <w:szCs w:val="32"/>
        </w:rPr>
        <w:t>100</w:t>
      </w:r>
      <w:r>
        <w:rPr>
          <w:rFonts w:hint="eastAsia" w:eastAsia="仿宋_GB2312"/>
          <w:sz w:val="32"/>
          <w:szCs w:val="32"/>
        </w:rPr>
        <w:t>万元以上专用设备0台（套）。</w:t>
      </w:r>
    </w:p>
    <w:p w14:paraId="7BE673E1">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00C62345">
      <w:pPr>
        <w:spacing w:line="353" w:lineRule="auto"/>
        <w:ind w:firstLine="640" w:firstLineChars="200"/>
        <w:rPr>
          <w:rFonts w:eastAsia="仿宋_GB2312"/>
          <w:sz w:val="32"/>
          <w:szCs w:val="32"/>
        </w:rPr>
      </w:pPr>
      <w:r>
        <w:rPr>
          <w:rFonts w:hint="eastAsia" w:eastAsia="仿宋_GB2312"/>
          <w:sz w:val="32"/>
          <w:szCs w:val="32"/>
        </w:rPr>
        <w:t>根据预算绩效管理要求，本部门在2025年度，组织对公安特别业务费、拘押收教场所运转经费（含安防系统租赁）、攀枝花市智能安全系统（天网二期租赁费）、重大传染病中央补助（中央资金）、市政府应急联动指挥中心和市公安局指挥中心项目建设资金等31个项目、涉及资金11499.99</w:t>
      </w:r>
      <w:r>
        <w:rPr>
          <w:rFonts w:hint="eastAsia" w:eastAsia="仿宋_GB2312" w:cs="仿宋_GB2312"/>
          <w:sz w:val="32"/>
          <w:szCs w:val="32"/>
        </w:rPr>
        <w:t>万元</w:t>
      </w:r>
      <w:r>
        <w:rPr>
          <w:rFonts w:hint="eastAsia" w:eastAsia="仿宋_GB2312"/>
          <w:sz w:val="32"/>
          <w:szCs w:val="32"/>
        </w:rPr>
        <w:t>开展了预算事前绩效评估，对31个项目编制了绩效目标，预算执行过程中，选取31个项目开展绩效监控，其中有8个涉密敏感项目的绩效自评表未公开（部门预算项目支出绩效自评表详见附表）。</w:t>
      </w:r>
    </w:p>
    <w:p w14:paraId="2733617B">
      <w:pPr>
        <w:pStyle w:val="27"/>
        <w:spacing w:line="353" w:lineRule="auto"/>
        <w:ind w:firstLine="640"/>
        <w:outlineLvl w:val="1"/>
        <w:rPr>
          <w:rFonts w:eastAsia="仿宋_GB2312"/>
          <w:sz w:val="32"/>
          <w:szCs w:val="32"/>
        </w:rPr>
      </w:pPr>
      <w:r>
        <w:rPr>
          <w:rFonts w:hint="eastAsia" w:eastAsia="仿宋_GB2312"/>
          <w:sz w:val="32"/>
          <w:szCs w:val="32"/>
        </w:rPr>
        <w:t>组织对2025年度一般公共预算、政府性基金预算、债券资金等全面开展绩效自评，形成攀枝花市公安局部门整体（含部门预算项目）绩效自评报告、攀枝花市智能安全系统项目（天网二期）、天网一期升级改造项目等专项预算项目绩效自评报告，其中，攀枝花市公安局部门整体（含部门预算项目）绩效自评得分为94.76分，绩效自评综述在使用财政预算资金保障人员经费和日常公用经费的同时，合理高效使用各级财政下达的项目资金完成年度公安专项工作。总体绩效持续提升，各项公安工作提质增效，有力确保了全市的平安稳定。</w:t>
      </w:r>
    </w:p>
    <w:p w14:paraId="3110AABE">
      <w:pPr>
        <w:pStyle w:val="5"/>
        <w:spacing w:before="0" w:after="0" w:line="300" w:lineRule="auto"/>
        <w:jc w:val="center"/>
        <w:rPr>
          <w:rFonts w:ascii="方正小标宋_GBK" w:hAnsi="方正小标宋_GBK" w:eastAsia="方正小标宋_GBK" w:cs="方正小标宋_GBK"/>
          <w:b w:val="0"/>
        </w:rPr>
      </w:pPr>
      <w:bookmarkStart w:id="43" w:name="_Toc15377225"/>
      <w:bookmarkStart w:id="44" w:name="_Toc15396613"/>
      <w:r>
        <w:rPr>
          <w:rFonts w:hint="eastAsia" w:ascii="方正小标宋_GBK" w:hAnsi="方正小标宋_GBK" w:eastAsia="方正小标宋_GBK" w:cs="方正小标宋_GBK"/>
          <w:b w:val="0"/>
        </w:rPr>
        <w:t>第三部分 名词解释</w:t>
      </w:r>
      <w:bookmarkEnd w:id="43"/>
      <w:bookmarkEnd w:id="44"/>
    </w:p>
    <w:p w14:paraId="5AA8B83E">
      <w:pPr>
        <w:spacing w:line="600" w:lineRule="exact"/>
        <w:jc w:val="left"/>
        <w:rPr>
          <w:b/>
          <w:sz w:val="44"/>
          <w:szCs w:val="44"/>
        </w:rPr>
      </w:pPr>
    </w:p>
    <w:p w14:paraId="1B42BC43">
      <w:pPr>
        <w:spacing w:line="353" w:lineRule="auto"/>
        <w:ind w:firstLine="640" w:firstLineChars="200"/>
        <w:rPr>
          <w:rFonts w:eastAsia="仿宋_GB2312"/>
          <w:sz w:val="32"/>
          <w:szCs w:val="32"/>
        </w:rPr>
      </w:pPr>
      <w:r>
        <w:rPr>
          <w:rFonts w:hint="eastAsia" w:eastAsia="仿宋_GB2312"/>
          <w:sz w:val="32"/>
          <w:szCs w:val="32"/>
        </w:rPr>
        <w:t>1.财政拨款收入：指单位从同级财政部门取得的财政预算资金。</w:t>
      </w:r>
    </w:p>
    <w:p w14:paraId="63D5716C">
      <w:pPr>
        <w:spacing w:line="353" w:lineRule="auto"/>
        <w:ind w:firstLine="640" w:firstLineChars="200"/>
        <w:rPr>
          <w:rFonts w:eastAsia="仿宋_GB2312"/>
          <w:sz w:val="32"/>
          <w:szCs w:val="32"/>
        </w:rPr>
      </w:pPr>
      <w:r>
        <w:rPr>
          <w:rFonts w:hint="eastAsia" w:eastAsia="仿宋_GB2312"/>
          <w:sz w:val="32"/>
          <w:szCs w:val="32"/>
        </w:rPr>
        <w:t>2.事业收入：指事业单位开展专业业务活动及辅助活动取得的收入。</w:t>
      </w:r>
    </w:p>
    <w:p w14:paraId="53384386">
      <w:pPr>
        <w:spacing w:line="353" w:lineRule="auto"/>
        <w:ind w:firstLine="640" w:firstLineChars="200"/>
        <w:rPr>
          <w:rFonts w:eastAsia="仿宋_GB2312"/>
          <w:sz w:val="32"/>
          <w:szCs w:val="32"/>
        </w:rPr>
      </w:pPr>
      <w:r>
        <w:rPr>
          <w:rFonts w:hint="eastAsia" w:eastAsia="仿宋_GB2312"/>
          <w:sz w:val="32"/>
          <w:szCs w:val="32"/>
        </w:rPr>
        <w:t>3.经营收入：指事业单位在专业业务活动及其辅助活动之外开展非独立核算经营活动取得的收入。</w:t>
      </w:r>
    </w:p>
    <w:p w14:paraId="0C226029">
      <w:pPr>
        <w:spacing w:line="353" w:lineRule="auto"/>
        <w:ind w:firstLine="640" w:firstLineChars="200"/>
        <w:rPr>
          <w:rFonts w:eastAsia="仿宋_GB2312"/>
          <w:sz w:val="32"/>
          <w:szCs w:val="32"/>
        </w:rPr>
      </w:pPr>
      <w:r>
        <w:rPr>
          <w:rFonts w:hint="eastAsia" w:eastAsia="仿宋_GB2312"/>
          <w:sz w:val="32"/>
          <w:szCs w:val="32"/>
        </w:rPr>
        <w:t xml:space="preserve">4.其他收入：指单位取得的除上述收入以外的各项收入。 </w:t>
      </w:r>
    </w:p>
    <w:p w14:paraId="1F279AFB">
      <w:pPr>
        <w:spacing w:line="353" w:lineRule="auto"/>
        <w:ind w:firstLine="640" w:firstLineChars="200"/>
        <w:rPr>
          <w:rFonts w:eastAsia="仿宋_GB2312"/>
          <w:sz w:val="32"/>
          <w:szCs w:val="32"/>
        </w:rPr>
      </w:pPr>
      <w:r>
        <w:rPr>
          <w:rFonts w:hint="eastAsia" w:eastAsia="仿宋_GB2312"/>
          <w:sz w:val="32"/>
          <w:szCs w:val="32"/>
        </w:rPr>
        <w:t xml:space="preserve">5.使用非财政拨款结余（含专用结余）：指事业单位使用以前年度积累的非财政拨款结余弥补当年收支差额的金额。 </w:t>
      </w:r>
    </w:p>
    <w:p w14:paraId="27C74F5A">
      <w:pPr>
        <w:spacing w:line="353" w:lineRule="auto"/>
        <w:ind w:firstLine="640" w:firstLineChars="200"/>
        <w:rPr>
          <w:rFonts w:eastAsia="仿宋_GB2312"/>
          <w:sz w:val="32"/>
          <w:szCs w:val="32"/>
        </w:rPr>
      </w:pPr>
      <w:r>
        <w:rPr>
          <w:rFonts w:hint="eastAsia" w:eastAsia="仿宋_GB2312"/>
          <w:sz w:val="32"/>
          <w:szCs w:val="32"/>
        </w:rPr>
        <w:t xml:space="preserve">6.年初结转和结余：指以前年度尚未完成、结转到本年按有关规定继续使用的资金。 </w:t>
      </w:r>
    </w:p>
    <w:p w14:paraId="1F24C6C5">
      <w:pPr>
        <w:spacing w:line="353" w:lineRule="auto"/>
        <w:ind w:firstLine="640" w:firstLineChars="200"/>
        <w:rPr>
          <w:rFonts w:eastAsia="仿宋_GB2312"/>
          <w:sz w:val="32"/>
          <w:szCs w:val="32"/>
        </w:rPr>
      </w:pPr>
      <w:r>
        <w:rPr>
          <w:rFonts w:hint="eastAsia" w:eastAsia="仿宋_GB2312"/>
          <w:sz w:val="32"/>
          <w:szCs w:val="32"/>
        </w:rPr>
        <w:t>7.结余分配：指事业单位按照会计制度规定缴纳的所得税、提取的专用结余以及转入非财政拨款结余的金额等。</w:t>
      </w:r>
    </w:p>
    <w:p w14:paraId="5C7E155F">
      <w:pPr>
        <w:spacing w:line="353" w:lineRule="auto"/>
        <w:ind w:firstLine="640" w:firstLineChars="200"/>
        <w:rPr>
          <w:rFonts w:eastAsia="仿宋_GB2312"/>
          <w:sz w:val="32"/>
          <w:szCs w:val="32"/>
        </w:rPr>
      </w:pPr>
      <w:r>
        <w:rPr>
          <w:rFonts w:hint="eastAsia" w:eastAsia="仿宋_GB2312"/>
          <w:sz w:val="32"/>
          <w:szCs w:val="32"/>
        </w:rPr>
        <w:t>8.年末结转和结余：指单位按有关规定结转到下年或以后年度继续使用的资金。</w:t>
      </w:r>
    </w:p>
    <w:p w14:paraId="0ACE7ED3">
      <w:pPr>
        <w:spacing w:line="353" w:lineRule="auto"/>
        <w:ind w:firstLine="640" w:firstLineChars="200"/>
        <w:rPr>
          <w:rFonts w:eastAsia="仿宋_GB2312"/>
          <w:sz w:val="32"/>
          <w:szCs w:val="32"/>
        </w:rPr>
      </w:pPr>
      <w:r>
        <w:rPr>
          <w:rFonts w:hint="eastAsia" w:eastAsia="仿宋_GB2312"/>
          <w:sz w:val="32"/>
          <w:szCs w:val="32"/>
        </w:rPr>
        <w:t>9</w:t>
      </w:r>
      <w:r>
        <w:rPr>
          <w:rFonts w:eastAsia="仿宋_GB2312"/>
          <w:sz w:val="32"/>
          <w:szCs w:val="32"/>
        </w:rPr>
        <w:t>.</w:t>
      </w:r>
      <w:r>
        <w:rPr>
          <w:rFonts w:hint="eastAsia" w:eastAsia="仿宋_GB2312"/>
          <w:sz w:val="32"/>
          <w:szCs w:val="32"/>
        </w:rPr>
        <w:t>一般公共服务支出—组织事务—其他组织事务支出：反映除上述项目以外其他用于中国共产党组织部门的事务支出。</w:t>
      </w:r>
    </w:p>
    <w:p w14:paraId="1E6A3079">
      <w:pPr>
        <w:spacing w:line="353" w:lineRule="auto"/>
        <w:ind w:firstLine="640" w:firstLineChars="200"/>
        <w:rPr>
          <w:rFonts w:eastAsia="仿宋_GB2312"/>
          <w:sz w:val="32"/>
          <w:szCs w:val="32"/>
        </w:rPr>
      </w:pPr>
      <w:r>
        <w:rPr>
          <w:rFonts w:hint="eastAsia" w:eastAsia="仿宋_GB2312"/>
          <w:sz w:val="32"/>
          <w:szCs w:val="32"/>
        </w:rPr>
        <w:t>10.一般公共服务（类）政协事务（款）行政运行（项）：反应行政单位（包括实行公务员管理的事业单位）的基本支出。</w:t>
      </w:r>
    </w:p>
    <w:p w14:paraId="5F77D4CC">
      <w:pPr>
        <w:spacing w:line="353" w:lineRule="auto"/>
        <w:ind w:firstLine="640" w:firstLineChars="200"/>
        <w:rPr>
          <w:rFonts w:eastAsia="仿宋_GB2312"/>
          <w:sz w:val="32"/>
          <w:szCs w:val="32"/>
        </w:rPr>
      </w:pPr>
      <w:r>
        <w:rPr>
          <w:rFonts w:hint="eastAsia" w:eastAsia="仿宋_GB2312"/>
          <w:sz w:val="32"/>
          <w:szCs w:val="32"/>
        </w:rPr>
        <w:t>11. 一般公共服务支出（类）人大事务（款）行政运行（项）：反映行政单位（包括实行公务员管理的事业单位）的基本支出。</w:t>
      </w:r>
    </w:p>
    <w:p w14:paraId="33CE5AD3">
      <w:pPr>
        <w:spacing w:line="353" w:lineRule="auto"/>
        <w:ind w:firstLine="640" w:firstLineChars="200"/>
        <w:rPr>
          <w:rFonts w:eastAsia="仿宋_GB2312"/>
          <w:sz w:val="32"/>
          <w:szCs w:val="32"/>
        </w:rPr>
      </w:pPr>
      <w:r>
        <w:rPr>
          <w:rFonts w:hint="eastAsia" w:eastAsia="仿宋_GB2312"/>
          <w:sz w:val="32"/>
          <w:szCs w:val="32"/>
        </w:rPr>
        <w:t>12.公共安全支出—公安—行政运行：反映行政单位（包括实行公务员管理的事业单位）的基本支出。</w:t>
      </w:r>
    </w:p>
    <w:p w14:paraId="59F02682">
      <w:pPr>
        <w:spacing w:line="353" w:lineRule="auto"/>
        <w:ind w:firstLine="640" w:firstLineChars="200"/>
        <w:rPr>
          <w:rFonts w:eastAsia="仿宋_GB2312"/>
          <w:sz w:val="32"/>
          <w:szCs w:val="32"/>
        </w:rPr>
      </w:pPr>
      <w:r>
        <w:rPr>
          <w:rFonts w:hint="eastAsia" w:eastAsia="仿宋_GB2312"/>
          <w:sz w:val="32"/>
          <w:szCs w:val="32"/>
        </w:rPr>
        <w:t>13.公共安全支出—公安—一般行政管理事务：反映行政单位（包括实行公务员管理的事业单位）未单独设置项级科目的其他项目支出。</w:t>
      </w:r>
    </w:p>
    <w:p w14:paraId="47FAB7E8">
      <w:pPr>
        <w:spacing w:line="353" w:lineRule="auto"/>
        <w:ind w:firstLine="640" w:firstLineChars="200"/>
        <w:rPr>
          <w:rFonts w:eastAsia="仿宋_GB2312"/>
          <w:sz w:val="32"/>
          <w:szCs w:val="32"/>
        </w:rPr>
      </w:pPr>
      <w:r>
        <w:rPr>
          <w:rFonts w:hint="eastAsia" w:eastAsia="仿宋_GB2312"/>
          <w:sz w:val="32"/>
          <w:szCs w:val="32"/>
        </w:rPr>
        <w:t>14.公共安全支出—公安—事业运行：反映事业单位的基本支出。</w:t>
      </w:r>
    </w:p>
    <w:p w14:paraId="4FEF5B53">
      <w:pPr>
        <w:spacing w:line="353" w:lineRule="auto"/>
        <w:ind w:firstLine="640" w:firstLineChars="200"/>
        <w:rPr>
          <w:rFonts w:eastAsia="仿宋_GB2312"/>
          <w:sz w:val="32"/>
          <w:szCs w:val="32"/>
        </w:rPr>
      </w:pPr>
      <w:r>
        <w:rPr>
          <w:rFonts w:hint="eastAsia" w:eastAsia="仿宋_GB2312"/>
          <w:sz w:val="32"/>
          <w:szCs w:val="32"/>
        </w:rPr>
        <w:t>15.公共安全支出—公安—其他公安支出：反映项目以外其他用于公安方面的支出。</w:t>
      </w:r>
    </w:p>
    <w:p w14:paraId="78020F7E">
      <w:pPr>
        <w:spacing w:line="353" w:lineRule="auto"/>
        <w:ind w:firstLine="640" w:firstLineChars="200"/>
        <w:rPr>
          <w:rFonts w:eastAsia="仿宋_GB2312"/>
          <w:sz w:val="32"/>
          <w:szCs w:val="32"/>
        </w:rPr>
      </w:pPr>
      <w:r>
        <w:rPr>
          <w:rFonts w:hint="eastAsia" w:eastAsia="仿宋_GB2312"/>
          <w:sz w:val="32"/>
          <w:szCs w:val="32"/>
        </w:rPr>
        <w:t>16.公共安全支出—其他公共安全支出—其他公共安全支出：反映除上述项目以外其他用于公共安全方面的支出。</w:t>
      </w:r>
    </w:p>
    <w:p w14:paraId="18D4178C">
      <w:pPr>
        <w:spacing w:line="353" w:lineRule="auto"/>
        <w:ind w:firstLine="640" w:firstLineChars="200"/>
        <w:rPr>
          <w:rFonts w:eastAsia="仿宋_GB2312"/>
          <w:sz w:val="32"/>
          <w:szCs w:val="32"/>
        </w:rPr>
      </w:pPr>
      <w:r>
        <w:rPr>
          <w:rFonts w:hint="eastAsia" w:eastAsia="仿宋_GB2312"/>
          <w:sz w:val="32"/>
          <w:szCs w:val="32"/>
        </w:rPr>
        <w:t>17.社会保障和就业支出—行政事业单位养老支出—行政单位离退休：反映行政单位（包括实行公务员管理的事业单位）开支的离退休经费。</w:t>
      </w:r>
    </w:p>
    <w:p w14:paraId="047D36D2">
      <w:pPr>
        <w:spacing w:line="353" w:lineRule="auto"/>
        <w:ind w:firstLine="640" w:firstLineChars="200"/>
        <w:rPr>
          <w:rFonts w:eastAsia="仿宋_GB2312"/>
          <w:sz w:val="32"/>
          <w:szCs w:val="32"/>
        </w:rPr>
      </w:pPr>
      <w:r>
        <w:rPr>
          <w:rFonts w:hint="eastAsia" w:eastAsia="仿宋_GB2312"/>
          <w:sz w:val="32"/>
          <w:szCs w:val="32"/>
        </w:rPr>
        <w:t>18.社会保障和就业支出—行政事业单位养老支出—事业单位离退休：反映事业单位开支的离退休经费。</w:t>
      </w:r>
    </w:p>
    <w:p w14:paraId="396D9AAA">
      <w:pPr>
        <w:spacing w:line="353" w:lineRule="auto"/>
        <w:ind w:firstLine="640" w:firstLineChars="200"/>
        <w:rPr>
          <w:rFonts w:eastAsia="仿宋_GB2312"/>
          <w:sz w:val="32"/>
          <w:szCs w:val="32"/>
        </w:rPr>
      </w:pPr>
      <w:r>
        <w:rPr>
          <w:rFonts w:hint="eastAsia" w:eastAsia="仿宋_GB2312"/>
          <w:sz w:val="32"/>
          <w:szCs w:val="32"/>
        </w:rPr>
        <w:t>19.社会保障和就业—行政事业单位养老支出—机关事业单位基本养老保险缴费支出：反映机关事业单位实施养老保险制度由单位缴纳的基本养老保险费支出。</w:t>
      </w:r>
    </w:p>
    <w:p w14:paraId="74E86CB7">
      <w:pPr>
        <w:spacing w:line="353" w:lineRule="auto"/>
        <w:ind w:firstLine="640" w:firstLineChars="200"/>
        <w:rPr>
          <w:rFonts w:eastAsia="仿宋_GB2312"/>
          <w:sz w:val="32"/>
          <w:szCs w:val="32"/>
        </w:rPr>
      </w:pPr>
      <w:r>
        <w:rPr>
          <w:rFonts w:hint="eastAsia" w:eastAsia="仿宋_GB2312"/>
          <w:sz w:val="32"/>
          <w:szCs w:val="32"/>
        </w:rPr>
        <w:t>20.社会保障和就业—行政事业单位养老支出—机关事业单位职业年金缴费支出：反映机关事业单位实施养老保险制度由单位实际缴纳的职业年金支出。</w:t>
      </w:r>
    </w:p>
    <w:p w14:paraId="0811F98A">
      <w:pPr>
        <w:spacing w:line="353" w:lineRule="auto"/>
        <w:ind w:firstLine="640" w:firstLineChars="200"/>
        <w:rPr>
          <w:rFonts w:eastAsia="仿宋_GB2312"/>
          <w:sz w:val="32"/>
          <w:szCs w:val="32"/>
        </w:rPr>
      </w:pPr>
      <w:r>
        <w:rPr>
          <w:rFonts w:hint="eastAsia" w:eastAsia="仿宋_GB2312"/>
          <w:sz w:val="32"/>
          <w:szCs w:val="32"/>
        </w:rPr>
        <w:t>21.社会保障和就业—抚恤—死亡抚恤：反映按规定用于烈士和牺牲、病故人员家属的一次性和定期抚恤金以及丧葬补助费。</w:t>
      </w:r>
    </w:p>
    <w:p w14:paraId="4D2D8E42">
      <w:pPr>
        <w:spacing w:line="353" w:lineRule="auto"/>
        <w:ind w:firstLine="640" w:firstLineChars="200"/>
        <w:rPr>
          <w:rFonts w:eastAsia="仿宋_GB2312"/>
          <w:sz w:val="32"/>
          <w:szCs w:val="32"/>
        </w:rPr>
      </w:pPr>
      <w:r>
        <w:rPr>
          <w:rFonts w:hint="eastAsia" w:eastAsia="仿宋_GB2312"/>
          <w:sz w:val="32"/>
          <w:szCs w:val="32"/>
        </w:rPr>
        <w:t>22.社会保障和就业—抚恤—伤残抚恤：反映按规定用于伤残人员的抚恤金和按规定开支的各种伤残补助费。</w:t>
      </w:r>
    </w:p>
    <w:p w14:paraId="186C036B">
      <w:pPr>
        <w:spacing w:line="353" w:lineRule="auto"/>
        <w:ind w:firstLine="640" w:firstLineChars="200"/>
        <w:rPr>
          <w:rFonts w:eastAsia="仿宋_GB2312"/>
          <w:sz w:val="32"/>
          <w:szCs w:val="32"/>
        </w:rPr>
      </w:pPr>
      <w:r>
        <w:rPr>
          <w:rFonts w:hint="eastAsia" w:eastAsia="仿宋_GB2312"/>
          <w:sz w:val="32"/>
          <w:szCs w:val="32"/>
        </w:rPr>
        <w:t>23.社会保障和就业—社会福利—儿童福利：反映对儿童提供福利服务方面的支出。</w:t>
      </w:r>
    </w:p>
    <w:p w14:paraId="6834DAC2">
      <w:pPr>
        <w:spacing w:line="353" w:lineRule="auto"/>
        <w:ind w:firstLine="640" w:firstLineChars="200"/>
        <w:rPr>
          <w:rFonts w:eastAsia="仿宋_GB2312"/>
          <w:sz w:val="32"/>
          <w:szCs w:val="32"/>
        </w:rPr>
      </w:pPr>
      <w:r>
        <w:rPr>
          <w:rFonts w:hint="eastAsia" w:eastAsia="仿宋_GB2312"/>
          <w:sz w:val="32"/>
          <w:szCs w:val="32"/>
        </w:rPr>
        <w:t>24.卫生健康支出—公共卫生—重大公共卫生服务：反映重大疾病、重大传染病预防控制等重大公共卫生服务项目支出。</w:t>
      </w:r>
    </w:p>
    <w:p w14:paraId="342F951D">
      <w:pPr>
        <w:spacing w:line="353" w:lineRule="auto"/>
        <w:ind w:firstLine="640" w:firstLineChars="200"/>
        <w:rPr>
          <w:rFonts w:eastAsia="仿宋_GB2312"/>
          <w:sz w:val="32"/>
          <w:szCs w:val="32"/>
        </w:rPr>
      </w:pPr>
      <w:r>
        <w:rPr>
          <w:rFonts w:hint="eastAsia" w:eastAsia="仿宋_GB2312"/>
          <w:sz w:val="32"/>
          <w:szCs w:val="32"/>
        </w:rPr>
        <w:t>25.卫生健康支出—行政事业单位医疗—行政单位医疗：反映财政部门安排的行政单位（包括实行公务员管理的事业单位，下同）基本医疗保险缴费经费，未参加医疗保险的行政单位的公费医疗经费，按国家规定享受离休人员、红军老战士待遇的人员的医疗经费。</w:t>
      </w:r>
    </w:p>
    <w:p w14:paraId="1EDD6D0F">
      <w:pPr>
        <w:spacing w:line="353" w:lineRule="auto"/>
        <w:ind w:firstLine="640" w:firstLineChars="200"/>
        <w:rPr>
          <w:rFonts w:eastAsia="仿宋_GB2312"/>
          <w:sz w:val="32"/>
          <w:szCs w:val="32"/>
        </w:rPr>
      </w:pPr>
      <w:r>
        <w:rPr>
          <w:rFonts w:hint="eastAsia" w:eastAsia="仿宋_GB2312"/>
          <w:sz w:val="32"/>
          <w:szCs w:val="32"/>
        </w:rPr>
        <w:t>26.卫生健康支出—行政事业单位医疗—事业单位医疗：反映财政部门安排的事业单位基本医疗保险缴费经费，未参加医疗保险的行政单位的公费医疗经费，按国家规定享受离休人员待遇的人员的医疗经费。</w:t>
      </w:r>
    </w:p>
    <w:p w14:paraId="457FFFAB">
      <w:pPr>
        <w:spacing w:line="353" w:lineRule="auto"/>
        <w:ind w:firstLine="640" w:firstLineChars="200"/>
        <w:rPr>
          <w:rFonts w:eastAsia="仿宋_GB2312"/>
          <w:sz w:val="32"/>
          <w:szCs w:val="32"/>
        </w:rPr>
      </w:pPr>
      <w:r>
        <w:rPr>
          <w:rFonts w:hint="eastAsia" w:eastAsia="仿宋_GB2312"/>
          <w:sz w:val="32"/>
          <w:szCs w:val="32"/>
        </w:rPr>
        <w:t>27.卫生健康支出—行政事业单位医疗—公务员医疗补助：反映财政部门安排的公务员医疗补助经费。</w:t>
      </w:r>
    </w:p>
    <w:p w14:paraId="7DDBD52E">
      <w:pPr>
        <w:spacing w:line="353" w:lineRule="auto"/>
        <w:ind w:firstLine="640" w:firstLineChars="200"/>
        <w:rPr>
          <w:rFonts w:eastAsia="仿宋_GB2312"/>
          <w:sz w:val="32"/>
          <w:szCs w:val="32"/>
        </w:rPr>
      </w:pPr>
      <w:r>
        <w:rPr>
          <w:rFonts w:hint="eastAsia" w:eastAsia="仿宋_GB2312"/>
          <w:sz w:val="32"/>
          <w:szCs w:val="32"/>
        </w:rPr>
        <w:t>28.卫生健康支出—行政事业单位医疗—其他行政事业单位医疗支出：反映上述项目以外的其他用于行政事业单位医疗方面的支出。</w:t>
      </w:r>
    </w:p>
    <w:p w14:paraId="7867991A">
      <w:pPr>
        <w:spacing w:line="353" w:lineRule="auto"/>
        <w:ind w:firstLine="640" w:firstLineChars="200"/>
        <w:rPr>
          <w:rFonts w:eastAsia="仿宋_GB2312"/>
          <w:sz w:val="32"/>
          <w:szCs w:val="32"/>
        </w:rPr>
      </w:pPr>
      <w:r>
        <w:rPr>
          <w:rFonts w:hint="eastAsia" w:eastAsia="仿宋_GB2312"/>
          <w:sz w:val="32"/>
          <w:szCs w:val="32"/>
        </w:rPr>
        <w:t>29.卫生健康支出—其他卫生健康支出—其他卫生健康支出：反映除上述项目以外其他用于卫生健康方面的支出。</w:t>
      </w:r>
    </w:p>
    <w:p w14:paraId="60F2A6FC">
      <w:pPr>
        <w:spacing w:line="353" w:lineRule="auto"/>
        <w:ind w:firstLine="640" w:firstLineChars="200"/>
        <w:rPr>
          <w:rFonts w:eastAsia="仿宋_GB2312"/>
          <w:sz w:val="32"/>
          <w:szCs w:val="32"/>
        </w:rPr>
      </w:pPr>
      <w:r>
        <w:rPr>
          <w:rFonts w:hint="eastAsia" w:eastAsia="仿宋_GB2312"/>
          <w:sz w:val="32"/>
          <w:szCs w:val="32"/>
        </w:rPr>
        <w:t>30.城乡社区支出—城乡社区公共设施—其他城区社区公共设施支出：反映除上述项目以外其他用于城乡社区公共设施方面的支出。</w:t>
      </w:r>
    </w:p>
    <w:p w14:paraId="69EE2920">
      <w:pPr>
        <w:spacing w:line="353" w:lineRule="auto"/>
        <w:ind w:firstLine="640" w:firstLineChars="200"/>
        <w:rPr>
          <w:rFonts w:eastAsia="仿宋_GB2312"/>
          <w:sz w:val="32"/>
          <w:szCs w:val="32"/>
        </w:rPr>
      </w:pPr>
      <w:r>
        <w:rPr>
          <w:rFonts w:hint="eastAsia" w:eastAsia="仿宋_GB2312"/>
          <w:sz w:val="32"/>
          <w:szCs w:val="32"/>
        </w:rPr>
        <w:t>31.农林水支出—农业农村—其他农业农村支出：反映除上述项目以外其他用于农业农村方面的支出。</w:t>
      </w:r>
    </w:p>
    <w:p w14:paraId="56C0103B">
      <w:pPr>
        <w:spacing w:line="353" w:lineRule="auto"/>
        <w:ind w:firstLine="640" w:firstLineChars="200"/>
        <w:rPr>
          <w:rFonts w:eastAsia="仿宋_GB2312"/>
          <w:sz w:val="32"/>
          <w:szCs w:val="32"/>
        </w:rPr>
      </w:pPr>
      <w:r>
        <w:rPr>
          <w:rFonts w:hint="eastAsia" w:eastAsia="仿宋_GB2312"/>
          <w:sz w:val="32"/>
          <w:szCs w:val="32"/>
        </w:rPr>
        <w:t>32.住房保障支出—住房改革支出—住房公积金：反映行政事业单位按人力资源和社会保障部、财政部规定的基本工资和津补贴以及规定比例为职工缴纳的住房公积金。</w:t>
      </w:r>
    </w:p>
    <w:p w14:paraId="43A4AF65">
      <w:pPr>
        <w:spacing w:line="353" w:lineRule="auto"/>
        <w:ind w:firstLine="640" w:firstLineChars="200"/>
        <w:rPr>
          <w:rFonts w:eastAsia="仿宋_GB2312"/>
          <w:sz w:val="32"/>
          <w:szCs w:val="32"/>
        </w:rPr>
      </w:pPr>
      <w:r>
        <w:rPr>
          <w:rFonts w:hint="eastAsia" w:eastAsia="仿宋_GB2312"/>
          <w:sz w:val="32"/>
          <w:szCs w:val="32"/>
        </w:rPr>
        <w:t>33</w:t>
      </w:r>
      <w:r>
        <w:rPr>
          <w:rFonts w:eastAsia="仿宋_GB2312"/>
          <w:sz w:val="32"/>
          <w:szCs w:val="32"/>
        </w:rPr>
        <w:t>.</w:t>
      </w:r>
      <w:r>
        <w:rPr>
          <w:rFonts w:hint="eastAsia" w:eastAsia="仿宋_GB2312"/>
          <w:sz w:val="32"/>
          <w:szCs w:val="32"/>
        </w:rPr>
        <w:t>基本支出：指为保障机构正常运转、完成日常工作任务而发生的人员支出和公用支出。</w:t>
      </w:r>
    </w:p>
    <w:p w14:paraId="45D859C3">
      <w:pPr>
        <w:spacing w:line="353" w:lineRule="auto"/>
        <w:ind w:firstLine="640" w:firstLineChars="200"/>
        <w:rPr>
          <w:rFonts w:eastAsia="仿宋_GB2312"/>
          <w:sz w:val="32"/>
          <w:szCs w:val="32"/>
        </w:rPr>
      </w:pPr>
      <w:r>
        <w:rPr>
          <w:rFonts w:hint="eastAsia" w:eastAsia="仿宋_GB2312"/>
          <w:sz w:val="32"/>
          <w:szCs w:val="32"/>
        </w:rPr>
        <w:t>34</w:t>
      </w:r>
      <w:r>
        <w:rPr>
          <w:rFonts w:eastAsia="仿宋_GB2312"/>
          <w:sz w:val="32"/>
          <w:szCs w:val="32"/>
        </w:rPr>
        <w:t>.</w:t>
      </w:r>
      <w:r>
        <w:rPr>
          <w:rFonts w:hint="eastAsia" w:eastAsia="仿宋_GB2312"/>
          <w:sz w:val="32"/>
          <w:szCs w:val="32"/>
        </w:rPr>
        <w:t>项目支出：指在基本支出之外为完成特定行政任务和事业发展目标所发生的支出。</w:t>
      </w:r>
    </w:p>
    <w:p w14:paraId="629500E2">
      <w:pPr>
        <w:spacing w:line="353" w:lineRule="auto"/>
        <w:ind w:firstLine="640" w:firstLineChars="200"/>
        <w:rPr>
          <w:rFonts w:eastAsia="仿宋_GB2312"/>
          <w:sz w:val="32"/>
          <w:szCs w:val="32"/>
        </w:rPr>
      </w:pPr>
      <w:r>
        <w:rPr>
          <w:rFonts w:hint="eastAsia" w:eastAsia="仿宋_GB2312"/>
          <w:sz w:val="32"/>
          <w:szCs w:val="32"/>
        </w:rPr>
        <w:t>35</w:t>
      </w:r>
      <w:r>
        <w:rPr>
          <w:rFonts w:eastAsia="仿宋_GB2312"/>
          <w:sz w:val="32"/>
          <w:szCs w:val="32"/>
        </w:rPr>
        <w:t>.</w:t>
      </w:r>
      <w:r>
        <w:rPr>
          <w:rFonts w:hint="eastAsia"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903320F">
      <w:pPr>
        <w:spacing w:line="353" w:lineRule="auto"/>
        <w:ind w:firstLine="640" w:firstLineChars="200"/>
        <w:rPr>
          <w:rFonts w:eastAsia="仿宋_GB2312"/>
          <w:sz w:val="32"/>
          <w:szCs w:val="32"/>
        </w:rPr>
      </w:pPr>
      <w:r>
        <w:rPr>
          <w:rFonts w:hint="eastAsia" w:eastAsia="仿宋_GB2312"/>
          <w:sz w:val="32"/>
          <w:szCs w:val="32"/>
        </w:rPr>
        <w:t>36</w:t>
      </w:r>
      <w:r>
        <w:rPr>
          <w:rFonts w:eastAsia="仿宋_GB2312"/>
          <w:sz w:val="32"/>
          <w:szCs w:val="32"/>
        </w:rPr>
        <w:t>.</w:t>
      </w:r>
      <w:r>
        <w:rPr>
          <w:rFonts w:hint="eastAsia"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6F49BF1">
      <w:pPr>
        <w:spacing w:line="353" w:lineRule="auto"/>
        <w:ind w:firstLine="640" w:firstLineChars="200"/>
        <w:rPr>
          <w:rFonts w:eastAsia="仿宋_GB2312"/>
          <w:sz w:val="32"/>
          <w:szCs w:val="32"/>
        </w:rPr>
      </w:pPr>
      <w:r>
        <w:rPr>
          <w:rFonts w:hint="eastAsia" w:eastAsia="仿宋_GB2312"/>
          <w:sz w:val="32"/>
          <w:szCs w:val="32"/>
        </w:rPr>
        <w:t>37.基本支出：指为保障机构正常运转、完成日常工作任务而发生的人员支出和公用支出。</w:t>
      </w:r>
    </w:p>
    <w:p w14:paraId="1FE1D950">
      <w:pPr>
        <w:spacing w:line="353" w:lineRule="auto"/>
        <w:ind w:firstLine="640" w:firstLineChars="200"/>
        <w:rPr>
          <w:rFonts w:eastAsia="仿宋_GB2312"/>
          <w:sz w:val="32"/>
          <w:szCs w:val="32"/>
        </w:rPr>
      </w:pPr>
      <w:r>
        <w:rPr>
          <w:rFonts w:hint="eastAsia" w:eastAsia="仿宋_GB2312"/>
          <w:sz w:val="32"/>
          <w:szCs w:val="32"/>
        </w:rPr>
        <w:t xml:space="preserve">38.项目支出：指在基本支出之外为完成特定行政任务和事业发展目标所发生的支出。 </w:t>
      </w:r>
    </w:p>
    <w:p w14:paraId="124008CC">
      <w:pPr>
        <w:spacing w:line="353" w:lineRule="auto"/>
        <w:ind w:firstLine="640" w:firstLineChars="200"/>
        <w:rPr>
          <w:rFonts w:eastAsia="仿宋_GB2312"/>
          <w:sz w:val="32"/>
          <w:szCs w:val="32"/>
        </w:rPr>
      </w:pPr>
      <w:r>
        <w:rPr>
          <w:rFonts w:hint="eastAsia" w:eastAsia="仿宋_GB2312"/>
          <w:sz w:val="32"/>
          <w:szCs w:val="32"/>
        </w:rPr>
        <w:t>39.经营支出：指事业单位在专业业务活动及其辅助活动之外开展非独立核算经营活动发生的支出。</w:t>
      </w:r>
    </w:p>
    <w:p w14:paraId="596D3C98">
      <w:pPr>
        <w:spacing w:line="353" w:lineRule="auto"/>
        <w:ind w:firstLine="640" w:firstLineChars="200"/>
        <w:rPr>
          <w:rFonts w:eastAsia="仿宋_GB2312"/>
          <w:sz w:val="32"/>
          <w:szCs w:val="32"/>
        </w:rPr>
      </w:pPr>
      <w:r>
        <w:rPr>
          <w:rFonts w:hint="eastAsia" w:eastAsia="仿宋_GB2312"/>
          <w:sz w:val="32"/>
          <w:szCs w:val="32"/>
        </w:rPr>
        <w:t>40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3BC7DAB">
      <w:pPr>
        <w:spacing w:line="353" w:lineRule="auto"/>
        <w:ind w:firstLine="640" w:firstLineChars="200"/>
        <w:rPr>
          <w:rFonts w:eastAsia="仿宋_GB2312"/>
          <w:sz w:val="32"/>
          <w:szCs w:val="32"/>
          <w:highlight w:val="yellow"/>
        </w:rPr>
      </w:pPr>
      <w:r>
        <w:rPr>
          <w:rFonts w:hint="eastAsia" w:eastAsia="仿宋_GB2312"/>
          <w:sz w:val="32"/>
          <w:szCs w:val="32"/>
        </w:rPr>
        <w:t>41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9C0718F">
      <w:pPr>
        <w:spacing w:line="572" w:lineRule="exact"/>
        <w:jc w:val="left"/>
        <w:outlineLvl w:val="0"/>
        <w:rPr>
          <w:rFonts w:eastAsia="仿宋_GB2312"/>
          <w:sz w:val="32"/>
          <w:szCs w:val="32"/>
        </w:rPr>
      </w:pPr>
      <w:bookmarkStart w:id="45" w:name="_Toc15396614"/>
      <w:bookmarkStart w:id="46" w:name="_Toc15377226"/>
    </w:p>
    <w:p w14:paraId="0677DA72">
      <w:pPr>
        <w:spacing w:line="572" w:lineRule="exact"/>
        <w:jc w:val="left"/>
        <w:outlineLvl w:val="0"/>
        <w:rPr>
          <w:rFonts w:eastAsia="仿宋_GB2312"/>
          <w:sz w:val="32"/>
          <w:szCs w:val="32"/>
        </w:rPr>
      </w:pPr>
    </w:p>
    <w:p w14:paraId="2CA81C4C">
      <w:pPr>
        <w:spacing w:line="572" w:lineRule="exact"/>
        <w:jc w:val="left"/>
        <w:outlineLvl w:val="0"/>
        <w:rPr>
          <w:rFonts w:eastAsia="仿宋_GB2312"/>
          <w:sz w:val="32"/>
          <w:szCs w:val="32"/>
        </w:rPr>
      </w:pPr>
    </w:p>
    <w:p w14:paraId="59156C55">
      <w:pPr>
        <w:spacing w:line="572" w:lineRule="exact"/>
        <w:jc w:val="left"/>
        <w:outlineLvl w:val="0"/>
        <w:rPr>
          <w:rFonts w:eastAsia="仿宋_GB2312"/>
          <w:sz w:val="32"/>
          <w:szCs w:val="32"/>
        </w:rPr>
      </w:pPr>
    </w:p>
    <w:p w14:paraId="477C197A">
      <w:pPr>
        <w:spacing w:line="572" w:lineRule="exact"/>
        <w:jc w:val="left"/>
        <w:outlineLvl w:val="0"/>
        <w:rPr>
          <w:rFonts w:eastAsia="仿宋_GB2312"/>
          <w:sz w:val="32"/>
          <w:szCs w:val="32"/>
        </w:rPr>
      </w:pPr>
    </w:p>
    <w:p w14:paraId="6EA49DCB">
      <w:pPr>
        <w:spacing w:line="572" w:lineRule="exact"/>
        <w:jc w:val="left"/>
        <w:outlineLvl w:val="0"/>
        <w:rPr>
          <w:rFonts w:eastAsia="仿宋_GB2312"/>
          <w:sz w:val="32"/>
          <w:szCs w:val="32"/>
        </w:rPr>
      </w:pPr>
    </w:p>
    <w:p w14:paraId="1E54D340">
      <w:pPr>
        <w:spacing w:line="572" w:lineRule="exact"/>
        <w:jc w:val="left"/>
        <w:outlineLvl w:val="0"/>
        <w:rPr>
          <w:rFonts w:eastAsia="仿宋_GB2312"/>
          <w:sz w:val="32"/>
          <w:szCs w:val="32"/>
        </w:rPr>
      </w:pPr>
    </w:p>
    <w:p w14:paraId="294D9AE9">
      <w:pPr>
        <w:spacing w:line="572" w:lineRule="exact"/>
        <w:jc w:val="left"/>
        <w:outlineLvl w:val="0"/>
        <w:rPr>
          <w:rFonts w:eastAsia="仿宋_GB2312"/>
          <w:sz w:val="32"/>
          <w:szCs w:val="32"/>
        </w:rPr>
      </w:pPr>
    </w:p>
    <w:p w14:paraId="7CDBE86E">
      <w:pPr>
        <w:spacing w:line="572" w:lineRule="exact"/>
        <w:jc w:val="left"/>
        <w:outlineLvl w:val="0"/>
        <w:rPr>
          <w:rFonts w:eastAsia="仿宋_GB2312"/>
          <w:sz w:val="32"/>
          <w:szCs w:val="32"/>
        </w:rPr>
      </w:pPr>
    </w:p>
    <w:p w14:paraId="6B142239">
      <w:pPr>
        <w:spacing w:line="572" w:lineRule="exact"/>
        <w:jc w:val="left"/>
        <w:outlineLvl w:val="0"/>
        <w:rPr>
          <w:rFonts w:eastAsia="仿宋_GB2312"/>
          <w:sz w:val="32"/>
          <w:szCs w:val="32"/>
        </w:rPr>
      </w:pPr>
    </w:p>
    <w:p w14:paraId="3041B684">
      <w:pPr>
        <w:spacing w:line="572" w:lineRule="exact"/>
        <w:jc w:val="left"/>
        <w:outlineLvl w:val="0"/>
        <w:rPr>
          <w:rFonts w:eastAsia="仿宋_GB2312"/>
          <w:sz w:val="32"/>
          <w:szCs w:val="32"/>
        </w:rPr>
      </w:pPr>
    </w:p>
    <w:p w14:paraId="6E39572B">
      <w:pPr>
        <w:spacing w:line="572" w:lineRule="exact"/>
        <w:jc w:val="left"/>
        <w:outlineLvl w:val="0"/>
        <w:rPr>
          <w:rFonts w:eastAsia="仿宋_GB2312"/>
          <w:sz w:val="32"/>
          <w:szCs w:val="32"/>
        </w:rPr>
      </w:pPr>
    </w:p>
    <w:p w14:paraId="57B6FDFF">
      <w:pPr>
        <w:spacing w:line="572" w:lineRule="exact"/>
        <w:jc w:val="left"/>
        <w:outlineLvl w:val="0"/>
        <w:rPr>
          <w:rFonts w:eastAsia="仿宋_GB2312"/>
          <w:sz w:val="32"/>
          <w:szCs w:val="32"/>
        </w:rPr>
      </w:pPr>
    </w:p>
    <w:p w14:paraId="090ED3BD">
      <w:pPr>
        <w:spacing w:line="572" w:lineRule="exact"/>
        <w:jc w:val="left"/>
        <w:outlineLvl w:val="0"/>
        <w:rPr>
          <w:rFonts w:eastAsia="仿宋_GB2312"/>
          <w:sz w:val="32"/>
          <w:szCs w:val="32"/>
        </w:rPr>
      </w:pPr>
    </w:p>
    <w:p w14:paraId="4F30B657">
      <w:pPr>
        <w:spacing w:line="572" w:lineRule="exact"/>
        <w:jc w:val="left"/>
        <w:outlineLvl w:val="0"/>
        <w:rPr>
          <w:rFonts w:eastAsia="仿宋_GB2312"/>
          <w:sz w:val="32"/>
          <w:szCs w:val="32"/>
        </w:rPr>
      </w:pPr>
    </w:p>
    <w:p w14:paraId="230E6BCB">
      <w:pPr>
        <w:spacing w:line="353" w:lineRule="auto"/>
        <w:jc w:val="center"/>
        <w:rPr>
          <w:rFonts w:eastAsia="黑体" w:cs="黑体"/>
          <w:color w:val="FF0000"/>
          <w:sz w:val="32"/>
          <w:szCs w:val="32"/>
        </w:rPr>
      </w:pPr>
      <w:r>
        <w:rPr>
          <w:rFonts w:hint="eastAsia" w:ascii="方正小标宋_GBK" w:hAnsi="方正小标宋_GBK" w:eastAsia="方正小标宋_GBK" w:cs="方正小标宋_GBK"/>
          <w:bCs/>
          <w:kern w:val="44"/>
          <w:sz w:val="44"/>
          <w:szCs w:val="44"/>
        </w:rPr>
        <w:t>第四部分 附件</w:t>
      </w:r>
      <w:bookmarkEnd w:id="45"/>
    </w:p>
    <w:p w14:paraId="2CC78F0C">
      <w:pPr>
        <w:widowControl/>
        <w:spacing w:line="578" w:lineRule="exact"/>
        <w:contextualSpacing/>
        <w:jc w:val="center"/>
        <w:rPr>
          <w:rFonts w:eastAsia="方正小标宋简体"/>
          <w:bCs/>
          <w:sz w:val="44"/>
          <w:szCs w:val="44"/>
          <w:shd w:val="clear" w:color="auto" w:fill="FFFFFF"/>
        </w:rPr>
      </w:pPr>
    </w:p>
    <w:p w14:paraId="6320AEA8">
      <w:pPr>
        <w:widowControl/>
        <w:adjustRightInd w:val="0"/>
        <w:snapToGrid w:val="0"/>
        <w:spacing w:line="300" w:lineRule="auto"/>
        <w:jc w:val="center"/>
        <w:rPr>
          <w:rFonts w:eastAsia="方正小标宋_GBK"/>
          <w:bCs/>
          <w:sz w:val="44"/>
          <w:szCs w:val="44"/>
          <w:shd w:val="clear" w:color="auto" w:fill="FFFFFF"/>
        </w:rPr>
      </w:pPr>
      <w:r>
        <w:rPr>
          <w:rFonts w:hAnsi="方正小标宋_GBK" w:eastAsia="方正小标宋_GBK"/>
          <w:bCs/>
          <w:sz w:val="44"/>
          <w:szCs w:val="44"/>
          <w:shd w:val="clear" w:color="auto" w:fill="FFFFFF"/>
        </w:rPr>
        <w:t>攀枝花市公安局</w:t>
      </w:r>
    </w:p>
    <w:p w14:paraId="7DB65A4C">
      <w:pPr>
        <w:widowControl/>
        <w:adjustRightInd w:val="0"/>
        <w:snapToGrid w:val="0"/>
        <w:spacing w:line="300" w:lineRule="auto"/>
        <w:jc w:val="center"/>
        <w:rPr>
          <w:sz w:val="44"/>
          <w:szCs w:val="44"/>
          <w:highlight w:val="yellow"/>
        </w:rPr>
      </w:pPr>
      <w:r>
        <w:rPr>
          <w:rFonts w:eastAsia="方正小标宋_GBK"/>
          <w:bCs/>
          <w:sz w:val="44"/>
          <w:szCs w:val="44"/>
          <w:shd w:val="clear" w:color="auto" w:fill="FFFFFF"/>
        </w:rPr>
        <w:t>202</w:t>
      </w:r>
      <w:r>
        <w:rPr>
          <w:rFonts w:hint="eastAsia" w:eastAsia="方正小标宋_GBK"/>
          <w:bCs/>
          <w:sz w:val="44"/>
          <w:szCs w:val="44"/>
          <w:shd w:val="clear" w:color="auto" w:fill="FFFFFF"/>
        </w:rPr>
        <w:t>5</w:t>
      </w:r>
      <w:r>
        <w:rPr>
          <w:rFonts w:hAnsi="方正小标宋_GBK" w:eastAsia="方正小标宋_GBK"/>
          <w:bCs/>
          <w:sz w:val="44"/>
          <w:szCs w:val="44"/>
          <w:shd w:val="clear" w:color="auto" w:fill="FFFFFF"/>
        </w:rPr>
        <w:t>年度部门整体支出绩效自评报告</w:t>
      </w:r>
    </w:p>
    <w:p w14:paraId="26324927">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14:paraId="1128C435">
      <w:pPr>
        <w:widowControl/>
        <w:adjustRightInd w:val="0"/>
        <w:snapToGrid w:val="0"/>
        <w:spacing w:line="353" w:lineRule="auto"/>
        <w:ind w:firstLine="640" w:firstLineChars="200"/>
        <w:jc w:val="left"/>
        <w:rPr>
          <w:rFonts w:eastAsia="黑体"/>
          <w:sz w:val="32"/>
          <w:szCs w:val="32"/>
        </w:rPr>
      </w:pPr>
      <w:r>
        <w:rPr>
          <w:rFonts w:hAnsi="黑体" w:eastAsia="黑体"/>
          <w:color w:val="000000"/>
          <w:kern w:val="0"/>
          <w:sz w:val="32"/>
          <w:szCs w:val="32"/>
          <w:shd w:val="clear" w:color="auto" w:fill="FFFFFF"/>
          <w:lang w:val="zh-CN"/>
        </w:rPr>
        <w:t>一、部门（单位）基本情况</w:t>
      </w:r>
    </w:p>
    <w:p w14:paraId="76E936BD">
      <w:pPr>
        <w:widowControl/>
        <w:adjustRightInd w:val="0"/>
        <w:snapToGrid w:val="0"/>
        <w:spacing w:line="353" w:lineRule="auto"/>
        <w:ind w:firstLine="640" w:firstLineChars="200"/>
        <w:jc w:val="left"/>
        <w:rPr>
          <w:rFonts w:eastAsia="仿宋_GB2312"/>
          <w:sz w:val="32"/>
          <w:szCs w:val="32"/>
        </w:rPr>
      </w:pPr>
      <w:r>
        <w:rPr>
          <w:rFonts w:eastAsia="楷体_GB2312"/>
          <w:bCs/>
          <w:color w:val="000000"/>
          <w:kern w:val="0"/>
          <w:sz w:val="32"/>
          <w:szCs w:val="32"/>
          <w:shd w:val="clear" w:color="auto" w:fill="FFFFFF"/>
          <w:lang w:val="zh-CN"/>
        </w:rPr>
        <w:t>（一）机构组成。</w:t>
      </w:r>
      <w:r>
        <w:rPr>
          <w:rFonts w:eastAsia="仿宋_GB2312"/>
          <w:sz w:val="32"/>
          <w:szCs w:val="32"/>
        </w:rPr>
        <w:t>攀枝花市公安局部门包含二级预算单位4个。其中：攀枝花市公安局本级下设机场分局、监管支队、钒钛高新区分局、支队、科等37个部门，与上年相比，无变化。东区分局下设科、室、所、队19个部门，为市财政二级预算单位,执行行政事业单位会计制度。西区分局下设科、室、所、队18个部门，为市财政二级预算单位,执行行政事业单位会计制度。攀枝花市公安局仁和区分局为市级财政二级预算单位，下设科、室、所、队25个，执行行政事业单位会计制度。</w:t>
      </w:r>
    </w:p>
    <w:p w14:paraId="11205BE3">
      <w:pPr>
        <w:widowControl/>
        <w:adjustRightInd w:val="0"/>
        <w:snapToGrid w:val="0"/>
        <w:spacing w:line="353" w:lineRule="auto"/>
        <w:ind w:firstLine="640" w:firstLineChars="200"/>
        <w:jc w:val="left"/>
        <w:rPr>
          <w:rFonts w:eastAsia="仿宋_GB2312"/>
          <w:b/>
          <w:bCs/>
          <w:color w:val="000000"/>
          <w:kern w:val="0"/>
          <w:sz w:val="32"/>
          <w:szCs w:val="32"/>
          <w:shd w:val="clear" w:color="auto" w:fill="FFFFFF"/>
          <w:lang w:val="zh-CN"/>
        </w:rPr>
      </w:pPr>
      <w:r>
        <w:rPr>
          <w:rFonts w:eastAsia="楷体_GB2312"/>
          <w:bCs/>
          <w:color w:val="000000"/>
          <w:kern w:val="0"/>
          <w:sz w:val="32"/>
          <w:szCs w:val="32"/>
          <w:shd w:val="clear" w:color="auto" w:fill="FFFFFF"/>
          <w:lang w:val="zh-CN"/>
        </w:rPr>
        <w:t>（二）机构职能。</w:t>
      </w:r>
      <w:r>
        <w:rPr>
          <w:rFonts w:eastAsia="仿宋_GB2312"/>
          <w:sz w:val="32"/>
          <w:szCs w:val="32"/>
        </w:rPr>
        <w:t>贯彻执行党和国家关于公安工作的路线、方针、政策和法律法规；预防、制止和侦查违法犯罪活动；维护社会治安秩序，制止危害社会治安秩序的行为；指导、检查、监督本辖区公安机关的执法活动；依法管理户口、居民身份证、枪支弹药、管制刀具和易燃易爆、剧毒、放射性等危险物品和特种待业的管理工作；依法管理集会、游行、示威活动；承办政府和上级公安机关交办的其他事项。</w:t>
      </w:r>
    </w:p>
    <w:p w14:paraId="1DF666EE">
      <w:pPr>
        <w:snapToGrid w:val="0"/>
        <w:spacing w:line="353" w:lineRule="auto"/>
        <w:ind w:firstLine="640" w:firstLineChars="200"/>
        <w:jc w:val="left"/>
        <w:rPr>
          <w:rFonts w:eastAsia="仿宋_GB2312"/>
          <w:sz w:val="32"/>
          <w:szCs w:val="32"/>
        </w:rPr>
      </w:pPr>
      <w:r>
        <w:rPr>
          <w:rFonts w:eastAsia="楷体_GB2312"/>
          <w:bCs/>
          <w:color w:val="000000"/>
          <w:kern w:val="0"/>
          <w:sz w:val="32"/>
          <w:szCs w:val="32"/>
          <w:shd w:val="clear" w:color="auto" w:fill="FFFFFF"/>
          <w:lang w:val="zh-CN"/>
        </w:rPr>
        <w:t>（三）人员概况。</w:t>
      </w:r>
      <w:r>
        <w:rPr>
          <w:rFonts w:eastAsia="仿宋_GB2312"/>
          <w:sz w:val="32"/>
          <w:szCs w:val="32"/>
        </w:rPr>
        <w:t>攀枝花市公安局本级2025年末人员总数为1451人；其中在职人员703人，离休人员1人，退休人员399人。“110接警台”、“天网监控”、“留置看护”、钒钛高新区分局签订合同实有辅警人员348人。东区分局2025年末人员772人。在职人员452人，退休人员320人。今年共招录新警35人，外单位调入1人，退休21人，调出2人，辞退1人，退休人员去世4人。西区分局2025年末人员458人。其中：在职人员286人，退休人员172人。今年共招录新警20人，退休6人，调出2人，死亡2人。攀枝花市公安局仁和区分局2025年末编制人数343人，实有在职人员343人，其中公务员339人、工勤3人、按86号文聘用1人，退休人员93人。</w:t>
      </w:r>
    </w:p>
    <w:p w14:paraId="5923CB23">
      <w:pPr>
        <w:widowControl/>
        <w:adjustRightInd w:val="0"/>
        <w:snapToGrid w:val="0"/>
        <w:spacing w:line="353" w:lineRule="auto"/>
        <w:ind w:firstLine="640" w:firstLineChars="200"/>
        <w:jc w:val="left"/>
        <w:rPr>
          <w:rFonts w:eastAsia="黑体"/>
          <w:color w:val="000000"/>
          <w:kern w:val="0"/>
          <w:sz w:val="32"/>
          <w:szCs w:val="32"/>
          <w:shd w:val="clear" w:color="auto" w:fill="FFFFFF"/>
        </w:rPr>
      </w:pPr>
      <w:r>
        <w:rPr>
          <w:rFonts w:hAnsi="黑体" w:eastAsia="黑体"/>
          <w:color w:val="000000"/>
          <w:kern w:val="0"/>
          <w:sz w:val="32"/>
          <w:szCs w:val="32"/>
          <w:shd w:val="clear" w:color="auto" w:fill="FFFFFF"/>
        </w:rPr>
        <w:t>二、部门资金收支情况</w:t>
      </w:r>
    </w:p>
    <w:p w14:paraId="69061151">
      <w:pPr>
        <w:snapToGrid w:val="0"/>
        <w:spacing w:line="353" w:lineRule="auto"/>
        <w:ind w:firstLine="640" w:firstLineChars="200"/>
        <w:jc w:val="left"/>
        <w:rPr>
          <w:rFonts w:eastAsia="仿宋_GB2312"/>
          <w:sz w:val="32"/>
          <w:szCs w:val="32"/>
        </w:rPr>
      </w:pPr>
      <w:r>
        <w:rPr>
          <w:rFonts w:eastAsia="楷体_GB2312"/>
          <w:bCs/>
          <w:color w:val="000000"/>
          <w:kern w:val="0"/>
          <w:sz w:val="32"/>
          <w:szCs w:val="32"/>
          <w:shd w:val="clear" w:color="auto" w:fill="FFFFFF"/>
          <w:lang w:val="zh-CN"/>
        </w:rPr>
        <w:t>（一）收入情况。</w:t>
      </w:r>
      <w:r>
        <w:rPr>
          <w:rFonts w:eastAsia="仿宋_GB2312"/>
          <w:sz w:val="32"/>
          <w:szCs w:val="32"/>
        </w:rPr>
        <w:t>2025年度总收入70926.83万元，其中：年初结转结余248.22万元；全年一般公共预算财政拨款收入59966.22万元；政府性基金预算财政拨款收入4000万元；其他收入6712.39万元。同比上年度总收入增长15%。</w:t>
      </w:r>
    </w:p>
    <w:p w14:paraId="4D35015A">
      <w:pPr>
        <w:snapToGrid w:val="0"/>
        <w:spacing w:line="353" w:lineRule="auto"/>
        <w:ind w:firstLine="643" w:firstLineChars="200"/>
        <w:jc w:val="left"/>
        <w:rPr>
          <w:rFonts w:eastAsia="仿宋_GB2312"/>
          <w:sz w:val="32"/>
          <w:szCs w:val="32"/>
          <w:lang w:val="zh-CN"/>
        </w:rPr>
      </w:pPr>
      <w:r>
        <w:rPr>
          <w:rFonts w:eastAsia="楷体_GB2312"/>
          <w:b/>
          <w:bCs/>
          <w:color w:val="000000"/>
          <w:kern w:val="0"/>
          <w:sz w:val="32"/>
          <w:szCs w:val="32"/>
          <w:shd w:val="clear" w:color="auto" w:fill="FFFFFF"/>
          <w:lang w:val="zh-CN"/>
        </w:rPr>
        <w:t>（二）支出情况。</w:t>
      </w:r>
      <w:r>
        <w:rPr>
          <w:rFonts w:eastAsia="仿宋_GB2312"/>
          <w:sz w:val="32"/>
          <w:szCs w:val="32"/>
        </w:rPr>
        <w:t>2025年度总支出70726.72万元，其中：人员经费支出50188.1万元；公用经费支出4391.81万元；项目经费支出16146.81万元（其中：基本建设支出4303.25万元）。同比上年度总支出增长15.14%。</w:t>
      </w:r>
    </w:p>
    <w:p w14:paraId="7C65D68D">
      <w:pPr>
        <w:widowControl/>
        <w:adjustRightInd w:val="0"/>
        <w:snapToGrid w:val="0"/>
        <w:spacing w:line="353" w:lineRule="auto"/>
        <w:ind w:firstLine="640" w:firstLineChars="200"/>
        <w:jc w:val="left"/>
        <w:rPr>
          <w:rFonts w:eastAsia="黑体"/>
          <w:color w:val="000000"/>
          <w:kern w:val="0"/>
          <w:sz w:val="32"/>
          <w:szCs w:val="32"/>
          <w:shd w:val="clear" w:color="auto" w:fill="FFFFFF"/>
        </w:rPr>
      </w:pPr>
      <w:r>
        <w:rPr>
          <w:rFonts w:hAnsi="黑体" w:eastAsia="黑体"/>
          <w:color w:val="000000"/>
          <w:kern w:val="0"/>
          <w:sz w:val="32"/>
          <w:szCs w:val="32"/>
          <w:shd w:val="clear" w:color="auto" w:fill="FFFFFF"/>
        </w:rPr>
        <w:t>三、部门预算绩效分析</w:t>
      </w:r>
    </w:p>
    <w:p w14:paraId="6ECBB027">
      <w:pPr>
        <w:adjustRightInd w:val="0"/>
        <w:snapToGrid w:val="0"/>
        <w:spacing w:line="353" w:lineRule="auto"/>
        <w:ind w:firstLine="640" w:firstLineChars="200"/>
        <w:jc w:val="left"/>
        <w:rPr>
          <w:rFonts w:eastAsia="楷体_GB2312"/>
          <w:color w:val="000000"/>
          <w:kern w:val="0"/>
          <w:sz w:val="32"/>
          <w:szCs w:val="32"/>
          <w:shd w:val="clear" w:color="auto" w:fill="FFFFFF"/>
          <w:lang w:val="zh-CN"/>
        </w:rPr>
      </w:pPr>
      <w:r>
        <w:rPr>
          <w:rFonts w:eastAsia="楷体_GB2312"/>
          <w:bCs/>
          <w:color w:val="000000"/>
          <w:kern w:val="0"/>
          <w:sz w:val="32"/>
          <w:szCs w:val="32"/>
          <w:shd w:val="clear" w:color="auto" w:fill="FFFFFF"/>
          <w:lang w:val="zh-CN"/>
        </w:rPr>
        <w:t>（一）部门预算总体绩效分析</w:t>
      </w:r>
      <w:r>
        <w:rPr>
          <w:rFonts w:eastAsia="楷体_GB2312"/>
          <w:b/>
          <w:bCs/>
          <w:color w:val="000000"/>
          <w:kern w:val="0"/>
          <w:sz w:val="32"/>
          <w:szCs w:val="32"/>
          <w:shd w:val="clear" w:color="auto" w:fill="FFFFFF"/>
          <w:lang w:val="zh-CN"/>
        </w:rPr>
        <w:t>。</w:t>
      </w:r>
    </w:p>
    <w:p w14:paraId="18C4C9EB">
      <w:pPr>
        <w:adjustRightInd w:val="0"/>
        <w:snapToGrid w:val="0"/>
        <w:spacing w:line="353" w:lineRule="auto"/>
        <w:ind w:firstLine="640" w:firstLineChars="200"/>
        <w:jc w:val="left"/>
        <w:rPr>
          <w:rFonts w:eastAsia="仿宋_GB2312"/>
          <w:color w:val="000000"/>
          <w:kern w:val="0"/>
          <w:sz w:val="32"/>
          <w:szCs w:val="32"/>
          <w:highlight w:val="yellow"/>
          <w:shd w:val="clear" w:color="auto" w:fill="FFFFFF"/>
        </w:rPr>
      </w:pPr>
      <w:r>
        <w:rPr>
          <w:rFonts w:eastAsia="仿宋_GB2312"/>
          <w:color w:val="000000"/>
          <w:kern w:val="0"/>
          <w:sz w:val="32"/>
          <w:szCs w:val="32"/>
          <w:shd w:val="clear" w:color="auto" w:fill="FFFFFF"/>
          <w:lang w:val="zh-CN"/>
        </w:rPr>
        <w:t>根据攀枝花市财政局《关于开展市本级预算绩效自评工作的通知》等文件要求，我局及时组织开展绩效评价工作，对</w:t>
      </w:r>
      <w:r>
        <w:rPr>
          <w:rFonts w:eastAsia="仿宋_GB2312"/>
          <w:color w:val="000000"/>
          <w:kern w:val="0"/>
          <w:sz w:val="32"/>
          <w:szCs w:val="32"/>
          <w:shd w:val="clear" w:color="auto" w:fill="FFFFFF"/>
        </w:rPr>
        <w:t>202</w:t>
      </w:r>
      <w:r>
        <w:rPr>
          <w:rFonts w:hint="eastAsia" w:eastAsia="仿宋_GB2312"/>
          <w:color w:val="000000"/>
          <w:kern w:val="0"/>
          <w:sz w:val="32"/>
          <w:szCs w:val="32"/>
          <w:shd w:val="clear" w:color="auto" w:fill="FFFFFF"/>
        </w:rPr>
        <w:t>5</w:t>
      </w:r>
      <w:r>
        <w:rPr>
          <w:rFonts w:eastAsia="仿宋_GB2312"/>
          <w:color w:val="000000"/>
          <w:kern w:val="0"/>
          <w:sz w:val="32"/>
          <w:szCs w:val="32"/>
          <w:shd w:val="clear" w:color="auto" w:fill="FFFFFF"/>
        </w:rPr>
        <w:t>年度市级预算执行绩效完成情况进行自我评价，202</w:t>
      </w:r>
      <w:r>
        <w:rPr>
          <w:rFonts w:hint="eastAsia" w:eastAsia="仿宋_GB2312"/>
          <w:color w:val="000000"/>
          <w:kern w:val="0"/>
          <w:sz w:val="32"/>
          <w:szCs w:val="32"/>
          <w:shd w:val="clear" w:color="auto" w:fill="FFFFFF"/>
        </w:rPr>
        <w:t>5</w:t>
      </w:r>
      <w:r>
        <w:rPr>
          <w:rFonts w:eastAsia="仿宋_GB2312"/>
          <w:color w:val="000000"/>
          <w:kern w:val="0"/>
          <w:sz w:val="32"/>
          <w:szCs w:val="32"/>
          <w:shd w:val="clear" w:color="auto" w:fill="FFFFFF"/>
        </w:rPr>
        <w:t>年积极履行职责职能，强化预算收支管理，不断建立健全内部管理制度，梳理内部管理流程，部门整体支出管理情况得到提升，较好的完成了年度工作目标。</w:t>
      </w:r>
    </w:p>
    <w:p w14:paraId="1FCD3299">
      <w:pPr>
        <w:adjustRightInd w:val="0"/>
        <w:snapToGrid w:val="0"/>
        <w:spacing w:line="353" w:lineRule="auto"/>
        <w:ind w:firstLine="640" w:firstLineChars="200"/>
        <w:jc w:val="left"/>
        <w:rPr>
          <w:rFonts w:eastAsia="仿宋_GB2312"/>
          <w:color w:val="000000"/>
          <w:kern w:val="0"/>
          <w:sz w:val="32"/>
          <w:szCs w:val="32"/>
          <w:shd w:val="clear" w:color="auto" w:fill="FFFFFF"/>
        </w:rPr>
      </w:pPr>
      <w:r>
        <w:rPr>
          <w:rFonts w:hint="eastAsia" w:eastAsia="仿宋_GB2312"/>
          <w:color w:val="000000"/>
          <w:kern w:val="0"/>
          <w:sz w:val="32"/>
          <w:szCs w:val="32"/>
          <w:shd w:val="clear" w:color="auto" w:fill="FFFFFF"/>
        </w:rPr>
        <w:t>（1）总体绩效方面</w:t>
      </w:r>
    </w:p>
    <w:p w14:paraId="1C1788D9">
      <w:pPr>
        <w:adjustRightInd w:val="0"/>
        <w:snapToGrid w:val="0"/>
        <w:spacing w:line="353" w:lineRule="auto"/>
        <w:ind w:firstLine="640" w:firstLineChars="200"/>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1.</w:t>
      </w:r>
      <w:r>
        <w:rPr>
          <w:rFonts w:eastAsia="仿宋_GB2312"/>
          <w:color w:val="000000"/>
          <w:kern w:val="0"/>
          <w:sz w:val="32"/>
          <w:szCs w:val="32"/>
          <w:shd w:val="clear" w:color="auto" w:fill="FFFFFF"/>
          <w:lang w:val="zh-CN"/>
        </w:rPr>
        <w:t>履职效能</w:t>
      </w:r>
      <w:r>
        <w:rPr>
          <w:rFonts w:hint="eastAsia"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部门整体绩效目标中选定3—5个核心职能目标，对职能目标完成效果情况绩效分析。</w:t>
      </w:r>
    </w:p>
    <w:p w14:paraId="66E677C4">
      <w:pPr>
        <w:snapToGrid w:val="0"/>
        <w:spacing w:line="353" w:lineRule="auto"/>
        <w:jc w:val="left"/>
        <w:rPr>
          <w:rFonts w:eastAsia="仿宋_GB2312"/>
          <w:sz w:val="32"/>
          <w:szCs w:val="32"/>
        </w:rPr>
      </w:pPr>
      <w:r>
        <w:rPr>
          <w:rFonts w:hAnsi="仿宋_GB2312" w:eastAsia="仿宋_GB2312"/>
          <w:b/>
          <w:bCs/>
          <w:sz w:val="32"/>
          <w:szCs w:val="32"/>
        </w:rPr>
        <w:t>一是稳大局履职效能</w:t>
      </w:r>
      <w:r>
        <w:rPr>
          <w:rFonts w:eastAsia="仿宋_GB2312"/>
          <w:b/>
          <w:bCs/>
          <w:sz w:val="32"/>
          <w:szCs w:val="32"/>
        </w:rPr>
        <w:t>。</w:t>
      </w:r>
      <w:r>
        <w:rPr>
          <w:rFonts w:eastAsia="仿宋_GB2312"/>
          <w:sz w:val="32"/>
          <w:szCs w:val="32"/>
        </w:rPr>
        <w:t>深入推进“化解矛盾风险、维护社会稳定”专项行动，全市336个村（社区）定期排查矛盾纠纷，7500余条矛盾纠纷和1400余条风险隐患“就地解决”。</w:t>
      </w:r>
      <w:r>
        <w:rPr>
          <w:rFonts w:hAnsi="仿宋_GB2312" w:eastAsia="仿宋_GB2312"/>
          <w:b/>
          <w:bCs/>
          <w:sz w:val="32"/>
          <w:szCs w:val="32"/>
        </w:rPr>
        <w:t>二是保安全履职效能。</w:t>
      </w:r>
      <w:r>
        <w:rPr>
          <w:rFonts w:eastAsia="仿宋_GB2312"/>
          <w:sz w:val="32"/>
          <w:szCs w:val="32"/>
        </w:rPr>
        <w:t>健全完善立体化信息化社会治安防控体系，刑事案件、治安案件同比分别下降14.3%、6.3%，八类暴力犯罪案件同比下降17.2%，“盗抢骗”等“民生小案”破案率达65.3%。圆满完成各类警卫任务，接续打赢系列“春节”</w:t>
      </w:r>
      <w:r>
        <w:rPr>
          <w:rFonts w:hint="eastAsia" w:eastAsia="仿宋_GB2312"/>
          <w:sz w:val="32"/>
          <w:szCs w:val="32"/>
          <w:lang w:eastAsia="zh-CN"/>
        </w:rPr>
        <w:t>全国</w:t>
      </w:r>
      <w:r>
        <w:rPr>
          <w:rFonts w:eastAsia="仿宋_GB2312"/>
          <w:sz w:val="32"/>
          <w:szCs w:val="32"/>
        </w:rPr>
        <w:t>“两会”“世运会”“国庆”“川超”“金曲传奇”演唱会等重大安保维稳硬仗，相关做法在全省公安机关成都世运会安保攻坚部署会上作经验交流发言。</w:t>
      </w:r>
      <w:r>
        <w:rPr>
          <w:rFonts w:eastAsia="仿宋_GB2312"/>
          <w:b/>
          <w:bCs/>
          <w:sz w:val="32"/>
          <w:szCs w:val="32"/>
        </w:rPr>
        <w:t>三是护发展履职效能。</w:t>
      </w:r>
      <w:r>
        <w:rPr>
          <w:rFonts w:eastAsia="仿宋_GB2312"/>
          <w:sz w:val="32"/>
          <w:szCs w:val="32"/>
        </w:rPr>
        <w:t>聚焦攀枝花高质量发展建设共同富裕试验区“头等大事”“一号工程”，优化完善“警随企后”法治安商模式，构建“四个三”服务矩阵，经验做法入选国务院2025年“服务企业在基层” 典型优秀案例，被人民公安报头版和《公安内参》刊发，与上海市公安局、合肥市公安局、宁波市公安局、张家港市公安局的法治安商举措一并被《人民公安》杂志专刊报道，省委改革办在《四川改革专报》刊发推广，并呈报中央改革办。高效推进省委、市委明确的重点任务，成功绘制直系亲属关系谱，实现亲属关系“一键查询、一谱证明”，成功破解“我爸是我爸”证明难题，累计开具直系亲属关系证明2.6万余份，以“小切口”服务“大民生”，该做法与“警随企后”一并入选共富试验区十大典型实践案例，《智慧大数据破壁 根治身份证明难题》荣获2025年四川省走好网上群众路线“突出案例”，《攀枝花率先探索户籍服务便利化改革以直系亲属“关系谱”破解群众“证明难”》工作专报被市委共富办呈送省委、省政府，获得施小琳省长和黄瑞雪副省长批示肯定。制定出台城乡融合发展户口迁移管理办法（试行），推广应用“微户政”线上平台，1.2万余件户口“一站式”迁移业务高效办理。</w:t>
      </w:r>
    </w:p>
    <w:p w14:paraId="6074A7B8">
      <w:pPr>
        <w:snapToGrid w:val="0"/>
        <w:spacing w:line="353" w:lineRule="auto"/>
        <w:ind w:firstLine="640" w:firstLineChars="200"/>
        <w:jc w:val="left"/>
        <w:rPr>
          <w:rFonts w:eastAsia="仿宋_GB2312"/>
          <w:sz w:val="32"/>
          <w:szCs w:val="32"/>
        </w:rPr>
      </w:pPr>
      <w:r>
        <w:rPr>
          <w:rFonts w:eastAsia="仿宋_GB2312"/>
          <w:sz w:val="32"/>
          <w:szCs w:val="32"/>
        </w:rPr>
        <w:t>综上,按照部门预算绩效评价指标体系履职效能指标得分为15分。</w:t>
      </w:r>
    </w:p>
    <w:p w14:paraId="78B897D9">
      <w:pPr>
        <w:adjustRightInd w:val="0"/>
        <w:snapToGrid w:val="0"/>
        <w:spacing w:line="353" w:lineRule="auto"/>
        <w:ind w:firstLine="640" w:firstLineChars="200"/>
        <w:jc w:val="left"/>
        <w:rPr>
          <w:rFonts w:eastAsia="仿宋_GB2312"/>
          <w:color w:val="000000"/>
          <w:kern w:val="0"/>
          <w:sz w:val="32"/>
          <w:szCs w:val="32"/>
          <w:shd w:val="clear" w:color="auto" w:fill="FFFFFF"/>
        </w:rPr>
      </w:pPr>
      <w:r>
        <w:rPr>
          <w:rFonts w:eastAsia="仿宋_GB2312"/>
          <w:color w:val="000000"/>
          <w:kern w:val="0"/>
          <w:sz w:val="32"/>
          <w:szCs w:val="32"/>
          <w:shd w:val="clear" w:color="auto" w:fill="FFFFFF"/>
        </w:rPr>
        <w:t>2.</w:t>
      </w:r>
      <w:r>
        <w:rPr>
          <w:rFonts w:eastAsia="仿宋_GB2312"/>
          <w:color w:val="000000"/>
          <w:kern w:val="0"/>
          <w:sz w:val="32"/>
          <w:szCs w:val="32"/>
          <w:shd w:val="clear" w:color="auto" w:fill="FFFFFF"/>
          <w:lang w:val="zh-CN"/>
        </w:rPr>
        <w:t>预算管理</w:t>
      </w:r>
      <w:r>
        <w:rPr>
          <w:rFonts w:hint="eastAsia"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围绕预算编制质量、支出执行进度、预算年终结余、严控一般性支出进行绩效分析。</w:t>
      </w:r>
    </w:p>
    <w:p w14:paraId="12081542">
      <w:pPr>
        <w:snapToGrid w:val="0"/>
        <w:spacing w:line="353" w:lineRule="auto"/>
        <w:ind w:firstLine="640" w:firstLineChars="200"/>
        <w:jc w:val="left"/>
        <w:rPr>
          <w:rFonts w:eastAsia="仿宋_GB2312"/>
          <w:color w:val="000000"/>
          <w:kern w:val="0"/>
          <w:sz w:val="32"/>
          <w:szCs w:val="32"/>
          <w:shd w:val="clear" w:color="auto" w:fill="FFFFFF"/>
        </w:rPr>
      </w:pPr>
      <w:r>
        <w:rPr>
          <w:rFonts w:eastAsia="仿宋_GB2312"/>
          <w:color w:val="000000"/>
          <w:kern w:val="0"/>
          <w:sz w:val="32"/>
          <w:szCs w:val="32"/>
          <w:shd w:val="clear" w:color="auto" w:fill="FFFFFF"/>
        </w:rPr>
        <w:t>我单位严格按照《中华人民共和国预算法》及部门预算编审相关要求编制年初部门预算。按照部门预算绩效评价指标体系履职效能指标得分为</w:t>
      </w:r>
      <w:r>
        <w:rPr>
          <w:rFonts w:hint="eastAsia" w:eastAsia="仿宋_GB2312"/>
          <w:color w:val="000000"/>
          <w:kern w:val="0"/>
          <w:sz w:val="32"/>
          <w:szCs w:val="32"/>
          <w:shd w:val="clear" w:color="auto" w:fill="FFFFFF"/>
        </w:rPr>
        <w:t>19.76</w:t>
      </w:r>
      <w:r>
        <w:rPr>
          <w:rFonts w:eastAsia="仿宋_GB2312"/>
          <w:color w:val="000000"/>
          <w:kern w:val="0"/>
          <w:sz w:val="32"/>
          <w:szCs w:val="32"/>
          <w:shd w:val="clear" w:color="auto" w:fill="FFFFFF"/>
        </w:rPr>
        <w:t>分。</w:t>
      </w:r>
    </w:p>
    <w:p w14:paraId="790003A8">
      <w:pPr>
        <w:adjustRightInd w:val="0"/>
        <w:snapToGrid w:val="0"/>
        <w:spacing w:line="353" w:lineRule="auto"/>
        <w:ind w:firstLine="640" w:firstLineChars="200"/>
        <w:jc w:val="left"/>
        <w:rPr>
          <w:rFonts w:eastAsia="仿宋_GB2312"/>
          <w:color w:val="000000"/>
          <w:kern w:val="0"/>
          <w:sz w:val="32"/>
          <w:szCs w:val="32"/>
          <w:shd w:val="clear" w:color="auto" w:fill="FFFFFF"/>
        </w:rPr>
      </w:pPr>
      <w:r>
        <w:rPr>
          <w:rFonts w:eastAsia="仿宋_GB2312"/>
          <w:color w:val="000000"/>
          <w:kern w:val="0"/>
          <w:sz w:val="32"/>
          <w:szCs w:val="32"/>
          <w:shd w:val="clear" w:color="auto" w:fill="FFFFFF"/>
        </w:rPr>
        <w:t>3.</w:t>
      </w:r>
      <w:r>
        <w:rPr>
          <w:rFonts w:eastAsia="仿宋_GB2312"/>
          <w:color w:val="000000"/>
          <w:kern w:val="0"/>
          <w:sz w:val="32"/>
          <w:szCs w:val="32"/>
          <w:shd w:val="clear" w:color="auto" w:fill="FFFFFF"/>
          <w:lang w:val="zh-CN"/>
        </w:rPr>
        <w:t>财务管理</w:t>
      </w:r>
      <w:r>
        <w:rPr>
          <w:rFonts w:hint="eastAsia"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围绕财务管理制度、财务岗位设置、资金使用规范进行绩效分析。</w:t>
      </w:r>
    </w:p>
    <w:p w14:paraId="05BF7C11">
      <w:pPr>
        <w:adjustRightInd w:val="0"/>
        <w:snapToGrid w:val="0"/>
        <w:spacing w:line="353" w:lineRule="auto"/>
        <w:ind w:firstLine="640" w:firstLineChars="200"/>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lang w:val="zh-CN"/>
        </w:rPr>
        <w:t>我单位已制定《攀枝花市公安局财务管理办法》《攀枝花市公安局机关经费管理暂行规定》《攀枝花市公安局机关内部采购管理办法》等内部管理。并合理设置会计、出纳岗，明确职责权限，严格实行不相容岗位分离，部门财务岗位设置符合相关财务管理制度规定，部门资金使用严格按照部门财务管理制度执行。</w:t>
      </w:r>
    </w:p>
    <w:p w14:paraId="242CBBB2">
      <w:pPr>
        <w:adjustRightInd w:val="0"/>
        <w:snapToGrid w:val="0"/>
        <w:spacing w:line="353" w:lineRule="auto"/>
        <w:ind w:firstLine="640" w:firstLineChars="200"/>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lang w:val="zh-CN"/>
        </w:rPr>
        <w:t>综上</w:t>
      </w:r>
      <w:r>
        <w:rPr>
          <w:rFonts w:eastAsia="仿宋_GB2312"/>
          <w:color w:val="000000"/>
          <w:kern w:val="0"/>
          <w:sz w:val="32"/>
          <w:szCs w:val="32"/>
          <w:shd w:val="clear" w:color="auto" w:fill="FFFFFF"/>
        </w:rPr>
        <w:t>,按照部门预算绩效评价指标体系财务管理指标得分为10分。</w:t>
      </w:r>
    </w:p>
    <w:p w14:paraId="4590474F">
      <w:pPr>
        <w:adjustRightInd w:val="0"/>
        <w:snapToGrid w:val="0"/>
        <w:spacing w:line="353" w:lineRule="auto"/>
        <w:ind w:firstLine="640" w:firstLineChars="200"/>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4.</w:t>
      </w:r>
      <w:r>
        <w:rPr>
          <w:rFonts w:eastAsia="仿宋_GB2312"/>
          <w:color w:val="000000"/>
          <w:kern w:val="0"/>
          <w:sz w:val="32"/>
          <w:szCs w:val="32"/>
          <w:shd w:val="clear" w:color="auto" w:fill="FFFFFF"/>
          <w:lang w:val="zh-CN"/>
        </w:rPr>
        <w:t>资产管理</w:t>
      </w:r>
      <w:r>
        <w:rPr>
          <w:rFonts w:hint="eastAsia"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围绕人均资产变化率、资产利用率、资产盘活率进行绩效分析。</w:t>
      </w:r>
    </w:p>
    <w:p w14:paraId="3F17C376">
      <w:pPr>
        <w:adjustRightInd w:val="0"/>
        <w:snapToGrid w:val="0"/>
        <w:spacing w:line="353" w:lineRule="auto"/>
        <w:ind w:firstLine="643" w:firstLineChars="200"/>
        <w:jc w:val="left"/>
        <w:rPr>
          <w:rFonts w:eastAsia="仿宋_GB2312"/>
          <w:color w:val="000000"/>
          <w:kern w:val="0"/>
          <w:sz w:val="32"/>
          <w:szCs w:val="32"/>
          <w:shd w:val="clear" w:color="auto" w:fill="FFFFFF"/>
          <w:lang w:val="zh-CN"/>
        </w:rPr>
      </w:pPr>
      <w:r>
        <w:rPr>
          <w:rFonts w:eastAsia="仿宋_GB2312"/>
          <w:b/>
          <w:bCs/>
          <w:color w:val="000000"/>
          <w:kern w:val="0"/>
          <w:sz w:val="32"/>
          <w:szCs w:val="32"/>
          <w:shd w:val="clear" w:color="auto" w:fill="FFFFFF"/>
          <w:lang w:val="zh-CN"/>
        </w:rPr>
        <w:t>部门人均资产变化率方面：</w:t>
      </w:r>
      <w:r>
        <w:rPr>
          <w:rFonts w:hint="eastAsia" w:eastAsia="仿宋_GB2312"/>
          <w:b/>
          <w:bCs/>
          <w:color w:val="000000"/>
          <w:kern w:val="0"/>
          <w:sz w:val="32"/>
          <w:szCs w:val="32"/>
          <w:shd w:val="clear" w:color="auto" w:fill="FFFFFF"/>
        </w:rPr>
        <w:t>2024年</w:t>
      </w:r>
      <w:r>
        <w:rPr>
          <w:rFonts w:eastAsia="仿宋_GB2312"/>
          <w:color w:val="000000"/>
          <w:kern w:val="0"/>
          <w:sz w:val="32"/>
          <w:szCs w:val="32"/>
          <w:shd w:val="clear" w:color="auto" w:fill="FFFFFF"/>
          <w:lang w:val="zh-CN"/>
        </w:rPr>
        <w:t>人均资产变化率</w:t>
      </w:r>
      <w:r>
        <w:rPr>
          <w:rFonts w:hint="eastAsia" w:eastAsia="仿宋_GB2312"/>
          <w:color w:val="000000"/>
          <w:kern w:val="0"/>
          <w:sz w:val="32"/>
          <w:szCs w:val="32"/>
          <w:shd w:val="clear" w:color="auto" w:fill="FFFFFF"/>
        </w:rPr>
        <w:t>2.5</w:t>
      </w:r>
      <w:r>
        <w:rPr>
          <w:rFonts w:eastAsia="仿宋_GB2312"/>
          <w:color w:val="000000"/>
          <w:kern w:val="0"/>
          <w:sz w:val="32"/>
          <w:szCs w:val="32"/>
          <w:shd w:val="clear" w:color="auto" w:fill="FFFFFF"/>
          <w:lang w:val="zh-CN"/>
        </w:rPr>
        <w:t>%，</w:t>
      </w:r>
      <w:r>
        <w:rPr>
          <w:rFonts w:hint="eastAsia" w:eastAsia="仿宋_GB2312"/>
          <w:color w:val="000000"/>
          <w:kern w:val="0"/>
          <w:sz w:val="32"/>
          <w:szCs w:val="32"/>
          <w:shd w:val="clear" w:color="auto" w:fill="FFFFFF"/>
        </w:rPr>
        <w:t>2025年人均资产变化率2.3%；</w:t>
      </w:r>
      <w:r>
        <w:rPr>
          <w:rFonts w:eastAsia="仿宋_GB2312"/>
          <w:color w:val="000000"/>
          <w:kern w:val="0"/>
          <w:sz w:val="32"/>
          <w:szCs w:val="32"/>
          <w:shd w:val="clear" w:color="auto" w:fill="FFFFFF"/>
          <w:lang w:val="zh-CN"/>
        </w:rPr>
        <w:t>我单位部门人均资产变化率</w:t>
      </w:r>
      <w:r>
        <w:rPr>
          <w:rFonts w:hint="eastAsia" w:eastAsia="仿宋_GB2312"/>
          <w:color w:val="000000"/>
          <w:kern w:val="0"/>
          <w:sz w:val="32"/>
          <w:szCs w:val="32"/>
          <w:shd w:val="clear" w:color="auto" w:fill="FFFFFF"/>
        </w:rPr>
        <w:t>-2.03</w:t>
      </w:r>
      <w:r>
        <w:rPr>
          <w:rFonts w:eastAsia="仿宋_GB2312"/>
          <w:color w:val="000000"/>
          <w:kern w:val="0"/>
          <w:sz w:val="32"/>
          <w:szCs w:val="32"/>
          <w:shd w:val="clear" w:color="auto" w:fill="FFFFFF"/>
        </w:rPr>
        <w:t>%。</w:t>
      </w:r>
      <w:r>
        <w:rPr>
          <w:rFonts w:eastAsia="仿宋_GB2312"/>
          <w:color w:val="000000"/>
          <w:kern w:val="0"/>
          <w:sz w:val="32"/>
          <w:szCs w:val="32"/>
          <w:shd w:val="clear" w:color="auto" w:fill="FFFFFF"/>
          <w:lang w:val="zh-CN"/>
        </w:rPr>
        <w:t>市本级财政收入增长率</w:t>
      </w:r>
      <w:r>
        <w:rPr>
          <w:rFonts w:hint="eastAsia" w:eastAsia="仿宋_GB2312"/>
          <w:color w:val="000000"/>
          <w:kern w:val="0"/>
          <w:sz w:val="32"/>
          <w:szCs w:val="32"/>
          <w:shd w:val="clear" w:color="auto" w:fill="FFFFFF"/>
        </w:rPr>
        <w:t>2.5</w:t>
      </w:r>
      <w:r>
        <w:rPr>
          <w:rFonts w:eastAsia="仿宋_GB2312"/>
          <w:color w:val="000000"/>
          <w:kern w:val="0"/>
          <w:sz w:val="32"/>
          <w:szCs w:val="32"/>
          <w:shd w:val="clear" w:color="auto" w:fill="FFFFFF"/>
          <w:lang w:val="zh-CN"/>
        </w:rPr>
        <w:t>%。</w:t>
      </w:r>
      <w:r>
        <w:rPr>
          <w:rFonts w:eastAsia="仿宋_GB2312"/>
          <w:b/>
          <w:bCs/>
          <w:color w:val="000000"/>
          <w:kern w:val="0"/>
          <w:sz w:val="32"/>
          <w:szCs w:val="32"/>
          <w:shd w:val="clear" w:color="auto" w:fill="FFFFFF"/>
          <w:lang w:val="zh-CN"/>
        </w:rPr>
        <w:t>资产利用率方面</w:t>
      </w:r>
      <w:r>
        <w:rPr>
          <w:rFonts w:hint="eastAsia" w:eastAsia="仿宋_GB2312"/>
          <w:b/>
          <w:bCs/>
          <w:color w:val="000000"/>
          <w:kern w:val="0"/>
          <w:sz w:val="32"/>
          <w:szCs w:val="32"/>
          <w:shd w:val="clear" w:color="auto" w:fill="FFFFFF"/>
          <w:lang w:val="zh-CN"/>
        </w:rPr>
        <w:t>：</w:t>
      </w:r>
      <w:r>
        <w:rPr>
          <w:rFonts w:hint="eastAsia" w:eastAsia="仿宋_GB2312"/>
          <w:color w:val="000000"/>
          <w:kern w:val="0"/>
          <w:sz w:val="32"/>
          <w:szCs w:val="32"/>
          <w:shd w:val="clear" w:color="auto" w:fill="FFFFFF"/>
        </w:rPr>
        <w:t>2024年</w:t>
      </w:r>
      <w:r>
        <w:rPr>
          <w:rFonts w:eastAsia="仿宋_GB2312"/>
          <w:color w:val="000000"/>
          <w:kern w:val="0"/>
          <w:sz w:val="32"/>
          <w:szCs w:val="32"/>
          <w:shd w:val="clear" w:color="auto" w:fill="FFFFFF"/>
          <w:lang w:val="zh-CN"/>
        </w:rPr>
        <w:t>我单位办公家具超最低使用年限资产利用率平均值</w:t>
      </w:r>
      <w:r>
        <w:rPr>
          <w:rFonts w:eastAsia="仿宋_GB2312"/>
          <w:color w:val="000000"/>
          <w:kern w:val="0"/>
          <w:sz w:val="32"/>
          <w:szCs w:val="32"/>
          <w:shd w:val="clear" w:color="auto" w:fill="FFFFFF"/>
        </w:rPr>
        <w:t>60.28%</w:t>
      </w:r>
      <w:r>
        <w:rPr>
          <w:rFonts w:hint="eastAsia" w:eastAsia="仿宋_GB2312"/>
          <w:color w:val="000000"/>
          <w:kern w:val="0"/>
          <w:sz w:val="32"/>
          <w:szCs w:val="32"/>
          <w:shd w:val="clear" w:color="auto" w:fill="FFFFFF"/>
        </w:rPr>
        <w:t>，2025年</w:t>
      </w:r>
      <w:r>
        <w:rPr>
          <w:rFonts w:eastAsia="仿宋_GB2312"/>
          <w:color w:val="000000"/>
          <w:kern w:val="0"/>
          <w:sz w:val="32"/>
          <w:szCs w:val="32"/>
          <w:shd w:val="clear" w:color="auto" w:fill="FFFFFF"/>
          <w:lang w:val="zh-CN"/>
        </w:rPr>
        <w:t>办公家具超最低使用年限资产利用率平均值</w:t>
      </w:r>
      <w:r>
        <w:rPr>
          <w:rFonts w:hint="eastAsia" w:eastAsia="仿宋_GB2312"/>
          <w:color w:val="000000"/>
          <w:kern w:val="0"/>
          <w:sz w:val="32"/>
          <w:szCs w:val="32"/>
          <w:shd w:val="clear" w:color="auto" w:fill="FFFFFF"/>
        </w:rPr>
        <w:t>58.23</w:t>
      </w:r>
      <w:r>
        <w:rPr>
          <w:rFonts w:eastAsia="仿宋_GB2312"/>
          <w:color w:val="000000"/>
          <w:kern w:val="0"/>
          <w:sz w:val="32"/>
          <w:szCs w:val="32"/>
          <w:shd w:val="clear" w:color="auto" w:fill="FFFFFF"/>
          <w:lang w:val="zh-CN"/>
        </w:rPr>
        <w:t>%</w:t>
      </w:r>
      <w:r>
        <w:rPr>
          <w:rFonts w:hint="eastAsia" w:eastAsia="仿宋_GB2312"/>
          <w:color w:val="000000"/>
          <w:kern w:val="0"/>
          <w:sz w:val="32"/>
          <w:szCs w:val="32"/>
          <w:shd w:val="clear" w:color="auto" w:fill="FFFFFF"/>
          <w:lang w:val="zh-CN"/>
        </w:rPr>
        <w:t>；</w:t>
      </w:r>
      <w:r>
        <w:rPr>
          <w:rFonts w:hint="eastAsia" w:eastAsia="仿宋_GB2312"/>
          <w:color w:val="000000"/>
          <w:kern w:val="0"/>
          <w:sz w:val="32"/>
          <w:szCs w:val="32"/>
          <w:shd w:val="clear" w:color="auto" w:fill="FFFFFF"/>
        </w:rPr>
        <w:t>2024年</w:t>
      </w:r>
      <w:r>
        <w:rPr>
          <w:rFonts w:eastAsia="仿宋_GB2312"/>
          <w:color w:val="000000"/>
          <w:kern w:val="0"/>
          <w:sz w:val="32"/>
          <w:szCs w:val="32"/>
          <w:shd w:val="clear" w:color="auto" w:fill="FFFFFF"/>
          <w:lang w:val="zh-CN"/>
        </w:rPr>
        <w:t>我单位办公家具超最低使用年限资产利用率平均值</w:t>
      </w:r>
      <w:r>
        <w:rPr>
          <w:rFonts w:eastAsia="仿宋_GB2312"/>
          <w:color w:val="000000"/>
          <w:kern w:val="0"/>
          <w:sz w:val="32"/>
          <w:szCs w:val="32"/>
          <w:shd w:val="clear" w:color="auto" w:fill="FFFFFF"/>
        </w:rPr>
        <w:t>21.31%</w:t>
      </w:r>
      <w:r>
        <w:rPr>
          <w:rFonts w:hint="eastAsia" w:eastAsia="仿宋_GB2312"/>
          <w:color w:val="000000"/>
          <w:kern w:val="0"/>
          <w:sz w:val="32"/>
          <w:szCs w:val="32"/>
          <w:shd w:val="clear" w:color="auto" w:fill="FFFFFF"/>
        </w:rPr>
        <w:t>，2025年</w:t>
      </w:r>
      <w:r>
        <w:rPr>
          <w:rFonts w:eastAsia="仿宋_GB2312"/>
          <w:color w:val="000000"/>
          <w:kern w:val="0"/>
          <w:sz w:val="32"/>
          <w:szCs w:val="32"/>
          <w:shd w:val="clear" w:color="auto" w:fill="FFFFFF"/>
          <w:lang w:val="zh-CN"/>
        </w:rPr>
        <w:t>办公设备超最低使用年限资产利用率平均值</w:t>
      </w:r>
      <w:r>
        <w:rPr>
          <w:rFonts w:hint="eastAsia" w:eastAsia="仿宋_GB2312"/>
          <w:color w:val="000000"/>
          <w:kern w:val="0"/>
          <w:sz w:val="32"/>
          <w:szCs w:val="32"/>
          <w:shd w:val="clear" w:color="auto" w:fill="FFFFFF"/>
        </w:rPr>
        <w:t>20.01</w:t>
      </w:r>
      <w:r>
        <w:rPr>
          <w:rFonts w:eastAsia="仿宋_GB2312"/>
          <w:color w:val="000000"/>
          <w:kern w:val="0"/>
          <w:sz w:val="32"/>
          <w:szCs w:val="32"/>
          <w:shd w:val="clear" w:color="auto" w:fill="FFFFFF"/>
          <w:lang w:val="zh-CN"/>
        </w:rPr>
        <w:t>%</w:t>
      </w:r>
      <w:r>
        <w:rPr>
          <w:rFonts w:eastAsia="仿宋_GB2312"/>
          <w:color w:val="000000"/>
          <w:kern w:val="0"/>
          <w:sz w:val="32"/>
          <w:szCs w:val="32"/>
          <w:shd w:val="clear" w:color="auto" w:fill="FFFFFF"/>
        </w:rPr>
        <w:t>。</w:t>
      </w:r>
      <w:r>
        <w:rPr>
          <w:rFonts w:eastAsia="仿宋_GB2312"/>
          <w:b/>
          <w:bCs/>
          <w:color w:val="000000"/>
          <w:kern w:val="0"/>
          <w:sz w:val="32"/>
          <w:szCs w:val="32"/>
          <w:shd w:val="clear" w:color="auto" w:fill="FFFFFF"/>
          <w:lang w:val="zh-CN"/>
        </w:rPr>
        <w:t>资产盘活率方面</w:t>
      </w:r>
      <w:r>
        <w:rPr>
          <w:rFonts w:hint="eastAsia"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我单位无闲置一年以上资产。</w:t>
      </w:r>
    </w:p>
    <w:p w14:paraId="5C4D8229">
      <w:pPr>
        <w:adjustRightInd w:val="0"/>
        <w:snapToGrid w:val="0"/>
        <w:spacing w:line="353" w:lineRule="auto"/>
        <w:ind w:firstLine="640" w:firstLineChars="200"/>
        <w:jc w:val="left"/>
        <w:rPr>
          <w:rFonts w:eastAsia="仿宋_GB2312"/>
          <w:color w:val="000000"/>
          <w:kern w:val="0"/>
          <w:sz w:val="32"/>
          <w:szCs w:val="32"/>
          <w:highlight w:val="yellow"/>
          <w:shd w:val="clear" w:color="auto" w:fill="FFFFFF"/>
          <w:lang w:val="zh-CN"/>
        </w:rPr>
      </w:pPr>
      <w:r>
        <w:rPr>
          <w:rFonts w:eastAsia="仿宋_GB2312"/>
          <w:color w:val="000000"/>
          <w:kern w:val="0"/>
          <w:sz w:val="32"/>
          <w:szCs w:val="32"/>
          <w:shd w:val="clear" w:color="auto" w:fill="FFFFFF"/>
          <w:lang w:val="zh-CN"/>
        </w:rPr>
        <w:t>综上</w:t>
      </w:r>
      <w:r>
        <w:rPr>
          <w:rFonts w:eastAsia="仿宋_GB2312"/>
          <w:color w:val="000000"/>
          <w:kern w:val="0"/>
          <w:sz w:val="32"/>
          <w:szCs w:val="32"/>
          <w:shd w:val="clear" w:color="auto" w:fill="FFFFFF"/>
        </w:rPr>
        <w:t>,按照部门预算绩效评价指标体系财务管理指标得分为9分。</w:t>
      </w:r>
    </w:p>
    <w:p w14:paraId="704E6E59">
      <w:pPr>
        <w:adjustRightInd w:val="0"/>
        <w:snapToGrid w:val="0"/>
        <w:spacing w:line="353" w:lineRule="auto"/>
        <w:ind w:firstLine="640" w:firstLineChars="200"/>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5.</w:t>
      </w:r>
      <w:r>
        <w:rPr>
          <w:rFonts w:eastAsia="仿宋_GB2312"/>
          <w:color w:val="000000"/>
          <w:kern w:val="0"/>
          <w:sz w:val="32"/>
          <w:szCs w:val="32"/>
          <w:shd w:val="clear" w:color="auto" w:fill="FFFFFF"/>
          <w:lang w:val="zh-CN"/>
        </w:rPr>
        <w:t>采购管理。围绕支持中小企业发展、采购执行率进行绩效分析。</w:t>
      </w:r>
    </w:p>
    <w:p w14:paraId="03E6D8D2">
      <w:pPr>
        <w:adjustRightInd w:val="0"/>
        <w:snapToGrid w:val="0"/>
        <w:spacing w:line="353" w:lineRule="auto"/>
        <w:ind w:firstLine="640" w:firstLineChars="200"/>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lang w:val="zh-CN"/>
        </w:rPr>
        <w:t>我单位严格执行政府采购促进中小企业发展相关办法，对适宜由中小企业提供的采购项目和采购包，预留采购份额专门面向中小企业采购，并在采购预算中单独列示。</w:t>
      </w:r>
    </w:p>
    <w:p w14:paraId="65016F4C">
      <w:pPr>
        <w:adjustRightInd w:val="0"/>
        <w:snapToGrid w:val="0"/>
        <w:spacing w:line="353" w:lineRule="auto"/>
        <w:ind w:firstLine="640" w:firstLineChars="200"/>
        <w:jc w:val="left"/>
        <w:rPr>
          <w:rFonts w:eastAsia="仿宋_GB2312"/>
          <w:sz w:val="32"/>
          <w:szCs w:val="32"/>
          <w:lang w:val="zh-CN"/>
        </w:rPr>
      </w:pPr>
      <w:r>
        <w:rPr>
          <w:rFonts w:eastAsia="仿宋_GB2312"/>
          <w:color w:val="000000"/>
          <w:kern w:val="0"/>
          <w:sz w:val="32"/>
          <w:szCs w:val="32"/>
          <w:shd w:val="clear" w:color="auto" w:fill="FFFFFF"/>
          <w:lang w:val="zh-CN"/>
        </w:rPr>
        <w:t>综上</w:t>
      </w:r>
      <w:r>
        <w:rPr>
          <w:rFonts w:eastAsia="仿宋_GB2312"/>
          <w:color w:val="000000"/>
          <w:kern w:val="0"/>
          <w:sz w:val="32"/>
          <w:szCs w:val="32"/>
          <w:shd w:val="clear" w:color="auto" w:fill="FFFFFF"/>
        </w:rPr>
        <w:t>,按照部门预算绩效评价指标体系财务管理指标得分为6分</w:t>
      </w:r>
      <w:r>
        <w:rPr>
          <w:rFonts w:hint="eastAsia" w:eastAsia="仿宋_GB2312"/>
          <w:color w:val="000000"/>
          <w:kern w:val="0"/>
          <w:sz w:val="32"/>
          <w:szCs w:val="32"/>
          <w:shd w:val="clear" w:color="auto" w:fill="FFFFFF"/>
        </w:rPr>
        <w:t>。</w:t>
      </w:r>
    </w:p>
    <w:p w14:paraId="2A3996FD">
      <w:pPr>
        <w:widowControl/>
        <w:adjustRightInd w:val="0"/>
        <w:snapToGrid w:val="0"/>
        <w:spacing w:line="353" w:lineRule="auto"/>
        <w:ind w:firstLine="640" w:firstLineChars="200"/>
        <w:jc w:val="left"/>
        <w:rPr>
          <w:rFonts w:ascii="楷体_GB2312" w:eastAsia="楷体_GB2312"/>
          <w:bCs/>
          <w:color w:val="000000"/>
          <w:kern w:val="0"/>
          <w:sz w:val="32"/>
          <w:szCs w:val="32"/>
          <w:shd w:val="clear" w:color="auto" w:fill="FFFFFF"/>
          <w:lang w:val="zh-CN"/>
        </w:rPr>
      </w:pPr>
      <w:r>
        <w:rPr>
          <w:rFonts w:eastAsia="楷体_GB2312"/>
          <w:bCs/>
          <w:color w:val="000000"/>
          <w:kern w:val="0"/>
          <w:sz w:val="32"/>
          <w:szCs w:val="32"/>
          <w:shd w:val="clear" w:color="auto" w:fill="FFFFFF"/>
          <w:lang w:val="zh-CN"/>
        </w:rPr>
        <w:t>（</w:t>
      </w:r>
      <w:r>
        <w:rPr>
          <w:rFonts w:eastAsia="楷体_GB2312"/>
          <w:bCs/>
          <w:color w:val="000000"/>
          <w:kern w:val="0"/>
          <w:sz w:val="32"/>
          <w:szCs w:val="32"/>
          <w:shd w:val="clear" w:color="auto" w:fill="FFFFFF"/>
        </w:rPr>
        <w:t>2</w:t>
      </w:r>
      <w:r>
        <w:rPr>
          <w:rFonts w:eastAsia="楷体_GB2312"/>
          <w:bCs/>
          <w:color w:val="000000"/>
          <w:kern w:val="0"/>
          <w:sz w:val="32"/>
          <w:szCs w:val="32"/>
          <w:shd w:val="clear" w:color="auto" w:fill="FFFFFF"/>
          <w:lang w:val="zh-CN"/>
        </w:rPr>
        <w:t>）</w:t>
      </w:r>
      <w:r>
        <w:rPr>
          <w:rFonts w:hint="eastAsia" w:ascii="楷体_GB2312" w:eastAsia="楷体_GB2312"/>
          <w:bCs/>
          <w:color w:val="000000"/>
          <w:kern w:val="0"/>
          <w:sz w:val="32"/>
          <w:szCs w:val="32"/>
          <w:shd w:val="clear" w:color="auto" w:fill="FFFFFF"/>
          <w:lang w:val="zh-CN"/>
        </w:rPr>
        <w:t>项目绩效方面</w:t>
      </w:r>
    </w:p>
    <w:p w14:paraId="4A8DFCA7">
      <w:pPr>
        <w:widowControl/>
        <w:adjustRightInd w:val="0"/>
        <w:snapToGrid w:val="0"/>
        <w:spacing w:line="353" w:lineRule="auto"/>
        <w:ind w:firstLine="640" w:firstLineChars="200"/>
        <w:jc w:val="left"/>
        <w:rPr>
          <w:rFonts w:ascii="楷体_GB2312" w:eastAsia="楷体_GB2312"/>
          <w:bCs/>
          <w:color w:val="000000"/>
          <w:kern w:val="0"/>
          <w:sz w:val="32"/>
          <w:szCs w:val="32"/>
          <w:shd w:val="clear" w:color="auto" w:fill="FFFFFF"/>
        </w:rPr>
      </w:pPr>
      <w:r>
        <w:rPr>
          <w:rFonts w:hint="eastAsia" w:ascii="楷体_GB2312" w:eastAsia="楷体_GB2312"/>
          <w:bCs/>
          <w:color w:val="000000"/>
          <w:kern w:val="0"/>
          <w:sz w:val="32"/>
          <w:szCs w:val="32"/>
          <w:shd w:val="clear" w:color="auto" w:fill="FFFFFF"/>
        </w:rPr>
        <w:t>1.项目决策。</w:t>
      </w:r>
    </w:p>
    <w:p w14:paraId="1D1CC814">
      <w:pPr>
        <w:adjustRightInd w:val="0"/>
        <w:snapToGrid w:val="0"/>
        <w:spacing w:line="353" w:lineRule="auto"/>
        <w:ind w:firstLine="640" w:firstLineChars="200"/>
        <w:jc w:val="left"/>
        <w:rPr>
          <w:rFonts w:eastAsia="仿宋_GB2312"/>
          <w:color w:val="000000"/>
          <w:kern w:val="0"/>
          <w:sz w:val="32"/>
          <w:szCs w:val="32"/>
          <w:shd w:val="clear" w:color="auto" w:fill="FFFFFF"/>
        </w:rPr>
      </w:pPr>
      <w:r>
        <w:rPr>
          <w:rFonts w:hint="eastAsia" w:eastAsia="仿宋_GB2312"/>
          <w:color w:val="000000"/>
          <w:kern w:val="0"/>
          <w:sz w:val="32"/>
          <w:szCs w:val="32"/>
          <w:shd w:val="clear" w:color="auto" w:fill="FFFFFF"/>
        </w:rPr>
        <w:t>部门预算项目设立均按照规定履行了评估论证、申报程序；部门预算项目绩效目标与计划期内的任务栏、预算安排的资金量匹配，绩效目标设置科学合理、规范完整、量化细化、预算匹配，且在规定时间完成了项目入库。</w:t>
      </w:r>
    </w:p>
    <w:p w14:paraId="68FE93F6">
      <w:pPr>
        <w:adjustRightInd w:val="0"/>
        <w:snapToGrid w:val="0"/>
        <w:spacing w:line="353" w:lineRule="auto"/>
        <w:ind w:firstLine="640" w:firstLineChars="200"/>
        <w:jc w:val="left"/>
        <w:rPr>
          <w:rFonts w:eastAsia="仿宋_GB2312"/>
          <w:sz w:val="32"/>
          <w:szCs w:val="32"/>
        </w:rPr>
      </w:pPr>
      <w:r>
        <w:rPr>
          <w:rFonts w:eastAsia="仿宋_GB2312"/>
          <w:color w:val="000000"/>
          <w:kern w:val="0"/>
          <w:sz w:val="32"/>
          <w:szCs w:val="32"/>
          <w:shd w:val="clear" w:color="auto" w:fill="FFFFFF"/>
          <w:lang w:val="zh-CN"/>
        </w:rPr>
        <w:t>综上</w:t>
      </w:r>
      <w:r>
        <w:rPr>
          <w:rFonts w:eastAsia="仿宋_GB2312"/>
          <w:color w:val="000000"/>
          <w:kern w:val="0"/>
          <w:sz w:val="32"/>
          <w:szCs w:val="32"/>
          <w:shd w:val="clear" w:color="auto" w:fill="FFFFFF"/>
        </w:rPr>
        <w:t>,按照部门预算绩效评价指标体系财务管理指标得分为</w:t>
      </w:r>
      <w:r>
        <w:rPr>
          <w:rFonts w:hint="eastAsia" w:eastAsia="仿宋_GB2312"/>
          <w:color w:val="000000"/>
          <w:kern w:val="0"/>
          <w:sz w:val="32"/>
          <w:szCs w:val="32"/>
          <w:shd w:val="clear" w:color="auto" w:fill="FFFFFF"/>
        </w:rPr>
        <w:t>12</w:t>
      </w:r>
      <w:r>
        <w:rPr>
          <w:rFonts w:eastAsia="仿宋_GB2312"/>
          <w:color w:val="000000"/>
          <w:kern w:val="0"/>
          <w:sz w:val="32"/>
          <w:szCs w:val="32"/>
          <w:shd w:val="clear" w:color="auto" w:fill="FFFFFF"/>
        </w:rPr>
        <w:t>分</w:t>
      </w:r>
      <w:r>
        <w:rPr>
          <w:rFonts w:hint="eastAsia" w:eastAsia="仿宋_GB2312"/>
          <w:color w:val="000000"/>
          <w:kern w:val="0"/>
          <w:sz w:val="32"/>
          <w:szCs w:val="32"/>
          <w:shd w:val="clear" w:color="auto" w:fill="FFFFFF"/>
        </w:rPr>
        <w:t>。</w:t>
      </w:r>
    </w:p>
    <w:p w14:paraId="397C5362">
      <w:pPr>
        <w:widowControl/>
        <w:adjustRightInd w:val="0"/>
        <w:snapToGrid w:val="0"/>
        <w:spacing w:line="353" w:lineRule="auto"/>
        <w:ind w:firstLine="640" w:firstLineChars="200"/>
        <w:jc w:val="left"/>
        <w:rPr>
          <w:rFonts w:ascii="楷体_GB2312" w:eastAsia="楷体_GB2312"/>
          <w:bCs/>
          <w:color w:val="000000"/>
          <w:kern w:val="0"/>
          <w:sz w:val="32"/>
          <w:szCs w:val="32"/>
          <w:shd w:val="clear" w:color="auto" w:fill="FFFFFF"/>
        </w:rPr>
      </w:pPr>
      <w:r>
        <w:rPr>
          <w:rFonts w:hint="eastAsia" w:ascii="楷体_GB2312" w:eastAsia="楷体_GB2312"/>
          <w:bCs/>
          <w:color w:val="000000"/>
          <w:kern w:val="0"/>
          <w:sz w:val="32"/>
          <w:szCs w:val="32"/>
          <w:shd w:val="clear" w:color="auto" w:fill="FFFFFF"/>
        </w:rPr>
        <w:t>2.项目执行。</w:t>
      </w:r>
    </w:p>
    <w:p w14:paraId="448815AA">
      <w:pPr>
        <w:adjustRightInd w:val="0"/>
        <w:snapToGrid w:val="0"/>
        <w:spacing w:line="353" w:lineRule="auto"/>
        <w:ind w:firstLine="640" w:firstLineChars="200"/>
        <w:jc w:val="left"/>
        <w:rPr>
          <w:rFonts w:eastAsia="仿宋_GB2312"/>
          <w:color w:val="000000"/>
          <w:kern w:val="0"/>
          <w:sz w:val="32"/>
          <w:szCs w:val="32"/>
          <w:shd w:val="clear" w:color="auto" w:fill="FFFFFF"/>
        </w:rPr>
      </w:pPr>
      <w:r>
        <w:rPr>
          <w:rFonts w:hint="eastAsia" w:eastAsia="仿宋_GB2312"/>
          <w:color w:val="000000"/>
          <w:kern w:val="0"/>
          <w:sz w:val="32"/>
          <w:szCs w:val="32"/>
          <w:shd w:val="clear" w:color="auto" w:fill="FFFFFF"/>
        </w:rPr>
        <w:t>部门预算项目实际列支内容与绩效目标设置方向相符，部门预算项目执行情况较好。</w:t>
      </w:r>
    </w:p>
    <w:p w14:paraId="76160F31">
      <w:pPr>
        <w:adjustRightInd w:val="0"/>
        <w:snapToGrid w:val="0"/>
        <w:spacing w:line="353" w:lineRule="auto"/>
        <w:ind w:firstLine="640" w:firstLineChars="200"/>
        <w:jc w:val="left"/>
        <w:rPr>
          <w:rFonts w:eastAsia="仿宋_GB2312"/>
          <w:color w:val="000000"/>
          <w:kern w:val="0"/>
          <w:sz w:val="32"/>
          <w:szCs w:val="32"/>
          <w:shd w:val="clear" w:color="auto" w:fill="FFFFFF"/>
        </w:rPr>
      </w:pPr>
      <w:r>
        <w:rPr>
          <w:rFonts w:eastAsia="仿宋_GB2312"/>
          <w:color w:val="000000"/>
          <w:kern w:val="0"/>
          <w:sz w:val="32"/>
          <w:szCs w:val="32"/>
          <w:shd w:val="clear" w:color="auto" w:fill="FFFFFF"/>
          <w:lang w:val="zh-CN"/>
        </w:rPr>
        <w:t>综上</w:t>
      </w:r>
      <w:r>
        <w:rPr>
          <w:rFonts w:eastAsia="仿宋_GB2312"/>
          <w:color w:val="000000"/>
          <w:kern w:val="0"/>
          <w:sz w:val="32"/>
          <w:szCs w:val="32"/>
          <w:shd w:val="clear" w:color="auto" w:fill="FFFFFF"/>
        </w:rPr>
        <w:t>,按照部门预算绩效评价指标体系财务管理指标得分为</w:t>
      </w:r>
      <w:r>
        <w:rPr>
          <w:rFonts w:hint="eastAsia" w:eastAsia="仿宋_GB2312"/>
          <w:color w:val="000000"/>
          <w:kern w:val="0"/>
          <w:sz w:val="32"/>
          <w:szCs w:val="32"/>
          <w:shd w:val="clear" w:color="auto" w:fill="FFFFFF"/>
        </w:rPr>
        <w:t>12</w:t>
      </w:r>
      <w:r>
        <w:rPr>
          <w:rFonts w:eastAsia="仿宋_GB2312"/>
          <w:color w:val="000000"/>
          <w:kern w:val="0"/>
          <w:sz w:val="32"/>
          <w:szCs w:val="32"/>
          <w:shd w:val="clear" w:color="auto" w:fill="FFFFFF"/>
        </w:rPr>
        <w:t>分</w:t>
      </w:r>
      <w:r>
        <w:rPr>
          <w:rFonts w:hint="eastAsia" w:eastAsia="仿宋_GB2312"/>
          <w:color w:val="000000"/>
          <w:kern w:val="0"/>
          <w:sz w:val="32"/>
          <w:szCs w:val="32"/>
          <w:shd w:val="clear" w:color="auto" w:fill="FFFFFF"/>
        </w:rPr>
        <w:t>。</w:t>
      </w:r>
    </w:p>
    <w:p w14:paraId="44FD6226">
      <w:pPr>
        <w:widowControl/>
        <w:adjustRightInd w:val="0"/>
        <w:snapToGrid w:val="0"/>
        <w:spacing w:line="353" w:lineRule="auto"/>
        <w:ind w:firstLine="640" w:firstLineChars="200"/>
        <w:jc w:val="left"/>
        <w:rPr>
          <w:rFonts w:ascii="楷体_GB2312" w:eastAsia="楷体_GB2312"/>
          <w:bCs/>
          <w:color w:val="000000"/>
          <w:kern w:val="0"/>
          <w:sz w:val="32"/>
          <w:szCs w:val="32"/>
          <w:shd w:val="clear" w:color="auto" w:fill="FFFFFF"/>
        </w:rPr>
      </w:pPr>
      <w:r>
        <w:rPr>
          <w:rFonts w:hint="eastAsia" w:ascii="楷体_GB2312" w:eastAsia="楷体_GB2312"/>
          <w:bCs/>
          <w:color w:val="000000"/>
          <w:kern w:val="0"/>
          <w:sz w:val="32"/>
          <w:szCs w:val="32"/>
          <w:shd w:val="clear" w:color="auto" w:fill="FFFFFF"/>
        </w:rPr>
        <w:t>3.目标实现。</w:t>
      </w:r>
    </w:p>
    <w:p w14:paraId="4B43403E">
      <w:pPr>
        <w:adjustRightInd w:val="0"/>
        <w:snapToGrid w:val="0"/>
        <w:spacing w:line="353" w:lineRule="auto"/>
        <w:ind w:firstLine="640" w:firstLineChars="200"/>
        <w:jc w:val="left"/>
        <w:rPr>
          <w:rFonts w:eastAsia="仿宋_GB2312"/>
          <w:color w:val="000000"/>
          <w:kern w:val="0"/>
          <w:sz w:val="32"/>
          <w:szCs w:val="32"/>
          <w:shd w:val="clear" w:color="auto" w:fill="FFFFFF"/>
        </w:rPr>
      </w:pPr>
      <w:r>
        <w:rPr>
          <w:rFonts w:hint="eastAsia" w:eastAsia="仿宋_GB2312"/>
          <w:color w:val="000000"/>
          <w:kern w:val="0"/>
          <w:sz w:val="32"/>
          <w:szCs w:val="32"/>
          <w:shd w:val="clear" w:color="auto" w:fill="FFFFFF"/>
        </w:rPr>
        <w:t>部门预算项目完成情况较好，数量指标实现程度与预期目标的偏离度较低，实施效果较好。</w:t>
      </w:r>
    </w:p>
    <w:p w14:paraId="3355FBA6">
      <w:pPr>
        <w:adjustRightInd w:val="0"/>
        <w:snapToGrid w:val="0"/>
        <w:spacing w:line="353" w:lineRule="auto"/>
        <w:ind w:firstLine="640" w:firstLineChars="200"/>
        <w:jc w:val="left"/>
        <w:rPr>
          <w:rFonts w:eastAsia="仿宋_GB2312"/>
          <w:color w:val="000000"/>
          <w:kern w:val="0"/>
          <w:sz w:val="32"/>
          <w:szCs w:val="32"/>
          <w:shd w:val="clear" w:color="auto" w:fill="FFFFFF"/>
        </w:rPr>
      </w:pPr>
      <w:r>
        <w:rPr>
          <w:rFonts w:eastAsia="仿宋_GB2312"/>
          <w:color w:val="000000"/>
          <w:kern w:val="0"/>
          <w:sz w:val="32"/>
          <w:szCs w:val="32"/>
          <w:shd w:val="clear" w:color="auto" w:fill="FFFFFF"/>
          <w:lang w:val="zh-CN"/>
        </w:rPr>
        <w:t>综上</w:t>
      </w:r>
      <w:r>
        <w:rPr>
          <w:rFonts w:eastAsia="仿宋_GB2312"/>
          <w:color w:val="000000"/>
          <w:kern w:val="0"/>
          <w:sz w:val="32"/>
          <w:szCs w:val="32"/>
          <w:shd w:val="clear" w:color="auto" w:fill="FFFFFF"/>
        </w:rPr>
        <w:t>,按照部门预算绩效评价指标体系财务管理指标得分为</w:t>
      </w:r>
      <w:r>
        <w:rPr>
          <w:rFonts w:hint="eastAsia" w:eastAsia="仿宋_GB2312"/>
          <w:color w:val="000000"/>
          <w:kern w:val="0"/>
          <w:sz w:val="32"/>
          <w:szCs w:val="32"/>
          <w:shd w:val="clear" w:color="auto" w:fill="FFFFFF"/>
        </w:rPr>
        <w:t>12</w:t>
      </w:r>
      <w:r>
        <w:rPr>
          <w:rFonts w:eastAsia="仿宋_GB2312"/>
          <w:color w:val="000000"/>
          <w:kern w:val="0"/>
          <w:sz w:val="32"/>
          <w:szCs w:val="32"/>
          <w:shd w:val="clear" w:color="auto" w:fill="FFFFFF"/>
        </w:rPr>
        <w:t>分</w:t>
      </w:r>
      <w:r>
        <w:rPr>
          <w:rFonts w:hint="eastAsia" w:eastAsia="仿宋_GB2312"/>
          <w:color w:val="000000"/>
          <w:kern w:val="0"/>
          <w:sz w:val="32"/>
          <w:szCs w:val="32"/>
          <w:shd w:val="clear" w:color="auto" w:fill="FFFFFF"/>
        </w:rPr>
        <w:t>。</w:t>
      </w:r>
    </w:p>
    <w:p w14:paraId="3C407408">
      <w:pPr>
        <w:widowControl/>
        <w:adjustRightInd w:val="0"/>
        <w:snapToGrid w:val="0"/>
        <w:spacing w:line="353" w:lineRule="auto"/>
        <w:ind w:firstLine="640" w:firstLineChars="200"/>
        <w:jc w:val="left"/>
        <w:rPr>
          <w:rFonts w:ascii="楷体_GB2312" w:eastAsia="楷体_GB2312"/>
          <w:color w:val="000000"/>
          <w:kern w:val="0"/>
          <w:sz w:val="32"/>
          <w:szCs w:val="32"/>
          <w:shd w:val="clear" w:color="auto" w:fill="FFFFFF"/>
        </w:rPr>
      </w:pPr>
      <w:r>
        <w:rPr>
          <w:rFonts w:hint="eastAsia" w:ascii="楷体_GB2312" w:eastAsia="楷体_GB2312"/>
          <w:bCs/>
          <w:color w:val="000000"/>
          <w:kern w:val="0"/>
          <w:sz w:val="32"/>
          <w:szCs w:val="32"/>
          <w:shd w:val="clear" w:color="auto" w:fill="FFFFFF"/>
          <w:lang w:val="zh-CN"/>
        </w:rPr>
        <w:t>（二）部门预算项目绩效分析。</w:t>
      </w:r>
    </w:p>
    <w:p w14:paraId="4DEFC183">
      <w:pPr>
        <w:adjustRightInd w:val="0"/>
        <w:snapToGrid w:val="0"/>
        <w:spacing w:line="353" w:lineRule="auto"/>
        <w:ind w:firstLine="640" w:firstLineChars="200"/>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常年项目绩效分析。</w:t>
      </w:r>
      <w:r>
        <w:rPr>
          <w:rFonts w:eastAsia="仿宋_GB2312"/>
          <w:color w:val="000000"/>
          <w:kern w:val="0"/>
          <w:sz w:val="32"/>
          <w:szCs w:val="32"/>
          <w:shd w:val="clear" w:color="auto" w:fill="FFFFFF"/>
          <w:lang w:val="zh-CN"/>
        </w:rPr>
        <w:t>该类项目总数</w:t>
      </w:r>
      <w:r>
        <w:rPr>
          <w:rFonts w:eastAsia="仿宋_GB2312"/>
          <w:color w:val="000000"/>
          <w:kern w:val="0"/>
          <w:sz w:val="32"/>
          <w:szCs w:val="32"/>
          <w:shd w:val="clear" w:color="auto" w:fill="FFFFFF"/>
        </w:rPr>
        <w:t>1</w:t>
      </w:r>
      <w:r>
        <w:rPr>
          <w:rFonts w:hint="eastAsia" w:eastAsia="仿宋_GB2312"/>
          <w:color w:val="000000"/>
          <w:kern w:val="0"/>
          <w:sz w:val="32"/>
          <w:szCs w:val="32"/>
          <w:shd w:val="clear" w:color="auto" w:fill="FFFFFF"/>
        </w:rPr>
        <w:t>5</w:t>
      </w:r>
      <w:r>
        <w:rPr>
          <w:rFonts w:eastAsia="仿宋_GB2312"/>
          <w:color w:val="000000"/>
          <w:kern w:val="0"/>
          <w:sz w:val="32"/>
          <w:szCs w:val="32"/>
          <w:shd w:val="clear" w:color="auto" w:fill="FFFFFF"/>
          <w:lang w:val="zh-CN"/>
        </w:rPr>
        <w:t>个，涉及预算总金额</w:t>
      </w:r>
      <w:r>
        <w:rPr>
          <w:rFonts w:hint="eastAsia" w:eastAsia="仿宋_GB2312"/>
          <w:color w:val="000000"/>
          <w:kern w:val="0"/>
          <w:sz w:val="32"/>
          <w:szCs w:val="32"/>
          <w:shd w:val="clear" w:color="auto" w:fill="FFFFFF"/>
        </w:rPr>
        <w:t>8957.83</w:t>
      </w:r>
      <w:r>
        <w:rPr>
          <w:rFonts w:eastAsia="仿宋_GB2312"/>
          <w:color w:val="000000"/>
          <w:kern w:val="0"/>
          <w:sz w:val="32"/>
          <w:szCs w:val="32"/>
          <w:shd w:val="clear" w:color="auto" w:fill="FFFFFF"/>
          <w:lang w:val="zh-CN"/>
        </w:rPr>
        <w:t>万元，1—1</w:t>
      </w:r>
      <w:r>
        <w:rPr>
          <w:rFonts w:eastAsia="仿宋_GB2312"/>
          <w:color w:val="000000"/>
          <w:kern w:val="0"/>
          <w:sz w:val="32"/>
          <w:szCs w:val="32"/>
          <w:shd w:val="clear" w:color="auto" w:fill="FFFFFF"/>
        </w:rPr>
        <w:t>2</w:t>
      </w:r>
      <w:r>
        <w:rPr>
          <w:rFonts w:eastAsia="仿宋_GB2312"/>
          <w:color w:val="000000"/>
          <w:kern w:val="0"/>
          <w:sz w:val="32"/>
          <w:szCs w:val="32"/>
          <w:shd w:val="clear" w:color="auto" w:fill="FFFFFF"/>
          <w:lang w:val="zh-CN"/>
        </w:rPr>
        <w:t>月预算执行总体进度为</w:t>
      </w:r>
      <w:r>
        <w:rPr>
          <w:rFonts w:hint="eastAsia" w:eastAsia="仿宋_GB2312"/>
          <w:color w:val="000000"/>
          <w:kern w:val="0"/>
          <w:sz w:val="32"/>
          <w:szCs w:val="32"/>
          <w:shd w:val="clear" w:color="auto" w:fill="FFFFFF"/>
        </w:rPr>
        <w:t>97.59</w:t>
      </w:r>
      <w:r>
        <w:rPr>
          <w:rFonts w:eastAsia="仿宋_GB2312"/>
          <w:color w:val="000000"/>
          <w:kern w:val="0"/>
          <w:sz w:val="32"/>
          <w:szCs w:val="32"/>
          <w:shd w:val="clear" w:color="auto" w:fill="FFFFFF"/>
          <w:lang w:val="zh-CN"/>
        </w:rPr>
        <w:t>%，其中：预算结余率大于</w:t>
      </w:r>
      <w:r>
        <w:rPr>
          <w:rFonts w:eastAsia="仿宋_GB2312"/>
          <w:color w:val="000000"/>
          <w:kern w:val="0"/>
          <w:sz w:val="32"/>
          <w:szCs w:val="32"/>
          <w:shd w:val="clear" w:color="auto" w:fill="FFFFFF"/>
        </w:rPr>
        <w:t>10%</w:t>
      </w:r>
      <w:r>
        <w:rPr>
          <w:rFonts w:eastAsia="仿宋_GB2312"/>
          <w:color w:val="000000"/>
          <w:kern w:val="0"/>
          <w:sz w:val="32"/>
          <w:szCs w:val="32"/>
          <w:shd w:val="clear" w:color="auto" w:fill="FFFFFF"/>
          <w:lang w:val="zh-CN"/>
        </w:rPr>
        <w:t>的项目共计</w:t>
      </w:r>
      <w:r>
        <w:rPr>
          <w:rFonts w:eastAsia="仿宋_GB2312"/>
          <w:color w:val="000000"/>
          <w:kern w:val="0"/>
          <w:sz w:val="32"/>
          <w:szCs w:val="32"/>
          <w:shd w:val="clear" w:color="auto" w:fill="FFFFFF"/>
        </w:rPr>
        <w:t>0</w:t>
      </w:r>
      <w:r>
        <w:rPr>
          <w:rFonts w:eastAsia="仿宋_GB2312"/>
          <w:color w:val="000000"/>
          <w:kern w:val="0"/>
          <w:sz w:val="32"/>
          <w:szCs w:val="32"/>
          <w:shd w:val="clear" w:color="auto" w:fill="FFFFFF"/>
          <w:lang w:val="zh-CN"/>
        </w:rPr>
        <w:t>个。</w:t>
      </w:r>
    </w:p>
    <w:p w14:paraId="362925DE">
      <w:pPr>
        <w:adjustRightInd w:val="0"/>
        <w:snapToGrid w:val="0"/>
        <w:spacing w:line="353" w:lineRule="auto"/>
        <w:ind w:firstLine="640" w:firstLineChars="200"/>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阶段（含一次性）项目绩效分析。</w:t>
      </w:r>
      <w:r>
        <w:rPr>
          <w:rFonts w:eastAsia="仿宋_GB2312"/>
          <w:color w:val="000000"/>
          <w:kern w:val="0"/>
          <w:sz w:val="32"/>
          <w:szCs w:val="32"/>
          <w:shd w:val="clear" w:color="auto" w:fill="FFFFFF"/>
          <w:lang w:val="zh-CN"/>
        </w:rPr>
        <w:t>该类项目总数</w:t>
      </w:r>
      <w:r>
        <w:rPr>
          <w:rFonts w:hint="eastAsia" w:eastAsia="仿宋_GB2312"/>
          <w:color w:val="000000"/>
          <w:kern w:val="0"/>
          <w:sz w:val="32"/>
          <w:szCs w:val="32"/>
          <w:shd w:val="clear" w:color="auto" w:fill="FFFFFF"/>
        </w:rPr>
        <w:t>2</w:t>
      </w:r>
      <w:r>
        <w:rPr>
          <w:rFonts w:eastAsia="仿宋_GB2312"/>
          <w:color w:val="000000"/>
          <w:kern w:val="0"/>
          <w:sz w:val="32"/>
          <w:szCs w:val="32"/>
          <w:shd w:val="clear" w:color="auto" w:fill="FFFFFF"/>
          <w:lang w:val="zh-CN"/>
        </w:rPr>
        <w:t>个，涉及预算总金额</w:t>
      </w:r>
      <w:r>
        <w:rPr>
          <w:rFonts w:hint="eastAsia" w:eastAsia="仿宋_GB2312"/>
          <w:color w:val="000000"/>
          <w:kern w:val="0"/>
          <w:sz w:val="32"/>
          <w:szCs w:val="32"/>
          <w:shd w:val="clear" w:color="auto" w:fill="FFFFFF"/>
        </w:rPr>
        <w:t>266.18</w:t>
      </w:r>
      <w:r>
        <w:rPr>
          <w:rFonts w:eastAsia="仿宋_GB2312"/>
          <w:color w:val="000000"/>
          <w:kern w:val="0"/>
          <w:sz w:val="32"/>
          <w:szCs w:val="32"/>
          <w:shd w:val="clear" w:color="auto" w:fill="FFFFFF"/>
          <w:lang w:val="zh-CN"/>
        </w:rPr>
        <w:t>万元，1—1</w:t>
      </w:r>
      <w:r>
        <w:rPr>
          <w:rFonts w:eastAsia="仿宋_GB2312"/>
          <w:color w:val="000000"/>
          <w:kern w:val="0"/>
          <w:sz w:val="32"/>
          <w:szCs w:val="32"/>
          <w:shd w:val="clear" w:color="auto" w:fill="FFFFFF"/>
        </w:rPr>
        <w:t>2</w:t>
      </w:r>
      <w:r>
        <w:rPr>
          <w:rFonts w:eastAsia="仿宋_GB2312"/>
          <w:color w:val="000000"/>
          <w:kern w:val="0"/>
          <w:sz w:val="32"/>
          <w:szCs w:val="32"/>
          <w:shd w:val="clear" w:color="auto" w:fill="FFFFFF"/>
          <w:lang w:val="zh-CN"/>
        </w:rPr>
        <w:t>月预算执行总体进度为</w:t>
      </w:r>
      <w:r>
        <w:rPr>
          <w:rFonts w:hint="eastAsia" w:eastAsia="仿宋_GB2312"/>
          <w:color w:val="000000"/>
          <w:kern w:val="0"/>
          <w:sz w:val="32"/>
          <w:szCs w:val="32"/>
          <w:shd w:val="clear" w:color="auto" w:fill="FFFFFF"/>
        </w:rPr>
        <w:t>100</w:t>
      </w:r>
      <w:r>
        <w:rPr>
          <w:rFonts w:eastAsia="仿宋_GB2312"/>
          <w:color w:val="000000"/>
          <w:kern w:val="0"/>
          <w:sz w:val="32"/>
          <w:szCs w:val="32"/>
          <w:shd w:val="clear" w:color="auto" w:fill="FFFFFF"/>
          <w:lang w:val="zh-CN"/>
        </w:rPr>
        <w:t>%，其中：预算结余率大于</w:t>
      </w:r>
      <w:r>
        <w:rPr>
          <w:rFonts w:eastAsia="仿宋_GB2312"/>
          <w:color w:val="000000"/>
          <w:kern w:val="0"/>
          <w:sz w:val="32"/>
          <w:szCs w:val="32"/>
          <w:shd w:val="clear" w:color="auto" w:fill="FFFFFF"/>
        </w:rPr>
        <w:t>10%</w:t>
      </w:r>
      <w:r>
        <w:rPr>
          <w:rFonts w:eastAsia="仿宋_GB2312"/>
          <w:color w:val="000000"/>
          <w:kern w:val="0"/>
          <w:sz w:val="32"/>
          <w:szCs w:val="32"/>
          <w:shd w:val="clear" w:color="auto" w:fill="FFFFFF"/>
          <w:lang w:val="zh-CN"/>
        </w:rPr>
        <w:t>的项目共计</w:t>
      </w:r>
      <w:r>
        <w:rPr>
          <w:rFonts w:eastAsia="仿宋_GB2312"/>
          <w:color w:val="000000"/>
          <w:kern w:val="0"/>
          <w:sz w:val="32"/>
          <w:szCs w:val="32"/>
          <w:shd w:val="clear" w:color="auto" w:fill="FFFFFF"/>
        </w:rPr>
        <w:t>0</w:t>
      </w:r>
      <w:r>
        <w:rPr>
          <w:rFonts w:eastAsia="仿宋_GB2312"/>
          <w:color w:val="000000"/>
          <w:kern w:val="0"/>
          <w:sz w:val="32"/>
          <w:szCs w:val="32"/>
          <w:shd w:val="clear" w:color="auto" w:fill="FFFFFF"/>
          <w:lang w:val="zh-CN"/>
        </w:rPr>
        <w:t>个。</w:t>
      </w:r>
    </w:p>
    <w:p w14:paraId="48049EFF">
      <w:pPr>
        <w:adjustRightInd w:val="0"/>
        <w:snapToGrid w:val="0"/>
        <w:spacing w:line="353" w:lineRule="auto"/>
        <w:ind w:firstLine="640" w:firstLineChars="200"/>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1.</w:t>
      </w:r>
      <w:r>
        <w:rPr>
          <w:rFonts w:eastAsia="仿宋_GB2312"/>
          <w:color w:val="000000"/>
          <w:kern w:val="0"/>
          <w:sz w:val="32"/>
          <w:szCs w:val="32"/>
          <w:shd w:val="clear" w:color="auto" w:fill="FFFFFF"/>
          <w:lang w:val="zh-CN"/>
        </w:rPr>
        <w:t>项目决策</w:t>
      </w:r>
      <w:r>
        <w:rPr>
          <w:rFonts w:hint="eastAsia"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围绕决策程序、目标设置、项目入库进行绩效分析。</w:t>
      </w:r>
    </w:p>
    <w:p w14:paraId="2F8151FB">
      <w:pPr>
        <w:adjustRightInd w:val="0"/>
        <w:snapToGrid w:val="0"/>
        <w:spacing w:line="353" w:lineRule="auto"/>
        <w:ind w:firstLine="640" w:firstLineChars="200"/>
        <w:jc w:val="left"/>
        <w:rPr>
          <w:rFonts w:eastAsia="仿宋_GB2312"/>
          <w:sz w:val="32"/>
          <w:szCs w:val="32"/>
          <w:lang w:val="zh-CN"/>
        </w:rPr>
      </w:pPr>
      <w:r>
        <w:rPr>
          <w:rFonts w:eastAsia="仿宋_GB2312"/>
          <w:kern w:val="0"/>
          <w:sz w:val="32"/>
          <w:szCs w:val="32"/>
          <w:shd w:val="clear" w:color="auto" w:fill="FFFFFF"/>
          <w:lang w:val="zh-CN"/>
        </w:rPr>
        <w:t>202</w:t>
      </w:r>
      <w:r>
        <w:rPr>
          <w:rFonts w:hint="eastAsia" w:eastAsia="仿宋_GB2312"/>
          <w:kern w:val="0"/>
          <w:sz w:val="32"/>
          <w:szCs w:val="32"/>
          <w:shd w:val="clear" w:color="auto" w:fill="FFFFFF"/>
        </w:rPr>
        <w:t>5</w:t>
      </w:r>
      <w:r>
        <w:rPr>
          <w:rFonts w:eastAsia="仿宋_GB2312"/>
          <w:kern w:val="0"/>
          <w:sz w:val="32"/>
          <w:szCs w:val="32"/>
          <w:shd w:val="clear" w:color="auto" w:fill="FFFFFF"/>
          <w:lang w:val="zh-CN"/>
        </w:rPr>
        <w:t>年，市公安局预算编制时均严格按照市财政局印发的编报口径，结合单位职能职责和全年绩效目标进行编制，按照三重一大程序开展项目决策，预算编制科学合理，绩效目标编制完整，绩效指标设置清晰可衡量，操作性强，绩效目标过程监控有效，达到了规范性和长期性，项目及时入库，绩效评价结果客观公正。</w:t>
      </w:r>
    </w:p>
    <w:p w14:paraId="4CD09E25">
      <w:pPr>
        <w:adjustRightInd w:val="0"/>
        <w:snapToGrid w:val="0"/>
        <w:spacing w:line="353" w:lineRule="auto"/>
        <w:ind w:firstLine="640" w:firstLineChars="200"/>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2.项目执行</w:t>
      </w:r>
      <w:r>
        <w:rPr>
          <w:rFonts w:hint="eastAsia"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围绕资金执行同向、项目调整、执行结果进行绩效分析。</w:t>
      </w:r>
    </w:p>
    <w:p w14:paraId="2520F829">
      <w:pPr>
        <w:widowControl/>
        <w:adjustRightInd w:val="0"/>
        <w:snapToGrid w:val="0"/>
        <w:spacing w:line="353" w:lineRule="auto"/>
        <w:ind w:firstLine="640" w:firstLineChars="200"/>
        <w:jc w:val="left"/>
        <w:rPr>
          <w:rFonts w:eastAsia="仿宋_GB2312"/>
          <w:sz w:val="32"/>
          <w:szCs w:val="32"/>
          <w:lang w:val="zh-CN"/>
        </w:rPr>
      </w:pPr>
      <w:r>
        <w:rPr>
          <w:rFonts w:eastAsia="仿宋_GB2312"/>
          <w:color w:val="000000"/>
          <w:kern w:val="0"/>
          <w:sz w:val="32"/>
          <w:szCs w:val="32"/>
          <w:shd w:val="clear" w:color="auto" w:fill="FFFFFF"/>
        </w:rPr>
        <w:t>除202</w:t>
      </w:r>
      <w:r>
        <w:rPr>
          <w:rFonts w:hint="eastAsia" w:eastAsia="仿宋_GB2312"/>
          <w:color w:val="000000"/>
          <w:kern w:val="0"/>
          <w:sz w:val="32"/>
          <w:szCs w:val="32"/>
          <w:shd w:val="clear" w:color="auto" w:fill="FFFFFF"/>
        </w:rPr>
        <w:t>5</w:t>
      </w:r>
      <w:r>
        <w:rPr>
          <w:rFonts w:eastAsia="仿宋_GB2312"/>
          <w:color w:val="000000"/>
          <w:kern w:val="0"/>
          <w:sz w:val="32"/>
          <w:szCs w:val="32"/>
          <w:shd w:val="clear" w:color="auto" w:fill="FFFFFF"/>
        </w:rPr>
        <w:t>年政法转移支付资金、</w:t>
      </w:r>
      <w:r>
        <w:rPr>
          <w:rFonts w:hint="eastAsia" w:eastAsia="仿宋_GB2312"/>
          <w:sz w:val="32"/>
          <w:szCs w:val="32"/>
        </w:rPr>
        <w:t>市公安局</w:t>
      </w:r>
      <w:r>
        <w:rPr>
          <w:rFonts w:eastAsia="仿宋_GB2312"/>
          <w:sz w:val="32"/>
          <w:szCs w:val="32"/>
        </w:rPr>
        <w:t>重大公共卫生服务中央补助资金、</w:t>
      </w:r>
      <w:r>
        <w:rPr>
          <w:rFonts w:hint="eastAsia" w:eastAsia="仿宋_GB2312"/>
          <w:sz w:val="32"/>
          <w:szCs w:val="32"/>
        </w:rPr>
        <w:t>省级铁路护路联防专项资金、市公安局扫黑除恶专项经费、</w:t>
      </w:r>
      <w:r>
        <w:rPr>
          <w:rFonts w:eastAsia="仿宋_GB2312"/>
          <w:sz w:val="32"/>
          <w:szCs w:val="32"/>
        </w:rPr>
        <w:t>市公安局（本级）钒钛高新区辅警经费、防疫经费</w:t>
      </w:r>
      <w:r>
        <w:rPr>
          <w:rFonts w:eastAsia="仿宋_GB2312"/>
          <w:color w:val="000000"/>
          <w:kern w:val="0"/>
          <w:sz w:val="32"/>
          <w:szCs w:val="32"/>
          <w:shd w:val="clear" w:color="auto" w:fill="FFFFFF"/>
        </w:rPr>
        <w:t>存在结余，其他经费的执行率均为100%。202</w:t>
      </w:r>
      <w:r>
        <w:rPr>
          <w:rFonts w:hint="eastAsia" w:eastAsia="仿宋_GB2312"/>
          <w:sz w:val="32"/>
          <w:szCs w:val="32"/>
        </w:rPr>
        <w:t>5</w:t>
      </w:r>
      <w:r>
        <w:rPr>
          <w:rFonts w:eastAsia="仿宋_GB2312"/>
          <w:sz w:val="32"/>
          <w:szCs w:val="32"/>
        </w:rPr>
        <w:t>年转移支付资金结余</w:t>
      </w:r>
      <w:r>
        <w:rPr>
          <w:rFonts w:hint="eastAsia" w:eastAsia="仿宋_GB2312"/>
          <w:sz w:val="32"/>
          <w:szCs w:val="32"/>
        </w:rPr>
        <w:t>172.67</w:t>
      </w:r>
      <w:r>
        <w:rPr>
          <w:rFonts w:eastAsia="仿宋_GB2312"/>
          <w:sz w:val="32"/>
          <w:szCs w:val="32"/>
        </w:rPr>
        <w:t>万元，省级铁路护路专项资金结余</w:t>
      </w:r>
      <w:r>
        <w:rPr>
          <w:rFonts w:hint="eastAsia" w:eastAsia="仿宋_GB2312"/>
          <w:sz w:val="32"/>
          <w:szCs w:val="32"/>
        </w:rPr>
        <w:t>10</w:t>
      </w:r>
      <w:r>
        <w:rPr>
          <w:rFonts w:eastAsia="仿宋_GB2312"/>
          <w:sz w:val="32"/>
          <w:szCs w:val="32"/>
        </w:rPr>
        <w:t>万元，防疫经费2.0</w:t>
      </w:r>
      <w:r>
        <w:rPr>
          <w:rFonts w:hint="eastAsia" w:eastAsia="仿宋_GB2312"/>
          <w:sz w:val="32"/>
          <w:szCs w:val="32"/>
        </w:rPr>
        <w:t>3</w:t>
      </w:r>
      <w:r>
        <w:rPr>
          <w:rFonts w:eastAsia="仿宋_GB2312"/>
          <w:sz w:val="32"/>
          <w:szCs w:val="32"/>
        </w:rPr>
        <w:t>万元，2024年重大公共卫生服务中央补助资金</w:t>
      </w:r>
      <w:r>
        <w:rPr>
          <w:rFonts w:hint="eastAsia" w:eastAsia="仿宋_GB2312"/>
          <w:sz w:val="32"/>
          <w:szCs w:val="32"/>
        </w:rPr>
        <w:t>0.27</w:t>
      </w:r>
      <w:r>
        <w:rPr>
          <w:rFonts w:eastAsia="仿宋_GB2312"/>
          <w:sz w:val="32"/>
          <w:szCs w:val="32"/>
        </w:rPr>
        <w:t>万元，</w:t>
      </w:r>
      <w:r>
        <w:rPr>
          <w:rFonts w:hint="eastAsia" w:eastAsia="仿宋_GB2312"/>
          <w:sz w:val="32"/>
          <w:szCs w:val="32"/>
        </w:rPr>
        <w:t>市公安局扫黑除恶专项经费20万元、市公安局司法救助金1万元</w:t>
      </w:r>
      <w:r>
        <w:rPr>
          <w:rFonts w:eastAsia="仿宋_GB2312"/>
          <w:sz w:val="32"/>
          <w:szCs w:val="32"/>
        </w:rPr>
        <w:t>待202</w:t>
      </w:r>
      <w:r>
        <w:rPr>
          <w:rFonts w:hint="eastAsia" w:eastAsia="仿宋_GB2312"/>
          <w:sz w:val="32"/>
          <w:szCs w:val="32"/>
        </w:rPr>
        <w:t>6</w:t>
      </w:r>
      <w:r>
        <w:rPr>
          <w:rFonts w:eastAsia="仿宋_GB2312"/>
          <w:sz w:val="32"/>
          <w:szCs w:val="32"/>
        </w:rPr>
        <w:t>年度按进度支出；市公安局（本级）钒钛高新区辅警经费结转</w:t>
      </w:r>
      <w:r>
        <w:rPr>
          <w:rFonts w:hint="eastAsia" w:eastAsia="仿宋_GB2312"/>
          <w:sz w:val="32"/>
          <w:szCs w:val="32"/>
        </w:rPr>
        <w:t>200.12</w:t>
      </w:r>
      <w:r>
        <w:rPr>
          <w:rFonts w:eastAsia="仿宋_GB2312"/>
          <w:sz w:val="32"/>
          <w:szCs w:val="32"/>
        </w:rPr>
        <w:t>万元，计划于202</w:t>
      </w:r>
      <w:r>
        <w:rPr>
          <w:rFonts w:hint="eastAsia" w:eastAsia="仿宋_GB2312"/>
          <w:sz w:val="32"/>
          <w:szCs w:val="32"/>
        </w:rPr>
        <w:t>6</w:t>
      </w:r>
      <w:r>
        <w:rPr>
          <w:rFonts w:eastAsia="仿宋_GB2312"/>
          <w:sz w:val="32"/>
          <w:szCs w:val="32"/>
        </w:rPr>
        <w:t>年上半年使用完毕。市公安局部门在年度经费的使用中严格控制预算，同时在项目执行中采取询价对比、总价控制等措施严控支出，无超预算支</w:t>
      </w:r>
      <w:r>
        <w:rPr>
          <w:rFonts w:eastAsia="仿宋_GB2312"/>
          <w:color w:val="000000"/>
          <w:kern w:val="0"/>
          <w:sz w:val="32"/>
          <w:szCs w:val="32"/>
          <w:shd w:val="clear" w:color="auto" w:fill="FFFFFF"/>
        </w:rPr>
        <w:t>出等违规情况发生。</w:t>
      </w:r>
    </w:p>
    <w:p w14:paraId="007CC4FC">
      <w:pPr>
        <w:adjustRightInd w:val="0"/>
        <w:snapToGrid w:val="0"/>
        <w:spacing w:line="353" w:lineRule="auto"/>
        <w:ind w:firstLine="640" w:firstLineChars="200"/>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3.</w:t>
      </w:r>
      <w:r>
        <w:rPr>
          <w:rFonts w:eastAsia="仿宋_GB2312"/>
          <w:color w:val="000000"/>
          <w:kern w:val="0"/>
          <w:sz w:val="32"/>
          <w:szCs w:val="32"/>
          <w:shd w:val="clear" w:color="auto" w:fill="FFFFFF"/>
          <w:lang w:val="zh-CN"/>
        </w:rPr>
        <w:t>目标实现</w:t>
      </w:r>
      <w:r>
        <w:rPr>
          <w:rFonts w:hint="eastAsia"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围绕目标完成、目标偏离、实现效果进行绩效分析。</w:t>
      </w:r>
    </w:p>
    <w:p w14:paraId="638C9554">
      <w:pPr>
        <w:snapToGrid w:val="0"/>
        <w:spacing w:line="353" w:lineRule="auto"/>
        <w:ind w:firstLine="660"/>
        <w:jc w:val="left"/>
        <w:rPr>
          <w:rFonts w:eastAsia="仿宋_GB2312"/>
          <w:sz w:val="32"/>
          <w:szCs w:val="32"/>
        </w:rPr>
      </w:pPr>
      <w:r>
        <w:rPr>
          <w:rFonts w:eastAsia="仿宋_GB2312"/>
          <w:sz w:val="32"/>
          <w:szCs w:val="32"/>
        </w:rPr>
        <w:t>（1）人员经费收入、支出</w:t>
      </w:r>
    </w:p>
    <w:p w14:paraId="75FAE8AB">
      <w:pPr>
        <w:snapToGrid w:val="0"/>
        <w:spacing w:line="353" w:lineRule="auto"/>
        <w:ind w:firstLine="660"/>
        <w:jc w:val="left"/>
        <w:rPr>
          <w:rFonts w:eastAsia="仿宋_GB2312"/>
          <w:sz w:val="32"/>
          <w:szCs w:val="32"/>
        </w:rPr>
      </w:pPr>
      <w:r>
        <w:rPr>
          <w:rFonts w:eastAsia="仿宋_GB2312"/>
          <w:sz w:val="32"/>
          <w:szCs w:val="32"/>
        </w:rPr>
        <w:t>202</w:t>
      </w:r>
      <w:r>
        <w:rPr>
          <w:rFonts w:hint="eastAsia" w:eastAsia="仿宋_GB2312"/>
          <w:sz w:val="32"/>
          <w:szCs w:val="32"/>
        </w:rPr>
        <w:t>5</w:t>
      </w:r>
      <w:r>
        <w:rPr>
          <w:rFonts w:eastAsia="仿宋_GB2312"/>
          <w:sz w:val="32"/>
          <w:szCs w:val="32"/>
        </w:rPr>
        <w:t>年，</w:t>
      </w:r>
      <w:r>
        <w:rPr>
          <w:rFonts w:hint="eastAsia" w:eastAsia="仿宋_GB2312"/>
          <w:sz w:val="32"/>
          <w:szCs w:val="32"/>
        </w:rPr>
        <w:t>攀枝花市公安局部门</w:t>
      </w:r>
      <w:r>
        <w:rPr>
          <w:rFonts w:eastAsia="仿宋_GB2312"/>
          <w:sz w:val="32"/>
          <w:szCs w:val="32"/>
        </w:rPr>
        <w:t>人员经费收入50188.1万元、支出50188.1万，执行率100%。人员经费支出具体包括：人员基本工资、津贴补贴、绩效工资、奖金、养老保险、医保、补充医疗保险（在职）、离退休工资、住房公积金、遗属生活补助等用于职工个人方面的费用。</w:t>
      </w:r>
    </w:p>
    <w:p w14:paraId="08309310">
      <w:pPr>
        <w:snapToGrid w:val="0"/>
        <w:spacing w:line="353" w:lineRule="auto"/>
        <w:ind w:firstLine="660"/>
        <w:jc w:val="left"/>
        <w:rPr>
          <w:rFonts w:eastAsia="仿宋_GB2312"/>
          <w:sz w:val="32"/>
          <w:szCs w:val="32"/>
        </w:rPr>
      </w:pPr>
      <w:r>
        <w:rPr>
          <w:rFonts w:eastAsia="仿宋_GB2312"/>
          <w:sz w:val="32"/>
          <w:szCs w:val="32"/>
        </w:rPr>
        <w:t>（2）公用经费收入、支出</w:t>
      </w:r>
    </w:p>
    <w:p w14:paraId="0880DE10">
      <w:pPr>
        <w:snapToGrid w:val="0"/>
        <w:spacing w:line="353" w:lineRule="auto"/>
        <w:ind w:firstLine="660"/>
        <w:jc w:val="left"/>
        <w:rPr>
          <w:rFonts w:eastAsia="仿宋_GB2312"/>
          <w:sz w:val="32"/>
          <w:szCs w:val="32"/>
        </w:rPr>
      </w:pPr>
      <w:r>
        <w:rPr>
          <w:rFonts w:eastAsia="仿宋_GB2312"/>
          <w:sz w:val="32"/>
          <w:szCs w:val="32"/>
        </w:rPr>
        <w:t>202</w:t>
      </w:r>
      <w:r>
        <w:rPr>
          <w:rFonts w:hint="eastAsia" w:eastAsia="仿宋_GB2312"/>
          <w:sz w:val="32"/>
          <w:szCs w:val="32"/>
        </w:rPr>
        <w:t>5</w:t>
      </w:r>
      <w:r>
        <w:rPr>
          <w:rFonts w:eastAsia="仿宋_GB2312"/>
          <w:sz w:val="32"/>
          <w:szCs w:val="32"/>
        </w:rPr>
        <w:t>年，公用经费收入</w:t>
      </w:r>
      <w:r>
        <w:rPr>
          <w:rFonts w:hint="eastAsia" w:eastAsia="仿宋_GB2312"/>
          <w:sz w:val="32"/>
          <w:szCs w:val="32"/>
        </w:rPr>
        <w:t>4391.81</w:t>
      </w:r>
      <w:r>
        <w:rPr>
          <w:rFonts w:eastAsia="仿宋_GB2312"/>
          <w:sz w:val="32"/>
          <w:szCs w:val="32"/>
        </w:rPr>
        <w:t>万元、支出</w:t>
      </w:r>
      <w:r>
        <w:rPr>
          <w:rFonts w:hint="eastAsia" w:eastAsia="仿宋_GB2312"/>
          <w:sz w:val="32"/>
          <w:szCs w:val="32"/>
        </w:rPr>
        <w:t>4391.81</w:t>
      </w:r>
      <w:r>
        <w:rPr>
          <w:rFonts w:eastAsia="仿宋_GB2312"/>
          <w:sz w:val="32"/>
          <w:szCs w:val="32"/>
        </w:rPr>
        <w:t>万元</w:t>
      </w:r>
      <w:r>
        <w:rPr>
          <w:rFonts w:hint="eastAsia" w:eastAsia="仿宋_GB2312"/>
          <w:sz w:val="32"/>
          <w:szCs w:val="32"/>
        </w:rPr>
        <w:t>，</w:t>
      </w:r>
      <w:r>
        <w:rPr>
          <w:rFonts w:eastAsia="仿宋_GB2312"/>
          <w:sz w:val="32"/>
          <w:szCs w:val="32"/>
        </w:rPr>
        <w:t>执行率100%。公用经费支出具体包括：办公费、水费、电费、邮电费、物业管理费、差旅费、食堂运维费、公务接待费、工会经费、福利费、公务用车运行维护费、其他交通费用和其他商品和服务支出等。</w:t>
      </w:r>
    </w:p>
    <w:p w14:paraId="69155A22">
      <w:pPr>
        <w:snapToGrid w:val="0"/>
        <w:spacing w:line="353" w:lineRule="auto"/>
        <w:ind w:firstLine="660"/>
        <w:jc w:val="left"/>
        <w:rPr>
          <w:rFonts w:eastAsia="仿宋_GB2312"/>
          <w:sz w:val="32"/>
          <w:szCs w:val="32"/>
        </w:rPr>
      </w:pPr>
      <w:r>
        <w:rPr>
          <w:rFonts w:eastAsia="仿宋_GB2312"/>
          <w:sz w:val="32"/>
          <w:szCs w:val="32"/>
        </w:rPr>
        <w:t>（3）项目经费收入、支出</w:t>
      </w:r>
    </w:p>
    <w:p w14:paraId="3F04554D">
      <w:pPr>
        <w:snapToGrid w:val="0"/>
        <w:spacing w:line="353" w:lineRule="auto"/>
        <w:ind w:firstLine="660"/>
        <w:jc w:val="left"/>
        <w:rPr>
          <w:rFonts w:eastAsia="仿宋_GB2312"/>
          <w:sz w:val="32"/>
          <w:szCs w:val="32"/>
        </w:rPr>
      </w:pPr>
      <w:r>
        <w:rPr>
          <w:rFonts w:eastAsia="仿宋_GB2312"/>
          <w:sz w:val="32"/>
          <w:szCs w:val="32"/>
        </w:rPr>
        <w:t>本年财政拨款收入总计63966.22万元，由一般公共预算财政拨款59966.22万元、政府性基金预算财政拨款4000万元构成。一般公共预算财政拨款支出总计59966.22万元，其中基本支出54579.91万元，分别是人员经费支出50188.1万元、日常公用经费支出4391.81万元；项目支出5386.31万元（其中基本建设类项目支出0万元）。政府性基金预算财政拨款支出4000万元，为“智能安全系统（天网二期租赁费）”。本年非财政拨款收入为6712.39万元，均为其他收入，是园区辅警经费和三区分局辅警经费。本年度年末结转200.12万元，均为非财政拨款结转，分别是园区辅警经费186.85万元，防疫经费2.03万元，铁路护路原财政资金转入市公安局经费11.24万元，待下一年度支出后即可消化结转。</w:t>
      </w:r>
    </w:p>
    <w:p w14:paraId="4E35DA02">
      <w:pPr>
        <w:snapToGrid w:val="0"/>
        <w:spacing w:line="353" w:lineRule="auto"/>
        <w:ind w:firstLine="660"/>
        <w:jc w:val="left"/>
        <w:rPr>
          <w:rFonts w:eastAsia="仿宋_GB2312"/>
          <w:sz w:val="32"/>
          <w:szCs w:val="32"/>
          <w:lang w:val="zh-CN"/>
        </w:rPr>
      </w:pPr>
      <w:r>
        <w:rPr>
          <w:rFonts w:eastAsia="仿宋_GB2312"/>
          <w:sz w:val="32"/>
          <w:szCs w:val="32"/>
        </w:rPr>
        <w:t>攀枝花市公安局部门202</w:t>
      </w:r>
      <w:r>
        <w:rPr>
          <w:rFonts w:hint="eastAsia" w:eastAsia="仿宋_GB2312"/>
          <w:sz w:val="32"/>
          <w:szCs w:val="32"/>
        </w:rPr>
        <w:t>5</w:t>
      </w:r>
      <w:r>
        <w:rPr>
          <w:rFonts w:eastAsia="仿宋_GB2312"/>
          <w:sz w:val="32"/>
          <w:szCs w:val="32"/>
        </w:rPr>
        <w:t xml:space="preserve">年度单位整体支出绩效目标实现良好，剩余部分非财政拨款资金将结转下年支出；同时我局将本年度重点项目支出绩效自评结果作为改进和提高资金使用效益的依据，提高预算编制质量，加快政府采购进度，提高资金使用效率。并针对资金使用量大的部门，特别是各级专项资金，按照资金性质，重点督促使用部门结合专项资金绩效管理指标，完善绩效结果应用。 </w:t>
      </w:r>
    </w:p>
    <w:p w14:paraId="2441CA65">
      <w:pPr>
        <w:numPr>
          <w:ilvl w:val="0"/>
          <w:numId w:val="2"/>
        </w:numPr>
        <w:snapToGrid w:val="0"/>
        <w:spacing w:line="353" w:lineRule="auto"/>
        <w:ind w:firstLine="640" w:firstLineChars="200"/>
        <w:jc w:val="left"/>
        <w:rPr>
          <w:rFonts w:eastAsia="仿宋_GB2312"/>
          <w:color w:val="000000"/>
          <w:kern w:val="0"/>
          <w:sz w:val="32"/>
          <w:szCs w:val="32"/>
          <w:shd w:val="clear" w:color="auto" w:fill="FFFFFF"/>
          <w:lang w:val="zh-CN"/>
        </w:rPr>
      </w:pPr>
      <w:r>
        <w:rPr>
          <w:rFonts w:hint="eastAsia" w:ascii="楷体_GB2312" w:eastAsia="楷体_GB2312"/>
          <w:bCs/>
          <w:sz w:val="32"/>
          <w:szCs w:val="32"/>
          <w:lang w:val="zh-CN"/>
        </w:rPr>
        <w:t>绩效结果应用情况。</w:t>
      </w:r>
    </w:p>
    <w:p w14:paraId="2F7879F5">
      <w:pPr>
        <w:snapToGrid w:val="0"/>
        <w:spacing w:line="353" w:lineRule="auto"/>
        <w:ind w:firstLine="660"/>
        <w:jc w:val="left"/>
        <w:rPr>
          <w:rFonts w:eastAsia="仿宋_GB2312"/>
          <w:sz w:val="32"/>
          <w:szCs w:val="32"/>
          <w:lang w:val="zh-CN"/>
        </w:rPr>
      </w:pPr>
      <w:r>
        <w:rPr>
          <w:rFonts w:eastAsia="仿宋_GB2312"/>
          <w:sz w:val="32"/>
          <w:szCs w:val="32"/>
          <w:lang w:val="zh-CN"/>
        </w:rPr>
        <w:t>围绕内部应用情况、信息公开情况、整改反馈情况进行分析。</w:t>
      </w:r>
    </w:p>
    <w:p w14:paraId="79B67706">
      <w:pPr>
        <w:snapToGrid w:val="0"/>
        <w:spacing w:line="353" w:lineRule="auto"/>
        <w:ind w:firstLine="660"/>
        <w:jc w:val="left"/>
        <w:rPr>
          <w:rFonts w:eastAsia="仿宋_GB2312"/>
          <w:sz w:val="32"/>
          <w:szCs w:val="32"/>
        </w:rPr>
      </w:pPr>
      <w:r>
        <w:rPr>
          <w:rFonts w:eastAsia="仿宋_GB2312"/>
          <w:sz w:val="32"/>
          <w:szCs w:val="32"/>
        </w:rPr>
        <w:t>攀枝花市公安局部门拟将202</w:t>
      </w:r>
      <w:r>
        <w:rPr>
          <w:rFonts w:hint="eastAsia" w:eastAsia="仿宋_GB2312"/>
          <w:sz w:val="32"/>
          <w:szCs w:val="32"/>
        </w:rPr>
        <w:t>5</w:t>
      </w:r>
      <w:r>
        <w:rPr>
          <w:rFonts w:eastAsia="仿宋_GB2312"/>
          <w:sz w:val="32"/>
          <w:szCs w:val="32"/>
        </w:rPr>
        <w:t>年度部门预算整体绩效自评结果作为下年度改进和提高资金使用效益的依据，提高预算编制质量，加快政府采购进度，提高资金使用效率。同时将202</w:t>
      </w:r>
      <w:r>
        <w:rPr>
          <w:rFonts w:hint="eastAsia" w:eastAsia="仿宋_GB2312"/>
          <w:sz w:val="32"/>
          <w:szCs w:val="32"/>
        </w:rPr>
        <w:t>5</w:t>
      </w:r>
      <w:r>
        <w:rPr>
          <w:rFonts w:eastAsia="仿宋_GB2312"/>
          <w:sz w:val="32"/>
          <w:szCs w:val="32"/>
        </w:rPr>
        <w:t>年度部门预算整体绩效自评结果在公安内网予以全局公示，接受全局监督，并针对资金使用量大的部门，特别是各级专项资金，按照资金性质，重点督促使用部门结合专项资金绩效管理指标，完善绩效结果应用</w:t>
      </w:r>
      <w:r>
        <w:rPr>
          <w:rFonts w:eastAsia="仿宋_GB2312"/>
          <w:sz w:val="32"/>
          <w:szCs w:val="32"/>
          <w:lang w:val="zh-CN"/>
        </w:rPr>
        <w:t>。</w:t>
      </w:r>
    </w:p>
    <w:p w14:paraId="5D6E3CFF">
      <w:pPr>
        <w:widowControl/>
        <w:adjustRightInd w:val="0"/>
        <w:snapToGrid w:val="0"/>
        <w:spacing w:line="353" w:lineRule="auto"/>
        <w:ind w:firstLine="640" w:firstLineChars="200"/>
        <w:jc w:val="left"/>
        <w:rPr>
          <w:rFonts w:ascii="黑体" w:hAnsi="黑体" w:eastAsia="黑体"/>
          <w:color w:val="000000"/>
          <w:kern w:val="0"/>
          <w:sz w:val="32"/>
          <w:szCs w:val="32"/>
          <w:shd w:val="clear" w:color="auto" w:fill="FFFFFF"/>
        </w:rPr>
      </w:pPr>
      <w:r>
        <w:rPr>
          <w:rFonts w:ascii="黑体" w:hAnsi="黑体" w:eastAsia="黑体"/>
          <w:color w:val="000000"/>
          <w:kern w:val="0"/>
          <w:sz w:val="32"/>
          <w:szCs w:val="32"/>
          <w:shd w:val="clear" w:color="auto" w:fill="FFFFFF"/>
        </w:rPr>
        <w:t>四、评价结论及建议</w:t>
      </w:r>
    </w:p>
    <w:p w14:paraId="014E3CE1">
      <w:pPr>
        <w:widowControl/>
        <w:adjustRightInd w:val="0"/>
        <w:snapToGrid w:val="0"/>
        <w:spacing w:line="353" w:lineRule="auto"/>
        <w:ind w:firstLine="640" w:firstLineChars="200"/>
        <w:jc w:val="left"/>
        <w:rPr>
          <w:rFonts w:ascii="楷体_GB2312" w:eastAsia="楷体_GB2312"/>
          <w:color w:val="000000"/>
          <w:kern w:val="0"/>
          <w:sz w:val="32"/>
          <w:szCs w:val="32"/>
          <w:shd w:val="clear" w:color="auto" w:fill="FFFFFF"/>
          <w:lang w:val="zh-CN"/>
        </w:rPr>
      </w:pPr>
      <w:r>
        <w:rPr>
          <w:rFonts w:hint="eastAsia" w:ascii="楷体_GB2312" w:eastAsia="楷体_GB2312"/>
          <w:color w:val="000000"/>
          <w:kern w:val="0"/>
          <w:sz w:val="32"/>
          <w:szCs w:val="32"/>
          <w:shd w:val="clear" w:color="auto" w:fill="FFFFFF"/>
          <w:lang w:val="zh-CN"/>
        </w:rPr>
        <w:t>（一）评价结论。</w:t>
      </w:r>
    </w:p>
    <w:p w14:paraId="243E5A8B">
      <w:pPr>
        <w:snapToGrid w:val="0"/>
        <w:spacing w:line="353" w:lineRule="auto"/>
        <w:ind w:firstLine="660"/>
        <w:jc w:val="left"/>
        <w:rPr>
          <w:rFonts w:eastAsia="仿宋_GB2312"/>
          <w:sz w:val="32"/>
          <w:szCs w:val="32"/>
          <w:lang w:val="zh-CN"/>
        </w:rPr>
      </w:pPr>
      <w:r>
        <w:rPr>
          <w:rFonts w:eastAsia="仿宋_GB2312"/>
          <w:sz w:val="32"/>
          <w:szCs w:val="32"/>
        </w:rPr>
        <w:t>202</w:t>
      </w:r>
      <w:r>
        <w:rPr>
          <w:rFonts w:hint="eastAsia" w:eastAsia="仿宋_GB2312"/>
          <w:sz w:val="32"/>
          <w:szCs w:val="32"/>
        </w:rPr>
        <w:t>5</w:t>
      </w:r>
      <w:r>
        <w:rPr>
          <w:rFonts w:eastAsia="仿宋_GB2312"/>
          <w:sz w:val="32"/>
          <w:szCs w:val="32"/>
        </w:rPr>
        <w:t>年度，攀枝花市公安局绩效评价得分</w:t>
      </w:r>
      <w:r>
        <w:rPr>
          <w:rFonts w:hint="eastAsia" w:eastAsia="仿宋_GB2312"/>
          <w:sz w:val="32"/>
          <w:szCs w:val="32"/>
        </w:rPr>
        <w:t>94.76</w:t>
      </w:r>
      <w:r>
        <w:rPr>
          <w:rFonts w:eastAsia="仿宋_GB2312"/>
          <w:sz w:val="32"/>
          <w:szCs w:val="32"/>
        </w:rPr>
        <w:t>分，在使用财政预算资金保障人员经费和日常公用经费的同时，合理高效使用各级财政下达的项目资金完成年度公安专项工作。总体绩效持续提升，各项公安工作提质增效，有力确保了全市的平安稳定。</w:t>
      </w:r>
    </w:p>
    <w:p w14:paraId="7B01D8EA">
      <w:pPr>
        <w:widowControl/>
        <w:adjustRightInd w:val="0"/>
        <w:snapToGrid w:val="0"/>
        <w:spacing w:line="353" w:lineRule="auto"/>
        <w:ind w:firstLine="640" w:firstLineChars="200"/>
        <w:jc w:val="left"/>
        <w:rPr>
          <w:rFonts w:ascii="楷体_GB2312" w:eastAsia="楷体_GB2312"/>
          <w:color w:val="000000"/>
          <w:kern w:val="0"/>
          <w:sz w:val="32"/>
          <w:szCs w:val="32"/>
          <w:shd w:val="clear" w:color="auto" w:fill="FFFFFF"/>
          <w:lang w:val="zh-CN"/>
        </w:rPr>
      </w:pPr>
      <w:r>
        <w:rPr>
          <w:rFonts w:hint="eastAsia" w:ascii="楷体_GB2312" w:eastAsia="楷体_GB2312"/>
          <w:color w:val="000000"/>
          <w:kern w:val="0"/>
          <w:sz w:val="32"/>
          <w:szCs w:val="32"/>
          <w:shd w:val="clear" w:color="auto" w:fill="FFFFFF"/>
          <w:lang w:val="zh-CN"/>
        </w:rPr>
        <w:t>（二）存在问题。</w:t>
      </w:r>
    </w:p>
    <w:p w14:paraId="6475A838">
      <w:pPr>
        <w:snapToGrid w:val="0"/>
        <w:spacing w:line="353" w:lineRule="auto"/>
        <w:ind w:firstLine="660"/>
        <w:jc w:val="left"/>
        <w:rPr>
          <w:rFonts w:eastAsia="仿宋_GB2312"/>
          <w:sz w:val="32"/>
          <w:szCs w:val="32"/>
          <w:lang w:val="zh-CN"/>
        </w:rPr>
      </w:pPr>
      <w:r>
        <w:rPr>
          <w:rFonts w:eastAsia="仿宋_GB2312"/>
          <w:sz w:val="32"/>
          <w:szCs w:val="32"/>
        </w:rPr>
        <w:t>年初预算的编制与实际需求差距较大，部分项目资金预算未纳入年初预算，导致年内预算追加较大，预算控制率较高，影响单位评分及评价等次。</w:t>
      </w:r>
    </w:p>
    <w:p w14:paraId="183F0289">
      <w:pPr>
        <w:widowControl/>
        <w:adjustRightInd w:val="0"/>
        <w:snapToGrid w:val="0"/>
        <w:spacing w:line="353" w:lineRule="auto"/>
        <w:ind w:firstLine="640" w:firstLineChars="200"/>
        <w:jc w:val="left"/>
        <w:rPr>
          <w:rFonts w:ascii="楷体_GB2312" w:eastAsia="楷体_GB2312"/>
          <w:color w:val="000000"/>
          <w:kern w:val="0"/>
          <w:sz w:val="32"/>
          <w:szCs w:val="32"/>
          <w:shd w:val="clear" w:color="auto" w:fill="FFFFFF"/>
          <w:lang w:val="zh-CN"/>
        </w:rPr>
      </w:pPr>
      <w:r>
        <w:rPr>
          <w:rFonts w:hint="eastAsia" w:ascii="楷体_GB2312" w:eastAsia="楷体_GB2312"/>
          <w:color w:val="000000"/>
          <w:kern w:val="0"/>
          <w:sz w:val="32"/>
          <w:szCs w:val="32"/>
          <w:shd w:val="clear" w:color="auto" w:fill="FFFFFF"/>
          <w:lang w:val="zh-CN"/>
        </w:rPr>
        <w:t>（三）改进建议。</w:t>
      </w:r>
    </w:p>
    <w:p w14:paraId="2EE7C2C8">
      <w:pPr>
        <w:widowControl/>
        <w:adjustRightInd w:val="0"/>
        <w:snapToGrid w:val="0"/>
        <w:spacing w:line="353" w:lineRule="auto"/>
        <w:ind w:firstLine="643" w:firstLineChars="200"/>
        <w:jc w:val="left"/>
        <w:rPr>
          <w:rFonts w:eastAsia="仿宋_GB2312"/>
          <w:sz w:val="32"/>
          <w:szCs w:val="32"/>
        </w:rPr>
      </w:pPr>
      <w:r>
        <w:rPr>
          <w:rFonts w:eastAsia="仿宋_GB2312"/>
          <w:b/>
          <w:bCs/>
          <w:sz w:val="32"/>
          <w:szCs w:val="32"/>
          <w:shd w:val="clear" w:color="auto" w:fill="FFFFFF"/>
          <w:lang w:val="zh-CN"/>
        </w:rPr>
        <w:t>一是</w:t>
      </w:r>
      <w:r>
        <w:rPr>
          <w:rFonts w:eastAsia="仿宋_GB2312"/>
          <w:sz w:val="32"/>
          <w:szCs w:val="32"/>
        </w:rPr>
        <w:t>加大对政法转移支付资金的支付保障力度</w:t>
      </w:r>
      <w:r>
        <w:rPr>
          <w:rFonts w:eastAsia="仿宋_GB2312"/>
          <w:sz w:val="32"/>
          <w:szCs w:val="32"/>
          <w:shd w:val="clear" w:color="auto" w:fill="FFFFFF"/>
          <w:lang w:val="zh-CN"/>
        </w:rPr>
        <w:t>，一方面确保转移转移支付资金被省厅收回或影响来年下达金额</w:t>
      </w:r>
      <w:r>
        <w:rPr>
          <w:rFonts w:eastAsia="仿宋_GB2312"/>
          <w:sz w:val="32"/>
          <w:szCs w:val="32"/>
        </w:rPr>
        <w:t>，另一方面，切实把有限的资金用在刀刃上，护航攀枝花建设共同富裕实验区建设。</w:t>
      </w:r>
    </w:p>
    <w:p w14:paraId="1621680E">
      <w:pPr>
        <w:widowControl/>
        <w:adjustRightInd w:val="0"/>
        <w:snapToGrid w:val="0"/>
        <w:spacing w:line="353" w:lineRule="auto"/>
        <w:ind w:firstLine="643" w:firstLineChars="200"/>
        <w:jc w:val="left"/>
        <w:rPr>
          <w:rFonts w:eastAsia="仿宋_GB2312"/>
          <w:color w:val="000000"/>
          <w:kern w:val="0"/>
          <w:sz w:val="32"/>
          <w:szCs w:val="32"/>
          <w:shd w:val="clear" w:color="auto" w:fill="FFFFFF"/>
        </w:rPr>
      </w:pPr>
      <w:r>
        <w:rPr>
          <w:rFonts w:eastAsia="仿宋_GB2312"/>
          <w:b/>
          <w:bCs/>
          <w:color w:val="000000"/>
          <w:kern w:val="0"/>
          <w:sz w:val="32"/>
          <w:szCs w:val="32"/>
          <w:shd w:val="clear" w:color="auto" w:fill="FFFFFF"/>
        </w:rPr>
        <w:t>二是</w:t>
      </w:r>
      <w:r>
        <w:rPr>
          <w:rFonts w:eastAsia="仿宋_GB2312"/>
          <w:color w:val="000000"/>
          <w:kern w:val="0"/>
          <w:sz w:val="32"/>
          <w:szCs w:val="32"/>
          <w:shd w:val="clear" w:color="auto" w:fill="FFFFFF"/>
        </w:rPr>
        <w:t>进一步加强绩效管理制度和流程建设，深化、完善绩效管理体系，建立全过程预算管理机制，完善经费项目支出绩效评价体系指标框架，加强专项工作经费支出预算编制的科学性和针对性，增强项目绩效指标的量化细化可衡量性，提升预算的可执行性。</w:t>
      </w:r>
    </w:p>
    <w:p w14:paraId="66187358">
      <w:pPr>
        <w:pStyle w:val="3"/>
        <w:spacing w:after="0" w:line="560" w:lineRule="exact"/>
        <w:ind w:left="0" w:leftChars="0" w:firstLine="640"/>
        <w:rPr>
          <w:rFonts w:eastAsia="仿宋_GB2312"/>
          <w:color w:val="000000"/>
          <w:kern w:val="0"/>
          <w:sz w:val="32"/>
          <w:highlight w:val="yellow"/>
          <w:shd w:val="clear" w:color="auto" w:fill="FFFFFF"/>
        </w:rPr>
      </w:pPr>
    </w:p>
    <w:p w14:paraId="591D2064">
      <w:pPr>
        <w:pStyle w:val="3"/>
        <w:spacing w:after="0" w:line="560" w:lineRule="exact"/>
        <w:ind w:left="0" w:leftChars="0" w:firstLine="0" w:firstLineChars="0"/>
        <w:rPr>
          <w:rFonts w:eastAsia="仿宋_GB2312"/>
          <w:color w:val="000000"/>
          <w:kern w:val="0"/>
          <w:sz w:val="32"/>
          <w:highlight w:val="yellow"/>
          <w:shd w:val="clear" w:color="auto" w:fill="FFFFFF"/>
        </w:rPr>
      </w:pPr>
    </w:p>
    <w:p w14:paraId="7319D396">
      <w:pPr>
        <w:pStyle w:val="3"/>
        <w:spacing w:after="0" w:line="560" w:lineRule="exact"/>
        <w:ind w:left="0" w:leftChars="0" w:firstLine="640"/>
        <w:rPr>
          <w:rFonts w:ascii="Times New Roman" w:eastAsia="仿宋_GB2312"/>
          <w:sz w:val="32"/>
          <w:lang w:val="zh-CN"/>
        </w:rPr>
      </w:pPr>
      <w:r>
        <w:rPr>
          <w:rFonts w:hint="eastAsia" w:ascii="Times New Roman" w:eastAsia="仿宋_GB2312"/>
          <w:sz w:val="32"/>
          <w:lang w:val="zh-CN"/>
        </w:rPr>
        <w:t>附表：</w:t>
      </w:r>
      <w:r>
        <w:rPr>
          <w:rFonts w:hint="eastAsia" w:ascii="Times New Roman" w:eastAsia="仿宋_GB2312"/>
          <w:sz w:val="32"/>
        </w:rPr>
        <w:t>部门预算项目支出绩效自评表（2025年度）</w:t>
      </w:r>
    </w:p>
    <w:p w14:paraId="097B612E">
      <w:pPr>
        <w:pStyle w:val="3"/>
        <w:spacing w:line="560" w:lineRule="exact"/>
        <w:ind w:left="0" w:leftChars="0" w:firstLine="0" w:firstLineChars="0"/>
        <w:rPr>
          <w:rFonts w:ascii="Times New Roman"/>
          <w:sz w:val="32"/>
          <w:highlight w:val="yellow"/>
          <w:lang w:val="zh-CN"/>
        </w:rPr>
      </w:pPr>
    </w:p>
    <w:p w14:paraId="15B06A41">
      <w:pPr>
        <w:pStyle w:val="3"/>
        <w:spacing w:line="560" w:lineRule="exact"/>
        <w:ind w:left="0" w:leftChars="0" w:firstLine="0" w:firstLineChars="0"/>
        <w:rPr>
          <w:rFonts w:ascii="Times New Roman"/>
          <w:sz w:val="32"/>
          <w:highlight w:val="yellow"/>
          <w:lang w:val="zh-CN"/>
        </w:rPr>
      </w:pPr>
    </w:p>
    <w:p w14:paraId="0B5DC464">
      <w:pPr>
        <w:pStyle w:val="3"/>
        <w:spacing w:line="560" w:lineRule="exact"/>
        <w:ind w:left="0" w:leftChars="0" w:firstLine="0" w:firstLineChars="0"/>
        <w:rPr>
          <w:rFonts w:ascii="Times New Roman"/>
          <w:sz w:val="32"/>
          <w:highlight w:val="yellow"/>
          <w:lang w:val="zh-CN"/>
        </w:rPr>
      </w:pPr>
    </w:p>
    <w:p w14:paraId="568EEA6A">
      <w:pPr>
        <w:pStyle w:val="8"/>
        <w:spacing w:before="93"/>
        <w:rPr>
          <w:rFonts w:ascii="Times New Roman" w:eastAsia="黑体" w:cs="黑体"/>
          <w:sz w:val="32"/>
          <w:szCs w:val="32"/>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p w14:paraId="17B04E09">
      <w:pPr>
        <w:pStyle w:val="34"/>
        <w:spacing w:line="578" w:lineRule="exact"/>
        <w:jc w:val="center"/>
        <w:rPr>
          <w:rFonts w:ascii="Times New Roman" w:hAnsi="Times New Roman" w:eastAsia="方正小标宋简体" w:cs="方正小标宋简体"/>
          <w:color w:val="auto"/>
          <w:kern w:val="2"/>
          <w:sz w:val="44"/>
          <w:szCs w:val="44"/>
          <w:highlight w:val="yellow"/>
          <w:lang w:val="en-US"/>
        </w:rPr>
      </w:pPr>
    </w:p>
    <w:p w14:paraId="44E65351">
      <w:pPr>
        <w:pStyle w:val="5"/>
        <w:adjustRightInd w:val="0"/>
        <w:snapToGrid w:val="0"/>
        <w:spacing w:before="0" w:after="0" w:line="276" w:lineRule="auto"/>
        <w:jc w:val="center"/>
        <w:rPr>
          <w:rFonts w:ascii="方正小标宋_GBK" w:hAnsi="方正小标宋_GBK" w:eastAsia="方正小标宋_GBK" w:cs="方正小标宋_GBK"/>
          <w:b w:val="0"/>
        </w:rPr>
      </w:pPr>
      <w:r>
        <w:rPr>
          <w:rFonts w:hint="eastAsia" w:ascii="方正小标宋_GBK" w:hAnsi="方正小标宋_GBK" w:eastAsia="方正小标宋_GBK" w:cs="方正小标宋_GBK"/>
          <w:b w:val="0"/>
        </w:rPr>
        <w:t>攀枝花市公安局</w:t>
      </w:r>
    </w:p>
    <w:p w14:paraId="50D6446A">
      <w:pPr>
        <w:pStyle w:val="5"/>
        <w:adjustRightInd w:val="0"/>
        <w:snapToGrid w:val="0"/>
        <w:spacing w:before="0" w:after="0" w:line="276" w:lineRule="auto"/>
        <w:jc w:val="center"/>
        <w:rPr>
          <w:rFonts w:eastAsia="方正小标宋_GBK" w:cs="方正小标宋_GBK" w:asciiTheme="minorHAnsi" w:hAnsiTheme="minorHAnsi"/>
          <w:b w:val="0"/>
        </w:rPr>
      </w:pPr>
      <w:r>
        <w:rPr>
          <w:rFonts w:hint="eastAsia" w:ascii="方正小标宋_GBK" w:hAnsi="方正小标宋_GBK" w:eastAsia="方正小标宋_GBK" w:cs="方正小标宋_GBK"/>
          <w:b w:val="0"/>
        </w:rPr>
        <w:t>2025年拘押收教场所运转经费支出绩效</w:t>
      </w:r>
    </w:p>
    <w:p w14:paraId="0F9AC225">
      <w:pPr>
        <w:pStyle w:val="5"/>
        <w:adjustRightInd w:val="0"/>
        <w:snapToGrid w:val="0"/>
        <w:spacing w:before="0" w:after="0" w:line="276" w:lineRule="auto"/>
        <w:jc w:val="center"/>
        <w:rPr>
          <w:rFonts w:ascii="方正小标宋_GBK" w:hAnsi="方正小标宋_GBK" w:eastAsia="方正小标宋_GBK" w:cs="方正小标宋_GBK"/>
          <w:b w:val="0"/>
        </w:rPr>
      </w:pPr>
      <w:r>
        <w:rPr>
          <w:rFonts w:hint="eastAsia" w:ascii="方正小标宋_GBK" w:hAnsi="方正小标宋_GBK" w:eastAsia="方正小标宋_GBK" w:cs="方正小标宋_GBK"/>
          <w:b w:val="0"/>
        </w:rPr>
        <w:t>自评报告</w:t>
      </w:r>
    </w:p>
    <w:p w14:paraId="3ACBF00F">
      <w:pPr>
        <w:spacing w:line="578" w:lineRule="exact"/>
        <w:ind w:firstLine="640"/>
        <w:rPr>
          <w:rFonts w:eastAsia="仿宋_GB2312" w:cs="仿宋_GB2312"/>
          <w:kern w:val="0"/>
          <w:sz w:val="32"/>
          <w:szCs w:val="32"/>
          <w:highlight w:val="yellow"/>
        </w:rPr>
      </w:pPr>
    </w:p>
    <w:p w14:paraId="512D53E6">
      <w:pPr>
        <w:spacing w:line="560" w:lineRule="exact"/>
        <w:ind w:firstLine="641"/>
        <w:rPr>
          <w:rFonts w:ascii="黑体" w:hAnsi="黑体" w:eastAsia="黑体" w:cs="黑体"/>
          <w:kern w:val="0"/>
          <w:sz w:val="32"/>
          <w:szCs w:val="32"/>
          <w:lang w:val="zh-CN"/>
        </w:rPr>
      </w:pPr>
      <w:r>
        <w:rPr>
          <w:rFonts w:hint="eastAsia" w:ascii="黑体" w:hAnsi="黑体" w:eastAsia="黑体" w:cs="黑体"/>
          <w:kern w:val="0"/>
          <w:sz w:val="32"/>
          <w:szCs w:val="32"/>
        </w:rPr>
        <w:t>一、</w:t>
      </w:r>
      <w:r>
        <w:rPr>
          <w:rFonts w:hint="eastAsia" w:ascii="黑体" w:hAnsi="黑体" w:eastAsia="黑体" w:cs="黑体"/>
          <w:kern w:val="0"/>
          <w:sz w:val="32"/>
          <w:szCs w:val="32"/>
          <w:lang w:val="zh-CN"/>
        </w:rPr>
        <w:t>项目概况</w:t>
      </w:r>
    </w:p>
    <w:p w14:paraId="29A2DFCE">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（一）项目基本情况</w:t>
      </w:r>
    </w:p>
    <w:p w14:paraId="410754A8">
      <w:pPr>
        <w:spacing w:line="560" w:lineRule="exact"/>
        <w:ind w:firstLine="640" w:firstLineChars="200"/>
        <w:rPr>
          <w:rFonts w:eastAsia="仿宋_GB2312"/>
          <w:kern w:val="0"/>
          <w:sz w:val="32"/>
          <w:szCs w:val="32"/>
          <w:lang w:val="zh-CN"/>
        </w:rPr>
      </w:pPr>
      <w:r>
        <w:rPr>
          <w:rFonts w:eastAsia="仿宋_GB2312"/>
          <w:kern w:val="0"/>
          <w:sz w:val="32"/>
          <w:szCs w:val="32"/>
          <w:lang w:val="zh-CN"/>
        </w:rPr>
        <w:t>攀枝花市公安监管场所包括市看守所、市第一强制隔离戒毒所（简称：市戒毒所）、市拘留所，为保障监管场所的正常运行，需保障的经费包含：监管人员每人每月最低生活保障，衣服被装费用、医疗费、其他费用（水电、投劳、公杂、劳务外包费用、安防系统租赁费用等）。</w:t>
      </w:r>
    </w:p>
    <w:p w14:paraId="315870A9">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（二）项目绩效目标</w:t>
      </w:r>
    </w:p>
    <w:p w14:paraId="16F3B562">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攀枝花市公安监管场所正常运转，对拘押人员进行有效管控。申报内容与具体实施相符，申报目标合理可行。</w:t>
      </w:r>
    </w:p>
    <w:p w14:paraId="632A83E0">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（三）项目自评步骤及方法</w:t>
      </w:r>
    </w:p>
    <w:p w14:paraId="422B7790">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严格按程序项目目标、进程、结果与成效进行评估，确保做到自评结果真实、准确、客观</w:t>
      </w:r>
      <w:r>
        <w:rPr>
          <w:rFonts w:eastAsia="仿宋_GB2312"/>
          <w:kern w:val="0"/>
          <w:sz w:val="32"/>
          <w:szCs w:val="32"/>
          <w:lang w:val="zh-CN"/>
        </w:rPr>
        <w:t>。</w:t>
      </w:r>
    </w:p>
    <w:p w14:paraId="0A199DDB">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二、项目资金申报及使用情况</w:t>
      </w:r>
    </w:p>
    <w:p w14:paraId="6E5D6DCF">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（一）项目资金申报及批复情况</w:t>
      </w:r>
    </w:p>
    <w:p w14:paraId="77E7753D">
      <w:pPr>
        <w:spacing w:line="560" w:lineRule="exact"/>
        <w:ind w:firstLine="640" w:firstLineChars="200"/>
        <w:rPr>
          <w:rFonts w:eastAsia="仿宋_GB2312"/>
          <w:kern w:val="0"/>
          <w:sz w:val="32"/>
          <w:szCs w:val="32"/>
          <w:highlight w:val="yellow"/>
          <w:lang w:val="zh-CN"/>
        </w:rPr>
      </w:pPr>
      <w:r>
        <w:rPr>
          <w:rFonts w:hint="eastAsia" w:eastAsia="仿宋_GB2312"/>
          <w:kern w:val="0"/>
          <w:sz w:val="32"/>
          <w:szCs w:val="32"/>
          <w:lang w:val="zh-CN"/>
        </w:rPr>
        <w:t>项目原立项资金1</w:t>
      </w:r>
      <w:r>
        <w:rPr>
          <w:rFonts w:hint="eastAsia" w:eastAsia="仿宋_GB2312"/>
          <w:kern w:val="0"/>
          <w:sz w:val="32"/>
          <w:szCs w:val="32"/>
        </w:rPr>
        <w:t>8</w:t>
      </w:r>
      <w:r>
        <w:rPr>
          <w:rFonts w:hint="eastAsia" w:eastAsia="仿宋_GB2312"/>
          <w:kern w:val="0"/>
          <w:sz w:val="32"/>
          <w:szCs w:val="32"/>
          <w:lang w:val="zh-CN"/>
        </w:rPr>
        <w:t>00万元，2024年批复资金1</w:t>
      </w:r>
      <w:r>
        <w:rPr>
          <w:rFonts w:hint="eastAsia" w:eastAsia="仿宋_GB2312"/>
          <w:kern w:val="0"/>
          <w:sz w:val="32"/>
          <w:szCs w:val="32"/>
        </w:rPr>
        <w:t>8</w:t>
      </w:r>
      <w:r>
        <w:rPr>
          <w:rFonts w:hint="eastAsia" w:eastAsia="仿宋_GB2312"/>
          <w:kern w:val="0"/>
          <w:sz w:val="32"/>
          <w:szCs w:val="32"/>
          <w:lang w:val="zh-CN"/>
        </w:rPr>
        <w:t>00万元</w:t>
      </w:r>
      <w:r>
        <w:rPr>
          <w:rFonts w:eastAsia="仿宋_GB2312"/>
          <w:kern w:val="0"/>
          <w:sz w:val="32"/>
          <w:szCs w:val="32"/>
          <w:lang w:val="zh-CN"/>
        </w:rPr>
        <w:t>。</w:t>
      </w:r>
    </w:p>
    <w:p w14:paraId="36B1A1A1">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（二）资金计划、到位及使用情况</w:t>
      </w:r>
    </w:p>
    <w:p w14:paraId="5B2A715F">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2025年拘押收教场所运转经费（含安防系统租赁）预算1800万元，根据以支定收的工作原则，市级财政安排1800万元，资金到位率100%，及时支付相关费用。2025年拘押收教场所运转经费共计支出1753.05万元，严格落实监管人员每人每月最低生活保障，衣服被装费用、医疗费、其他费用（水电、投劳、公杂、劳务外包费用、安防系统租赁费用等），支付依据合法。</w:t>
      </w:r>
    </w:p>
    <w:p w14:paraId="68C25F68">
      <w:pPr>
        <w:spacing w:line="560" w:lineRule="exact"/>
        <w:ind w:firstLine="640"/>
        <w:rPr>
          <w:rFonts w:eastAsia="仿宋_GB2312" w:cs="仿宋_GB2312"/>
          <w:kern w:val="0"/>
          <w:sz w:val="32"/>
          <w:szCs w:val="32"/>
          <w:lang w:val="zh-CN"/>
        </w:rPr>
      </w:pPr>
      <w:r>
        <w:rPr>
          <w:rFonts w:hint="eastAsia" w:ascii="楷体_GB2312" w:hAnsi="楷体_GB2312" w:eastAsia="楷体_GB2312" w:cs="楷体_GB2312"/>
          <w:kern w:val="0"/>
          <w:sz w:val="32"/>
          <w:szCs w:val="32"/>
          <w:lang w:val="zh-CN"/>
        </w:rPr>
        <w:t>（三）项目财务管理情况</w:t>
      </w:r>
    </w:p>
    <w:p w14:paraId="26379EFE">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该项目实施单位已印发《攀枝花市公安局财务管理办法》《攀枝花市公安局机关经费管理暂行规定》《攀枝花市公安局机关合同管理规定》等文件、财务管理制度健全，严格执行财务管理制度，使用规范，会计核算结果真实、准确。</w:t>
      </w:r>
    </w:p>
    <w:p w14:paraId="3317DEAA">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三、项目实施及管理情况</w:t>
      </w:r>
    </w:p>
    <w:p w14:paraId="36E9ABD0">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该项目严格执行相关法律法规及项目管理制度，并加强项目监管、程序合法。</w:t>
      </w:r>
    </w:p>
    <w:p w14:paraId="76EF1CBC">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rPr>
        <w:t>(一）</w:t>
      </w:r>
      <w:r>
        <w:rPr>
          <w:rFonts w:hint="eastAsia" w:ascii="楷体_GB2312" w:hAnsi="楷体_GB2312" w:eastAsia="楷体_GB2312" w:cs="楷体_GB2312"/>
          <w:kern w:val="0"/>
          <w:sz w:val="32"/>
          <w:szCs w:val="32"/>
          <w:lang w:val="zh-CN"/>
        </w:rPr>
        <w:t>项目组织架构及实施流程</w:t>
      </w:r>
    </w:p>
    <w:p w14:paraId="746380E2">
      <w:pPr>
        <w:spacing w:line="560" w:lineRule="exact"/>
        <w:ind w:firstLine="640" w:firstLineChars="200"/>
        <w:rPr>
          <w:rFonts w:eastAsia="仿宋_GB2312"/>
          <w:kern w:val="0"/>
          <w:sz w:val="32"/>
          <w:szCs w:val="32"/>
        </w:rPr>
      </w:pPr>
      <w:r>
        <w:rPr>
          <w:rFonts w:hint="eastAsia" w:eastAsia="仿宋_GB2312"/>
          <w:kern w:val="0"/>
          <w:sz w:val="32"/>
          <w:szCs w:val="32"/>
        </w:rPr>
        <w:t>根据《攀枝花市财政局关于开展 2026年财政重点绩效评价工作的通知》（攀财绩〔2026〕2 号），由市财政投资评审中心组成项目评价组，按照前期准备、单位自评、现场评价和报告撰写四个阶段，以现场评价为主、非现场评价为辅，采用案卷研究、实地踏勘、问卷调查等多种方式，组织实施项目绩效评价工作。在收集项目文件资料、细化评价指标及评价标准的基础上，深入到部分项目点，实地查看项目申报、实施及运行情况，与相关利益群体座谈、面访，收集相关数据资料。通过汇总整理，结合项目主管部门绩效自评报告，定量和定性分析形成评价结论，经过复核和交换意见后，形成绩效评价报告。</w:t>
      </w:r>
    </w:p>
    <w:p w14:paraId="7863721C">
      <w:pPr>
        <w:spacing w:line="560" w:lineRule="exact"/>
        <w:ind w:firstLine="640"/>
        <w:rPr>
          <w:rFonts w:eastAsia="仿宋_GB2312"/>
          <w:kern w:val="0"/>
          <w:sz w:val="32"/>
          <w:szCs w:val="32"/>
          <w:lang w:val="zh-CN"/>
        </w:rPr>
      </w:pPr>
      <w:r>
        <w:rPr>
          <w:rFonts w:hint="eastAsia" w:ascii="楷体_GB2312" w:hAnsi="楷体_GB2312" w:eastAsia="楷体_GB2312" w:cs="楷体_GB2312"/>
          <w:kern w:val="0"/>
          <w:sz w:val="32"/>
          <w:szCs w:val="32"/>
          <w:lang w:val="zh-CN"/>
        </w:rPr>
        <w:t>（二）项目管理情况</w:t>
      </w:r>
    </w:p>
    <w:p w14:paraId="4B39D809">
      <w:pPr>
        <w:spacing w:line="560" w:lineRule="exact"/>
        <w:ind w:firstLine="640"/>
        <w:rPr>
          <w:rFonts w:eastAsia="仿宋_GB2312"/>
          <w:kern w:val="0"/>
          <w:sz w:val="32"/>
          <w:szCs w:val="32"/>
          <w:lang w:val="zh-CN"/>
        </w:rPr>
      </w:pPr>
      <w:r>
        <w:rPr>
          <w:rFonts w:hint="eastAsia" w:eastAsia="仿宋_GB2312"/>
          <w:kern w:val="0"/>
          <w:sz w:val="32"/>
          <w:szCs w:val="32"/>
          <w:lang w:val="zh-CN"/>
        </w:rPr>
        <w:t>该项目严格按照攀枝花市人民政府关于印发《攀枝花市本级政府投资管理实施细则》攀枝花市公安局关于印发《攀枝花市公安局财务管理办法》的通知等文件要求开展政府采购、经费报销等流程。</w:t>
      </w:r>
    </w:p>
    <w:p w14:paraId="358B5654">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（三）项目监管情况</w:t>
      </w:r>
    </w:p>
    <w:p w14:paraId="1D9758D3">
      <w:pPr>
        <w:spacing w:line="560" w:lineRule="exact"/>
        <w:ind w:firstLine="640"/>
        <w:rPr>
          <w:rFonts w:eastAsia="仿宋_GB2312"/>
          <w:kern w:val="0"/>
          <w:sz w:val="32"/>
          <w:szCs w:val="32"/>
          <w:lang w:val="zh-CN"/>
        </w:rPr>
      </w:pPr>
      <w:r>
        <w:rPr>
          <w:rFonts w:eastAsia="仿宋_GB2312"/>
          <w:kern w:val="0"/>
          <w:sz w:val="32"/>
          <w:szCs w:val="32"/>
          <w:lang w:val="zh-CN"/>
        </w:rPr>
        <w:t>为规范资金管理，</w:t>
      </w:r>
      <w:r>
        <w:rPr>
          <w:rFonts w:hint="eastAsia" w:eastAsia="仿宋_GB2312"/>
          <w:kern w:val="0"/>
          <w:sz w:val="32"/>
          <w:szCs w:val="32"/>
          <w:lang w:val="zh-CN"/>
        </w:rPr>
        <w:t>攀枝花市公安局严格按照</w:t>
      </w:r>
      <w:r>
        <w:rPr>
          <w:rFonts w:eastAsia="仿宋_GB2312"/>
          <w:kern w:val="0"/>
          <w:sz w:val="32"/>
          <w:szCs w:val="32"/>
          <w:lang w:val="zh-CN"/>
        </w:rPr>
        <w:t>资金开支范围</w:t>
      </w:r>
      <w:r>
        <w:rPr>
          <w:rFonts w:hint="eastAsia" w:eastAsia="仿宋_GB2312"/>
          <w:kern w:val="0"/>
          <w:sz w:val="32"/>
          <w:szCs w:val="32"/>
          <w:lang w:val="zh-CN"/>
        </w:rPr>
        <w:t>实施项目，定期开展绩效监控，积极推动项目实施，配合市财政局并对该</w:t>
      </w:r>
      <w:r>
        <w:rPr>
          <w:rFonts w:eastAsia="仿宋_GB2312"/>
          <w:kern w:val="0"/>
          <w:sz w:val="32"/>
          <w:szCs w:val="32"/>
          <w:lang w:val="zh-CN"/>
        </w:rPr>
        <w:t>专项资金进行了监管</w:t>
      </w:r>
      <w:r>
        <w:rPr>
          <w:rFonts w:hint="eastAsia" w:eastAsia="仿宋_GB2312"/>
          <w:kern w:val="0"/>
          <w:sz w:val="32"/>
          <w:szCs w:val="32"/>
          <w:lang w:val="zh-CN"/>
        </w:rPr>
        <w:t>。</w:t>
      </w:r>
    </w:p>
    <w:p w14:paraId="00C365D0">
      <w:pPr>
        <w:spacing w:line="560" w:lineRule="exact"/>
        <w:ind w:firstLine="641"/>
        <w:rPr>
          <w:rFonts w:ascii="黑体" w:hAnsi="黑体" w:eastAsia="黑体" w:cs="黑体"/>
          <w:kern w:val="0"/>
          <w:sz w:val="32"/>
          <w:szCs w:val="32"/>
          <w:lang w:val="zh-CN"/>
        </w:rPr>
      </w:pPr>
      <w:r>
        <w:rPr>
          <w:rFonts w:hint="eastAsia" w:ascii="黑体" w:hAnsi="黑体" w:eastAsia="黑体" w:cs="黑体"/>
          <w:kern w:val="0"/>
          <w:sz w:val="32"/>
          <w:szCs w:val="32"/>
        </w:rPr>
        <w:t>四、项目绩效情况</w:t>
      </w:r>
      <w:r>
        <w:rPr>
          <w:rFonts w:hint="eastAsia" w:ascii="黑体" w:hAnsi="黑体" w:eastAsia="黑体" w:cs="黑体"/>
          <w:kern w:val="0"/>
          <w:sz w:val="32"/>
          <w:szCs w:val="32"/>
          <w:lang w:val="zh-CN"/>
        </w:rPr>
        <w:tab/>
      </w:r>
    </w:p>
    <w:p w14:paraId="274DCC10">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（一）项目完成情况。</w:t>
      </w:r>
    </w:p>
    <w:p w14:paraId="265F94E8">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按照财行〔2009〕132号《财政部 公安部关于进一步加所看守所经费保障工作的通知》、财行〔20</w:t>
      </w:r>
      <w:r>
        <w:rPr>
          <w:rFonts w:hint="eastAsia" w:eastAsia="仿宋_GB2312"/>
          <w:kern w:val="0"/>
          <w:sz w:val="32"/>
          <w:szCs w:val="32"/>
        </w:rPr>
        <w:t>10</w:t>
      </w:r>
      <w:r>
        <w:rPr>
          <w:rFonts w:hint="eastAsia" w:eastAsia="仿宋_GB2312"/>
          <w:kern w:val="0"/>
          <w:sz w:val="32"/>
          <w:szCs w:val="32"/>
          <w:lang w:val="zh-CN"/>
        </w:rPr>
        <w:t>〕4号《财政部 公安部关于拘留所强制隔离戒毒所被监管人员伙食费和医疗费用有关问题的通知》、攀财行政〔20</w:t>
      </w:r>
      <w:r>
        <w:rPr>
          <w:rFonts w:hint="eastAsia" w:eastAsia="仿宋_GB2312"/>
          <w:kern w:val="0"/>
          <w:sz w:val="32"/>
          <w:szCs w:val="32"/>
        </w:rPr>
        <w:t>16</w:t>
      </w:r>
      <w:r>
        <w:rPr>
          <w:rFonts w:hint="eastAsia" w:eastAsia="仿宋_GB2312"/>
          <w:kern w:val="0"/>
          <w:sz w:val="32"/>
          <w:szCs w:val="32"/>
          <w:lang w:val="zh-CN"/>
        </w:rPr>
        <w:t>〕16号文件，各级财政部门按照有关规定和标准，将应由政府财政保障的费用分别列入预算。根据经费使用原则，拘押收教场所基本完成全年日均关押人数计划。</w:t>
      </w:r>
    </w:p>
    <w:p w14:paraId="61F3B28E">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（二）项目效益情况。</w:t>
      </w:r>
    </w:p>
    <w:p w14:paraId="05E511DE">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监管场所通过保障在押在戒在拘人员的伙食、医疗卫生和对强制隔离戒毒人员、艾滋病人员</w:t>
      </w:r>
      <w:bookmarkStart w:id="61" w:name="_GoBack"/>
      <w:bookmarkEnd w:id="61"/>
      <w:r>
        <w:rPr>
          <w:rFonts w:hint="eastAsia" w:eastAsia="仿宋_GB2312"/>
          <w:kern w:val="0"/>
          <w:sz w:val="32"/>
          <w:szCs w:val="32"/>
          <w:lang w:val="zh-CN"/>
        </w:rPr>
        <w:t>的治疗和教育感化，稳定被监管人员群体，确保监所安全，保证刑事诉讼活动顺利进行，促进吸毒人员戒毒康复，化解社会矛盾，保护公民身心健康，维护社会稳定</w:t>
      </w:r>
      <w:r>
        <w:rPr>
          <w:rFonts w:eastAsia="仿宋_GB2312"/>
          <w:kern w:val="0"/>
          <w:sz w:val="32"/>
          <w:szCs w:val="32"/>
          <w:lang w:val="zh-CN"/>
        </w:rPr>
        <w:t>。</w:t>
      </w:r>
    </w:p>
    <w:p w14:paraId="78827854">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五、评价结论及建议</w:t>
      </w:r>
    </w:p>
    <w:p w14:paraId="7DB9F585">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（一）评价结论。</w:t>
      </w:r>
    </w:p>
    <w:p w14:paraId="24C0EB9D">
      <w:pPr>
        <w:spacing w:line="560" w:lineRule="exact"/>
        <w:ind w:firstLine="640"/>
        <w:rPr>
          <w:rFonts w:eastAsia="仿宋_GB2312" w:cs="仿宋_GB2312"/>
          <w:kern w:val="0"/>
          <w:sz w:val="32"/>
          <w:szCs w:val="32"/>
          <w:lang w:val="zh-CN"/>
        </w:rPr>
      </w:pPr>
      <w:r>
        <w:rPr>
          <w:rFonts w:hint="eastAsia" w:eastAsia="仿宋_GB2312"/>
          <w:kern w:val="0"/>
          <w:sz w:val="32"/>
          <w:szCs w:val="32"/>
          <w:lang w:val="zh-CN"/>
        </w:rPr>
        <w:t>通过项目的实施，达到了项目的预期目标，保障了监管场所正常运转，对拘戒人员进行有效管控，维护社会稳定。</w:t>
      </w:r>
    </w:p>
    <w:p w14:paraId="2B62EDDD">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（二）存在的问题。</w:t>
      </w:r>
    </w:p>
    <w:p w14:paraId="4E491F86">
      <w:pPr>
        <w:spacing w:line="560" w:lineRule="exact"/>
        <w:ind w:firstLine="640"/>
        <w:rPr>
          <w:rFonts w:eastAsia="仿宋_GB2312" w:cs="仿宋_GB2312"/>
          <w:kern w:val="0"/>
          <w:sz w:val="32"/>
          <w:szCs w:val="32"/>
          <w:lang w:val="zh-CN"/>
        </w:rPr>
      </w:pPr>
      <w:r>
        <w:rPr>
          <w:rFonts w:hint="eastAsia" w:eastAsia="仿宋_GB2312"/>
          <w:kern w:val="0"/>
          <w:sz w:val="32"/>
          <w:szCs w:val="32"/>
          <w:lang w:val="zh-CN"/>
        </w:rPr>
        <w:t>无</w:t>
      </w:r>
      <w:r>
        <w:rPr>
          <w:rFonts w:eastAsia="仿宋_GB2312"/>
          <w:kern w:val="0"/>
          <w:sz w:val="32"/>
          <w:szCs w:val="32"/>
          <w:lang w:val="zh-CN"/>
        </w:rPr>
        <w:t>。</w:t>
      </w:r>
      <w:r>
        <w:rPr>
          <w:rFonts w:eastAsia="仿宋_GB2312" w:cs="仿宋_GB2312"/>
          <w:kern w:val="0"/>
          <w:sz w:val="32"/>
          <w:szCs w:val="32"/>
          <w:lang w:val="zh-CN"/>
        </w:rPr>
        <w:tab/>
      </w:r>
    </w:p>
    <w:p w14:paraId="3CE7250D">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（三）相关建议。</w:t>
      </w:r>
    </w:p>
    <w:p w14:paraId="6292798D">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无。</w:t>
      </w:r>
    </w:p>
    <w:p w14:paraId="4D7E4E7A">
      <w:pPr>
        <w:spacing w:line="353" w:lineRule="auto"/>
        <w:ind w:firstLine="640" w:firstLineChars="200"/>
        <w:rPr>
          <w:rFonts w:eastAsia="仿宋_GB2312"/>
          <w:kern w:val="0"/>
          <w:sz w:val="32"/>
          <w:szCs w:val="32"/>
          <w:highlight w:val="yellow"/>
          <w:lang w:val="zh-CN"/>
        </w:rPr>
      </w:pPr>
    </w:p>
    <w:p w14:paraId="35D8FA60">
      <w:pPr>
        <w:pStyle w:val="3"/>
        <w:ind w:left="0" w:leftChars="0" w:firstLine="0" w:firstLineChars="0"/>
        <w:rPr>
          <w:rFonts w:eastAsia="仿宋_GB2312" w:cs="仿宋_GB2312"/>
          <w:kern w:val="0"/>
          <w:sz w:val="32"/>
          <w:highlight w:val="yellow"/>
        </w:rPr>
      </w:pPr>
    </w:p>
    <w:p w14:paraId="6C4379AC">
      <w:pPr>
        <w:pStyle w:val="3"/>
        <w:ind w:left="0" w:leftChars="0" w:firstLine="0" w:firstLineChars="0"/>
        <w:rPr>
          <w:rFonts w:eastAsia="仿宋_GB2312" w:cs="仿宋_GB2312"/>
          <w:kern w:val="0"/>
          <w:sz w:val="32"/>
          <w:highlight w:val="yellow"/>
        </w:rPr>
      </w:pPr>
    </w:p>
    <w:p w14:paraId="1F31A61D">
      <w:pPr>
        <w:pStyle w:val="3"/>
        <w:ind w:left="0" w:leftChars="0" w:firstLine="0" w:firstLineChars="0"/>
        <w:rPr>
          <w:rFonts w:eastAsia="仿宋_GB2312" w:cs="仿宋_GB2312"/>
          <w:kern w:val="0"/>
          <w:sz w:val="32"/>
          <w:highlight w:val="yellow"/>
        </w:rPr>
      </w:pPr>
    </w:p>
    <w:p w14:paraId="7BB54B05">
      <w:pPr>
        <w:pStyle w:val="5"/>
        <w:spacing w:before="0" w:after="0" w:line="300" w:lineRule="auto"/>
        <w:jc w:val="center"/>
        <w:rPr>
          <w:rFonts w:ascii="方正小标宋_GBK" w:hAnsi="方正小标宋_GBK" w:eastAsia="方正小标宋_GBK" w:cs="方正小标宋_GBK"/>
          <w:b w:val="0"/>
        </w:rPr>
      </w:pPr>
      <w:r>
        <w:rPr>
          <w:rFonts w:hint="eastAsia" w:ascii="方正小标宋_GBK" w:hAnsi="方正小标宋_GBK" w:eastAsia="方正小标宋_GBK" w:cs="方正小标宋_GBK"/>
          <w:b w:val="0"/>
        </w:rPr>
        <w:t>四川涉虚拟币经济犯罪类案研判基地系统技术服务项目支出绩效自评报告</w:t>
      </w:r>
    </w:p>
    <w:p w14:paraId="4D2EE956">
      <w:pPr>
        <w:rPr>
          <w:sz w:val="40"/>
          <w:szCs w:val="48"/>
        </w:rPr>
      </w:pPr>
    </w:p>
    <w:p w14:paraId="3716ECC2">
      <w:pPr>
        <w:spacing w:line="560" w:lineRule="exact"/>
        <w:ind w:firstLine="640" w:firstLineChars="200"/>
        <w:rPr>
          <w:rFonts w:ascii="黑体" w:hAnsi="黑体" w:eastAsia="黑体" w:cs="黑体"/>
          <w:kern w:val="0"/>
          <w:sz w:val="32"/>
          <w:szCs w:val="32"/>
          <w:lang w:val="zh-CN"/>
        </w:rPr>
      </w:pPr>
      <w:r>
        <w:rPr>
          <w:rFonts w:hint="eastAsia" w:ascii="黑体" w:hAnsi="黑体" w:eastAsia="黑体" w:cs="黑体"/>
          <w:kern w:val="0"/>
          <w:sz w:val="32"/>
          <w:szCs w:val="32"/>
        </w:rPr>
        <w:t>一、</w:t>
      </w:r>
      <w:r>
        <w:rPr>
          <w:rFonts w:hint="eastAsia" w:ascii="黑体" w:hAnsi="黑体" w:eastAsia="黑体" w:cs="黑体"/>
          <w:kern w:val="0"/>
          <w:sz w:val="32"/>
          <w:szCs w:val="32"/>
          <w:lang w:val="zh-CN"/>
        </w:rPr>
        <w:t>项目概况</w:t>
      </w:r>
    </w:p>
    <w:p w14:paraId="3D35AF95">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（一）项目基本情况。</w:t>
      </w:r>
    </w:p>
    <w:p w14:paraId="0DA5B76E">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四川涉虚拟币经济犯罪类案研判基地是四川公安经侦部门依托“专业+机制+大数据”新型警务运行模式，围绕“立足攀枝花、服务全省、辐射全国”目标，在攀枝花市设立的类案研判基地。基地聚焦打防涉虚拟币经济犯罪及其他互联网新型犯罪，基于“全网监控、案源发现、精准打击”“链上与链下综合数据分析”的思路，从前期预警、中期监管、后期处罚实现全链条监控管理处置，有效地遏制及打击涉虚拟货币犯罪。</w:t>
      </w:r>
    </w:p>
    <w:p w14:paraId="34DEA293">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（二）项目绩效目标。</w:t>
      </w:r>
    </w:p>
    <w:p w14:paraId="7BCD6ED8">
      <w:pPr>
        <w:spacing w:line="560" w:lineRule="exact"/>
        <w:ind w:firstLine="640"/>
        <w:rPr>
          <w:rFonts w:eastAsia="仿宋_GB2312"/>
          <w:kern w:val="0"/>
          <w:sz w:val="32"/>
          <w:szCs w:val="32"/>
          <w:lang w:val="zh-CN"/>
        </w:rPr>
      </w:pPr>
      <w:r>
        <w:rPr>
          <w:rFonts w:hint="eastAsia" w:eastAsia="仿宋_GB2312"/>
          <w:kern w:val="0"/>
          <w:sz w:val="32"/>
          <w:szCs w:val="32"/>
          <w:lang w:val="zh-CN"/>
        </w:rPr>
        <w:t>四川涉虚拟币经济犯罪类案研判基地主要目绩效标为：一是深度系统研判涉虚拟币犯罪规律、特点和趋势，为全省公安经侦部门治理此类犯罪提供对策建议。二是研判生成批量犯罪线索，支撑全省公安经侦部门的打击工作。三是支撑全省、全国特大涉虚拟币犯罪案件侦办工作。四是探索形成四川经侦治理涉虚拟币犯罪工作指引，完善并适时更新研判数据模型工具及工作机制。五是为全省公安经侦部门培育涉虚拟币犯罪数据研判领军型人才，发挥“传帮带”作用。</w:t>
      </w:r>
    </w:p>
    <w:p w14:paraId="223685E6">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（三）项目自评步骤及方法。</w:t>
      </w:r>
    </w:p>
    <w:p w14:paraId="3C3E59F8">
      <w:pPr>
        <w:spacing w:line="560" w:lineRule="exact"/>
        <w:ind w:firstLine="640" w:firstLineChars="200"/>
        <w:rPr>
          <w:rFonts w:eastAsia="仿宋_GB2312"/>
          <w:kern w:val="0"/>
          <w:sz w:val="32"/>
          <w:szCs w:val="32"/>
          <w:lang w:val="zh-CN"/>
        </w:rPr>
      </w:pPr>
      <w:r>
        <w:rPr>
          <w:rFonts w:eastAsia="仿宋_GB2312"/>
          <w:kern w:val="0"/>
          <w:sz w:val="32"/>
          <w:szCs w:val="32"/>
          <w:lang w:val="zh-CN"/>
        </w:rPr>
        <w:t>该项目通过现场踏勘、与项目相关人员座谈或讨论、聘请相关专业专家、市场调研等方法了解项目情况，收集相关资料，综合分析相关情况后，对项目的立项必要性、投入经济性、目标合理性、方案可行性以及筹资合规性实施评估。</w:t>
      </w:r>
    </w:p>
    <w:p w14:paraId="3DF2B251">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二、项目资金申报及使用情况</w:t>
      </w:r>
    </w:p>
    <w:p w14:paraId="5974D316">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（一）项目资金申报及批复情况。</w:t>
      </w:r>
    </w:p>
    <w:p w14:paraId="7A2E7F5D">
      <w:pPr>
        <w:spacing w:line="560" w:lineRule="exact"/>
        <w:ind w:firstLine="640" w:firstLineChars="200"/>
        <w:rPr>
          <w:rFonts w:eastAsia="仿宋_GB2312"/>
          <w:kern w:val="0"/>
          <w:sz w:val="32"/>
          <w:szCs w:val="32"/>
        </w:rPr>
      </w:pPr>
      <w:r>
        <w:rPr>
          <w:rFonts w:hint="eastAsia" w:eastAsia="仿宋_GB2312"/>
          <w:kern w:val="0"/>
          <w:sz w:val="32"/>
          <w:szCs w:val="32"/>
        </w:rPr>
        <w:t>市公安局于2025年3月接到省公安厅《关于建立四川经侦涉虚拟币犯罪类案研判基地的通知》川公经﹝2025﹞31号文件要求由我市高效建成并实体化运行，基地建设需向信息科技公司购买专业服务（包含数据采集、更新、管理、软件开发、运维、升级），采购程序执行政府采购，采购方式为竞争性磋商，2025年5月，市公安局与成都链安科技有限公司签订技术服务合同，共需经费75万元整（3年服务期限，每年支付25万元）。</w:t>
      </w:r>
    </w:p>
    <w:p w14:paraId="52BF920D">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（二）资金计划、到位及使用情况。</w:t>
      </w:r>
    </w:p>
    <w:p w14:paraId="7838160C">
      <w:pPr>
        <w:spacing w:line="560" w:lineRule="exact"/>
        <w:ind w:firstLine="640" w:firstLineChars="200"/>
        <w:rPr>
          <w:rFonts w:eastAsia="仿宋_GB2312"/>
          <w:kern w:val="0"/>
          <w:sz w:val="32"/>
          <w:szCs w:val="32"/>
          <w:lang w:val="zh-CN"/>
        </w:rPr>
      </w:pPr>
      <w:r>
        <w:rPr>
          <w:rFonts w:eastAsia="仿宋_GB2312"/>
          <w:kern w:val="0"/>
          <w:sz w:val="32"/>
          <w:szCs w:val="32"/>
          <w:lang w:val="zh-CN"/>
        </w:rPr>
        <w:t>1．资金计划与到位。资金来源渠道的合法合规，评估内容包括政策，项目具有公共性，属于公共财政支持范围，筹资渠道符合法律法规规定，筹资结构合理，资金来源渠道明确。</w:t>
      </w:r>
    </w:p>
    <w:p w14:paraId="37446F07">
      <w:pPr>
        <w:adjustRightInd w:val="0"/>
        <w:snapToGrid w:val="0"/>
        <w:spacing w:line="600" w:lineRule="exact"/>
        <w:ind w:firstLine="720"/>
        <w:rPr>
          <w:rFonts w:eastAsia="仿宋_GB2312"/>
          <w:kern w:val="0"/>
          <w:sz w:val="32"/>
          <w:szCs w:val="32"/>
          <w:lang w:val="zh-CN"/>
        </w:rPr>
      </w:pPr>
      <w:r>
        <w:rPr>
          <w:rFonts w:eastAsia="仿宋_GB2312"/>
          <w:kern w:val="0"/>
          <w:sz w:val="32"/>
          <w:szCs w:val="32"/>
          <w:lang w:val="zh-CN"/>
        </w:rPr>
        <w:t>2．资金使用。该项目资金主要用于“</w:t>
      </w:r>
      <w:r>
        <w:rPr>
          <w:rFonts w:hint="eastAsia" w:eastAsia="仿宋_GB2312"/>
          <w:kern w:val="0"/>
          <w:sz w:val="32"/>
          <w:szCs w:val="32"/>
          <w:lang w:val="zh-CN"/>
        </w:rPr>
        <w:t>四川涉虚拟币经济犯罪类案研判基地</w:t>
      </w:r>
      <w:r>
        <w:rPr>
          <w:rFonts w:eastAsia="仿宋_GB2312"/>
          <w:kern w:val="0"/>
          <w:sz w:val="32"/>
          <w:szCs w:val="32"/>
          <w:lang w:val="zh-CN"/>
        </w:rPr>
        <w:t>”的</w:t>
      </w:r>
      <w:r>
        <w:rPr>
          <w:rFonts w:hint="eastAsia" w:eastAsia="仿宋_GB2312"/>
          <w:kern w:val="0"/>
          <w:sz w:val="32"/>
          <w:szCs w:val="32"/>
        </w:rPr>
        <w:t>数据采集、更新、管理、软件开发、运维、升级</w:t>
      </w:r>
      <w:r>
        <w:rPr>
          <w:rFonts w:eastAsia="仿宋_GB2312"/>
          <w:kern w:val="0"/>
          <w:sz w:val="32"/>
          <w:szCs w:val="32"/>
          <w:lang w:val="zh-CN"/>
        </w:rPr>
        <w:t>，支付依据合规合法，资金支付与预算相符。</w:t>
      </w:r>
    </w:p>
    <w:p w14:paraId="53B25498">
      <w:pPr>
        <w:spacing w:line="560" w:lineRule="exact"/>
        <w:ind w:firstLine="640" w:firstLineChars="200"/>
        <w:rPr>
          <w:rFonts w:eastAsia="仿宋_GB2312"/>
          <w:kern w:val="0"/>
          <w:sz w:val="32"/>
          <w:szCs w:val="32"/>
          <w:lang w:val="zh-CN"/>
        </w:rPr>
      </w:pPr>
    </w:p>
    <w:p w14:paraId="58775B6D">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（三）项目财务管理情况。</w:t>
      </w:r>
    </w:p>
    <w:p w14:paraId="3CB5C4CF">
      <w:pPr>
        <w:spacing w:line="560" w:lineRule="exact"/>
        <w:ind w:firstLine="640" w:firstLineChars="200"/>
        <w:rPr>
          <w:rFonts w:eastAsia="仿宋_GB2312"/>
          <w:kern w:val="0"/>
          <w:sz w:val="32"/>
          <w:szCs w:val="32"/>
          <w:lang w:val="zh-CN"/>
        </w:rPr>
      </w:pPr>
      <w:r>
        <w:rPr>
          <w:rFonts w:eastAsia="仿宋_GB2312"/>
          <w:kern w:val="0"/>
          <w:sz w:val="32"/>
          <w:szCs w:val="32"/>
          <w:lang w:val="zh-CN"/>
        </w:rPr>
        <w:t>该项目实施单位财务管理制度健全，严格执行财务管理制度，财务处理及时，会计核算规范，严格落实考核制度。</w:t>
      </w:r>
    </w:p>
    <w:p w14:paraId="5B98DE21">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三、项目实施及管理情况</w:t>
      </w:r>
    </w:p>
    <w:p w14:paraId="09E4422A">
      <w:pPr>
        <w:spacing w:line="560" w:lineRule="exact"/>
        <w:ind w:firstLine="640" w:firstLineChars="200"/>
        <w:rPr>
          <w:rFonts w:eastAsia="仿宋_GB2312"/>
          <w:kern w:val="0"/>
          <w:sz w:val="32"/>
          <w:szCs w:val="32"/>
          <w:lang w:val="zh-CN"/>
        </w:rPr>
      </w:pPr>
      <w:r>
        <w:rPr>
          <w:rFonts w:eastAsia="仿宋_GB2312"/>
          <w:kern w:val="0"/>
          <w:sz w:val="32"/>
          <w:szCs w:val="32"/>
          <w:lang w:val="zh-CN"/>
        </w:rPr>
        <w:t>结合项目组织实施管理办法，重点围绕以下内容进行分析评价，并对自评中发现的问题分析说明。</w:t>
      </w:r>
    </w:p>
    <w:p w14:paraId="0F7562CC">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（一）项目组织架构及实施流程。</w:t>
      </w:r>
    </w:p>
    <w:p w14:paraId="260AFADA">
      <w:pPr>
        <w:spacing w:line="560" w:lineRule="exact"/>
        <w:ind w:firstLine="640" w:firstLineChars="200"/>
        <w:rPr>
          <w:rFonts w:eastAsia="仿宋_GB2312"/>
          <w:kern w:val="0"/>
          <w:sz w:val="32"/>
          <w:szCs w:val="32"/>
          <w:lang w:val="zh-CN"/>
        </w:rPr>
      </w:pPr>
      <w:r>
        <w:rPr>
          <w:rFonts w:hint="eastAsia" w:eastAsia="仿宋_GB2312"/>
          <w:kern w:val="0"/>
          <w:sz w:val="32"/>
          <w:szCs w:val="32"/>
        </w:rPr>
        <w:t xml:space="preserve"> 根据《攀枝花市财政局关于开展 2026年财政重点绩效评价工作的通知》（攀财绩〔2026〕2 号），由市财政投资评审中心组成项目评价组，按照前期准备、单位自评、现场评价和报告撰写四个阶段，以现场评价为主、非现场评价为辅，采用案卷研究、实地踏勘、问卷调查等多种方式，组织实施项目绩效评价工作。在收集项目文件资料、细化评价指标及评价标准的基础上，深入到部分项目点，实地查看项目申报、实施及运行情况，与相关利益群体座谈、面访，收集相关数据资料。通过汇总整理，结合项目主管部门绩效自评报告，定量和定性分析形成评价结论，经过复核和交换意见后，形成绩效评价报告。</w:t>
      </w:r>
    </w:p>
    <w:p w14:paraId="044C0855">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（二）项目管理情况。</w:t>
      </w:r>
    </w:p>
    <w:p w14:paraId="1037C3AB">
      <w:pPr>
        <w:pStyle w:val="3"/>
        <w:spacing w:after="0" w:line="560" w:lineRule="exact"/>
        <w:ind w:left="0" w:leftChars="0" w:firstLine="640"/>
        <w:rPr>
          <w:rFonts w:ascii="Times New Roman" w:eastAsia="仿宋_GB2312"/>
          <w:sz w:val="32"/>
        </w:rPr>
      </w:pPr>
      <w:r>
        <w:rPr>
          <w:rFonts w:hint="eastAsia" w:ascii="Times New Roman" w:eastAsia="仿宋_GB2312"/>
          <w:sz w:val="32"/>
        </w:rPr>
        <w:t>根据需求，成都链安科技有限公司为</w:t>
      </w:r>
      <w:r>
        <w:rPr>
          <w:rFonts w:hint="eastAsia" w:ascii="Times New Roman" w:eastAsia="仿宋_GB2312"/>
          <w:sz w:val="32"/>
          <w:lang w:val="zh-CN"/>
        </w:rPr>
        <w:t>四川涉虚拟币经济犯罪类案研判基地</w:t>
      </w:r>
      <w:r>
        <w:rPr>
          <w:rFonts w:hint="eastAsia" w:ascii="Times New Roman" w:eastAsia="仿宋_GB2312"/>
          <w:sz w:val="32"/>
        </w:rPr>
        <w:t>提供以下区块链公链的链上数据技术服务，区块链BTC、ETH、TRON、BSC链的数据采集同步服务、实时数据统计服务、数据标签更新服务，并在服务期内实时更新相关数据并提供BTC、ETH、TRON、BSC链的数据管理维护服务，并按程序进行付款。</w:t>
      </w:r>
    </w:p>
    <w:p w14:paraId="11A43778">
      <w:pPr>
        <w:pStyle w:val="3"/>
        <w:spacing w:after="0" w:line="560" w:lineRule="exact"/>
        <w:ind w:left="0" w:leftChars="0" w:firstLine="640"/>
        <w:rPr>
          <w:rFonts w:ascii="楷体_GB2312" w:hAnsi="楷体_GB2312" w:eastAsia="楷体_GB2312" w:cs="楷体_GB2312"/>
          <w:kern w:val="0"/>
          <w:sz w:val="32"/>
          <w:lang w:val="zh-CN"/>
        </w:rPr>
      </w:pPr>
      <w:r>
        <w:rPr>
          <w:rFonts w:hint="eastAsia" w:ascii="楷体_GB2312" w:hAnsi="楷体_GB2312" w:eastAsia="楷体_GB2312" w:cs="楷体_GB2312"/>
          <w:kern w:val="0"/>
          <w:sz w:val="32"/>
          <w:lang w:val="zh-CN"/>
        </w:rPr>
        <w:t>（三）项目监管情况。</w:t>
      </w:r>
    </w:p>
    <w:p w14:paraId="451546B3">
      <w:pPr>
        <w:pStyle w:val="3"/>
        <w:spacing w:after="0" w:line="560" w:lineRule="exact"/>
        <w:ind w:left="0" w:leftChars="0" w:firstLine="640"/>
        <w:rPr>
          <w:rFonts w:ascii="Times New Roman" w:eastAsia="仿宋_GB2312"/>
          <w:kern w:val="0"/>
          <w:sz w:val="32"/>
          <w:lang w:val="zh-CN"/>
        </w:rPr>
      </w:pPr>
      <w:r>
        <w:rPr>
          <w:rFonts w:ascii="Times New Roman" w:eastAsia="仿宋_GB2312"/>
          <w:kern w:val="0"/>
          <w:sz w:val="32"/>
          <w:lang w:val="zh-CN"/>
        </w:rPr>
        <w:t>为规范资金管理，</w:t>
      </w:r>
      <w:r>
        <w:rPr>
          <w:rFonts w:hint="eastAsia" w:ascii="Times New Roman" w:eastAsia="仿宋_GB2312"/>
          <w:kern w:val="0"/>
          <w:sz w:val="32"/>
          <w:lang w:val="zh-CN"/>
        </w:rPr>
        <w:t>攀枝花市公安局严格按照</w:t>
      </w:r>
      <w:r>
        <w:rPr>
          <w:rFonts w:ascii="Times New Roman" w:eastAsia="仿宋_GB2312"/>
          <w:kern w:val="0"/>
          <w:sz w:val="32"/>
          <w:lang w:val="zh-CN"/>
        </w:rPr>
        <w:t>资金开支范围</w:t>
      </w:r>
      <w:r>
        <w:rPr>
          <w:rFonts w:hint="eastAsia" w:ascii="Times New Roman" w:eastAsia="仿宋_GB2312"/>
          <w:kern w:val="0"/>
          <w:sz w:val="32"/>
          <w:lang w:val="zh-CN"/>
        </w:rPr>
        <w:t>实施项目，定期开展绩效监控，积极推动项目实施，配合市财政局并对该</w:t>
      </w:r>
      <w:r>
        <w:rPr>
          <w:rFonts w:ascii="Times New Roman" w:eastAsia="仿宋_GB2312"/>
          <w:kern w:val="0"/>
          <w:sz w:val="32"/>
          <w:lang w:val="zh-CN"/>
        </w:rPr>
        <w:t>专项资金进行了监管</w:t>
      </w:r>
      <w:r>
        <w:rPr>
          <w:rFonts w:hint="eastAsia" w:ascii="Times New Roman" w:eastAsia="仿宋_GB2312"/>
          <w:kern w:val="0"/>
          <w:sz w:val="32"/>
          <w:lang w:val="zh-CN"/>
        </w:rPr>
        <w:t>。</w:t>
      </w:r>
    </w:p>
    <w:p w14:paraId="40BA8CAB">
      <w:pPr>
        <w:spacing w:line="560" w:lineRule="exact"/>
        <w:ind w:firstLine="641"/>
        <w:rPr>
          <w:rFonts w:ascii="黑体" w:hAnsi="黑体" w:eastAsia="黑体" w:cs="黑体"/>
          <w:kern w:val="0"/>
          <w:sz w:val="32"/>
          <w:szCs w:val="32"/>
          <w:lang w:val="zh-CN"/>
        </w:rPr>
      </w:pPr>
      <w:r>
        <w:rPr>
          <w:rFonts w:hint="eastAsia" w:ascii="黑体" w:hAnsi="黑体" w:eastAsia="黑体" w:cs="黑体"/>
          <w:kern w:val="0"/>
          <w:sz w:val="32"/>
          <w:szCs w:val="32"/>
        </w:rPr>
        <w:t>三、项目绩效情况</w:t>
      </w:r>
      <w:r>
        <w:rPr>
          <w:rFonts w:hint="eastAsia" w:ascii="黑体" w:hAnsi="黑体" w:eastAsia="黑体" w:cs="黑体"/>
          <w:kern w:val="0"/>
          <w:sz w:val="32"/>
          <w:szCs w:val="32"/>
          <w:lang w:val="zh-CN"/>
        </w:rPr>
        <w:tab/>
      </w:r>
    </w:p>
    <w:p w14:paraId="16AF47A0">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（一）项目完成情况。</w:t>
      </w:r>
    </w:p>
    <w:p w14:paraId="20A3FFC2">
      <w:pPr>
        <w:adjustRightInd w:val="0"/>
        <w:snapToGrid w:val="0"/>
        <w:spacing w:line="600" w:lineRule="exact"/>
        <w:ind w:firstLine="720"/>
        <w:rPr>
          <w:rFonts w:eastAsia="仿宋_GB2312"/>
          <w:kern w:val="0"/>
          <w:sz w:val="32"/>
          <w:szCs w:val="32"/>
          <w:lang w:val="zh-CN"/>
        </w:rPr>
      </w:pPr>
      <w:r>
        <w:rPr>
          <w:rFonts w:hint="eastAsia" w:eastAsia="仿宋_GB2312"/>
          <w:kern w:val="0"/>
          <w:sz w:val="32"/>
          <w:szCs w:val="32"/>
          <w:lang w:val="zh-CN"/>
        </w:rPr>
        <w:t>四川涉虚拟币经济犯罪类案研判基地</w:t>
      </w:r>
      <w:r>
        <w:rPr>
          <w:rFonts w:hint="eastAsia" w:eastAsia="仿宋_GB2312"/>
          <w:kern w:val="0"/>
          <w:sz w:val="32"/>
          <w:szCs w:val="32"/>
        </w:rPr>
        <w:t>已成功研发模型工具1个（链鹰-涉虚拟货币传销案件研判工具），接入数据超100T，数据来源为BTC、ETH、TRON、BSC等公链，数据种类包含虚拟货币地址数据、交易数据、地址统计数据、币价数据，标签数据（交易所、钱包、兑币跨链协议、代币合约、混币、涉案种类），调证回函数据、用户标注数据等，按年支付专业服务费用。</w:t>
      </w:r>
    </w:p>
    <w:p w14:paraId="4D5A914A">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（二）项目效益情况。</w:t>
      </w:r>
    </w:p>
    <w:p w14:paraId="4F698C6B">
      <w:pPr>
        <w:adjustRightInd w:val="0"/>
        <w:snapToGrid w:val="0"/>
        <w:spacing w:line="600" w:lineRule="exact"/>
        <w:ind w:firstLine="720"/>
        <w:rPr>
          <w:rFonts w:eastAsia="仿宋_GB2312"/>
          <w:kern w:val="0"/>
          <w:sz w:val="32"/>
          <w:szCs w:val="32"/>
          <w:lang w:val="zh-CN"/>
        </w:rPr>
      </w:pPr>
      <w:r>
        <w:rPr>
          <w:rFonts w:hint="eastAsia" w:eastAsia="仿宋_GB2312"/>
          <w:kern w:val="0"/>
          <w:sz w:val="32"/>
          <w:szCs w:val="32"/>
          <w:lang w:val="zh-CN"/>
        </w:rPr>
        <w:t>四川涉虚拟币经济犯罪类案研判基地</w:t>
      </w:r>
      <w:r>
        <w:rPr>
          <w:rFonts w:hint="eastAsia" w:eastAsia="仿宋_GB2312"/>
          <w:kern w:val="0"/>
          <w:sz w:val="32"/>
          <w:szCs w:val="32"/>
        </w:rPr>
        <w:t>顺利建成，极大提升了公安机关涉虚拟货币案件侦办效率，及时挽回受害人损失，打击涉虚拟币犯罪趋势，提升了群众安全感和满意度，促进社会和谐发展。</w:t>
      </w:r>
    </w:p>
    <w:p w14:paraId="1F853CD4">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四、评价结论及建议</w:t>
      </w:r>
    </w:p>
    <w:p w14:paraId="4954894D">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（一）评价结论。</w:t>
      </w:r>
    </w:p>
    <w:p w14:paraId="1C55C7CF">
      <w:pPr>
        <w:adjustRightInd w:val="0"/>
        <w:snapToGrid w:val="0"/>
        <w:spacing w:line="600" w:lineRule="exact"/>
        <w:ind w:firstLine="720"/>
        <w:rPr>
          <w:rFonts w:eastAsia="仿宋_GB2312"/>
          <w:kern w:val="0"/>
          <w:sz w:val="32"/>
          <w:szCs w:val="32"/>
          <w:lang w:val="zh-CN"/>
        </w:rPr>
      </w:pPr>
      <w:r>
        <w:rPr>
          <w:rFonts w:hint="eastAsia" w:eastAsia="仿宋_GB2312"/>
          <w:kern w:val="0"/>
          <w:sz w:val="32"/>
          <w:szCs w:val="32"/>
        </w:rPr>
        <w:t>项目建成后，依托基地及研发的工具先后成功发现核实可疑线索300余条，研判侦破了涉虚拟货币传销案件20余起，发挥工具通用资金分析功能支撑刑侦、政保等警种案件50余起。通过实战效果来看，可以大大缩短整个办案周期，由原来的“年”缩短至“月”，极大的提升了工作效率。基地汇集数据种类多、数据量大、算法准确性高、通用性强的特点，且具有智能化、自动化、专业化程度高的优势。同时，所研发的工具落地使用条件门槛低，服务警种范围广，具有很强的可复制性和推广性，在全国公安经侦部门实战练兵比武活动中取得全国第8名的好成绩，并成功列装于经侦应用云系统，服务全国一线民警侦查办案，得到了省、市领导的充分肯定。</w:t>
      </w:r>
      <w:r>
        <w:rPr>
          <w:rFonts w:hint="eastAsia" w:eastAsia="仿宋_GB2312"/>
          <w:kern w:val="0"/>
          <w:sz w:val="32"/>
          <w:szCs w:val="32"/>
          <w:lang w:val="zh-CN"/>
        </w:rPr>
        <w:t>四川涉虚拟币经济犯罪类案研判基地系统技术服务</w:t>
      </w:r>
      <w:r>
        <w:rPr>
          <w:rFonts w:hint="eastAsia" w:eastAsia="仿宋_GB2312"/>
          <w:kern w:val="0"/>
          <w:sz w:val="32"/>
          <w:szCs w:val="32"/>
        </w:rPr>
        <w:t>经费由市财政局国库支付，支出符合国家财经法规和财务管理制度规定以及有关专项资金管理办法的规定，资金拨付有完整的审批程序和手续，资金使用无截留、挤占、挪用、虚列支出等情况。</w:t>
      </w:r>
    </w:p>
    <w:p w14:paraId="63265819">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（二）存在的问题。</w:t>
      </w:r>
    </w:p>
    <w:p w14:paraId="09201C61">
      <w:pPr>
        <w:pStyle w:val="3"/>
        <w:spacing w:after="0" w:line="560" w:lineRule="exact"/>
        <w:ind w:left="0" w:leftChars="0" w:firstLine="640"/>
        <w:rPr>
          <w:rFonts w:eastAsia="仿宋_GB2312" w:cs="仿宋_GB2312"/>
          <w:kern w:val="0"/>
          <w:sz w:val="32"/>
          <w:lang w:val="zh-CN"/>
        </w:rPr>
      </w:pPr>
      <w:r>
        <w:rPr>
          <w:rFonts w:eastAsia="仿宋_GB2312" w:cs="仿宋_GB2312"/>
          <w:kern w:val="0"/>
          <w:sz w:val="32"/>
          <w:lang w:val="zh-CN"/>
        </w:rPr>
        <w:t>无</w:t>
      </w:r>
    </w:p>
    <w:p w14:paraId="6D6B2529">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（三）相关建议。</w:t>
      </w:r>
    </w:p>
    <w:p w14:paraId="263C06F6">
      <w:pPr>
        <w:pStyle w:val="3"/>
        <w:spacing w:after="0" w:line="560" w:lineRule="exact"/>
        <w:ind w:left="0" w:leftChars="0" w:firstLine="640"/>
        <w:rPr>
          <w:rFonts w:eastAsia="仿宋_GB2312" w:cs="仿宋_GB2312"/>
          <w:kern w:val="0"/>
          <w:sz w:val="32"/>
          <w:lang w:val="zh-CN"/>
        </w:rPr>
      </w:pPr>
      <w:r>
        <w:rPr>
          <w:rFonts w:eastAsia="仿宋_GB2312" w:cs="仿宋_GB2312"/>
          <w:kern w:val="0"/>
          <w:sz w:val="32"/>
          <w:lang w:val="zh-CN"/>
        </w:rPr>
        <w:t>无</w:t>
      </w:r>
    </w:p>
    <w:p w14:paraId="00EF19ED">
      <w:pPr>
        <w:pStyle w:val="3"/>
        <w:ind w:left="420" w:firstLine="640"/>
        <w:rPr>
          <w:rFonts w:eastAsia="仿宋_GB2312" w:cs="仿宋_GB2312"/>
          <w:kern w:val="0"/>
          <w:sz w:val="32"/>
          <w:highlight w:val="yellow"/>
        </w:rPr>
      </w:pPr>
    </w:p>
    <w:p w14:paraId="4C24934C">
      <w:pPr>
        <w:pStyle w:val="3"/>
        <w:ind w:left="0" w:leftChars="0" w:firstLine="0" w:firstLineChars="0"/>
        <w:rPr>
          <w:rFonts w:eastAsia="仿宋_GB2312" w:cs="仿宋_GB2312"/>
          <w:kern w:val="0"/>
          <w:sz w:val="32"/>
          <w:highlight w:val="yellow"/>
        </w:rPr>
      </w:pPr>
    </w:p>
    <w:p w14:paraId="158383AA">
      <w:pPr>
        <w:pStyle w:val="5"/>
        <w:spacing w:before="0" w:after="0" w:line="300" w:lineRule="auto"/>
        <w:jc w:val="center"/>
        <w:rPr>
          <w:rFonts w:ascii="方正小标宋_GBK" w:hAnsi="方正小标宋_GBK" w:eastAsia="方正小标宋_GBK" w:cs="方正小标宋_GBK"/>
          <w:b w:val="0"/>
        </w:rPr>
      </w:pPr>
      <w:r>
        <w:rPr>
          <w:rFonts w:hint="eastAsia" w:ascii="方正小标宋_GBK" w:hAnsi="方正小标宋_GBK" w:eastAsia="方正小标宋_GBK" w:cs="方正小标宋_GBK"/>
          <w:b w:val="0"/>
        </w:rPr>
        <w:t>攀枝花市智能安全系统（天网二期租赁费）</w:t>
      </w:r>
    </w:p>
    <w:p w14:paraId="0F78E257">
      <w:pPr>
        <w:pStyle w:val="5"/>
        <w:spacing w:before="0" w:after="0" w:line="300" w:lineRule="auto"/>
        <w:jc w:val="center"/>
        <w:rPr>
          <w:rFonts w:ascii="方正小标宋_GBK" w:hAnsi="方正小标宋_GBK" w:eastAsia="方正小标宋_GBK" w:cs="方正小标宋_GBK"/>
          <w:b w:val="0"/>
        </w:rPr>
      </w:pPr>
      <w:r>
        <w:rPr>
          <w:rFonts w:hint="eastAsia" w:ascii="方正小标宋_GBK" w:hAnsi="方正小标宋_GBK" w:eastAsia="方正小标宋_GBK" w:cs="方正小标宋_GBK"/>
          <w:b w:val="0"/>
        </w:rPr>
        <w:t>项目支出绩效自评报告</w:t>
      </w:r>
    </w:p>
    <w:p w14:paraId="3BEC3474">
      <w:pPr>
        <w:pStyle w:val="3"/>
        <w:ind w:left="420" w:firstLine="640"/>
        <w:rPr>
          <w:rFonts w:eastAsia="仿宋_GB2312" w:cs="仿宋_GB2312"/>
          <w:kern w:val="0"/>
          <w:sz w:val="32"/>
        </w:rPr>
      </w:pPr>
    </w:p>
    <w:p w14:paraId="3C608121">
      <w:pPr>
        <w:spacing w:line="560" w:lineRule="exact"/>
        <w:ind w:firstLine="641"/>
        <w:rPr>
          <w:rFonts w:ascii="黑体" w:hAnsi="黑体" w:eastAsia="黑体" w:cs="黑体"/>
          <w:kern w:val="0"/>
          <w:sz w:val="32"/>
          <w:szCs w:val="32"/>
          <w:lang w:val="zh-CN"/>
        </w:rPr>
      </w:pPr>
      <w:r>
        <w:rPr>
          <w:rFonts w:hint="eastAsia" w:ascii="黑体" w:hAnsi="黑体" w:eastAsia="黑体" w:cs="黑体"/>
          <w:kern w:val="0"/>
          <w:sz w:val="32"/>
          <w:szCs w:val="32"/>
        </w:rPr>
        <w:t>一、</w:t>
      </w:r>
      <w:r>
        <w:rPr>
          <w:rFonts w:hint="eastAsia" w:ascii="黑体" w:hAnsi="黑体" w:eastAsia="黑体" w:cs="黑体"/>
          <w:kern w:val="0"/>
          <w:sz w:val="32"/>
          <w:szCs w:val="32"/>
          <w:lang w:val="zh-CN"/>
        </w:rPr>
        <w:t>项目概况</w:t>
      </w:r>
    </w:p>
    <w:p w14:paraId="0FEFAFAF">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（一）项目基本情况。</w:t>
      </w:r>
    </w:p>
    <w:p w14:paraId="08186DCB">
      <w:pPr>
        <w:spacing w:line="560" w:lineRule="exact"/>
        <w:ind w:firstLine="640" w:firstLineChars="200"/>
        <w:rPr>
          <w:rFonts w:eastAsia="仿宋_GB2312"/>
          <w:kern w:val="0"/>
          <w:sz w:val="32"/>
          <w:szCs w:val="32"/>
          <w:lang w:val="zh-CN"/>
        </w:rPr>
      </w:pPr>
      <w:r>
        <w:rPr>
          <w:rFonts w:eastAsia="仿宋_GB2312"/>
          <w:kern w:val="0"/>
          <w:sz w:val="32"/>
          <w:szCs w:val="32"/>
          <w:lang w:val="zh-CN"/>
        </w:rPr>
        <w:t>天网二期主要在攀枝花市主城区150平方公里范围内建立5673路视频监控，部署于商贸集市、人员集散地、交通场所、区间交际路段、复杂路段、复杂场所、危险品库、医疗机构、教育机构、金融机构、重点要害部位、特殊行业等位置；同时建设68套高清卡口、39套高清电子警察违法抓拍、368套高清动态违法抓拍、39套联网型信号控制及10个交通诱导屏等智能化交通指挥系统。</w:t>
      </w:r>
    </w:p>
    <w:p w14:paraId="02F32C1B">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（二）项目绩效目标。</w:t>
      </w:r>
    </w:p>
    <w:p w14:paraId="6DB26622">
      <w:pPr>
        <w:spacing w:line="560" w:lineRule="exact"/>
        <w:ind w:firstLine="640" w:firstLineChars="200"/>
        <w:rPr>
          <w:rFonts w:eastAsia="仿宋_GB2312"/>
          <w:kern w:val="0"/>
          <w:sz w:val="32"/>
          <w:szCs w:val="32"/>
          <w:lang w:val="zh-CN"/>
        </w:rPr>
      </w:pPr>
      <w:r>
        <w:rPr>
          <w:rFonts w:eastAsia="仿宋_GB2312"/>
          <w:kern w:val="0"/>
          <w:sz w:val="32"/>
          <w:szCs w:val="32"/>
          <w:lang w:val="zh-CN"/>
        </w:rPr>
        <w:t>天网二期主要覆盖部、省、市、县和基层所队以及延伸至公共安全视频监控前端的公安视频传输网，承载通过边界安全交互平台接入的其他专网和公共网络上的视音频信息，为重点公共区域视频监控业务、公安有关业务应用提供传输通道。</w:t>
      </w:r>
    </w:p>
    <w:p w14:paraId="58706996">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（三）项目自评步骤及方法。</w:t>
      </w:r>
    </w:p>
    <w:p w14:paraId="40592D1A">
      <w:pPr>
        <w:spacing w:line="560" w:lineRule="exact"/>
        <w:ind w:firstLine="640" w:firstLineChars="200"/>
        <w:rPr>
          <w:rFonts w:eastAsia="仿宋_GB2312"/>
          <w:kern w:val="0"/>
          <w:sz w:val="32"/>
          <w:szCs w:val="32"/>
          <w:lang w:val="zh-CN"/>
        </w:rPr>
      </w:pPr>
      <w:r>
        <w:rPr>
          <w:rFonts w:eastAsia="仿宋_GB2312"/>
          <w:kern w:val="0"/>
          <w:sz w:val="32"/>
          <w:szCs w:val="32"/>
          <w:lang w:val="zh-CN"/>
        </w:rPr>
        <w:t>该项目通过现场踏勘、与项目相关人员座谈或讨论、聘请相关专业专家、市场调研等方法了解项目情况，收集相关资料，综合分析相关情况后，对项目的立项必要性、投入经济性、目标合理性、方案可行性以及筹资合规性实施评估。</w:t>
      </w:r>
    </w:p>
    <w:p w14:paraId="059C8F92">
      <w:pPr>
        <w:spacing w:line="560" w:lineRule="exact"/>
        <w:ind w:firstLine="640" w:firstLineChars="200"/>
        <w:rPr>
          <w:rFonts w:ascii="黑体" w:hAnsi="黑体" w:eastAsia="黑体" w:cs="黑体"/>
          <w:kern w:val="0"/>
          <w:sz w:val="32"/>
          <w:szCs w:val="32"/>
        </w:rPr>
      </w:pPr>
      <w:r>
        <w:rPr>
          <w:rFonts w:hint="eastAsia" w:ascii="黑体" w:hAnsi="黑体" w:eastAsia="黑体" w:cs="黑体"/>
          <w:kern w:val="0"/>
          <w:sz w:val="32"/>
          <w:szCs w:val="32"/>
        </w:rPr>
        <w:t>二、项目资金申报及使用情况</w:t>
      </w:r>
    </w:p>
    <w:p w14:paraId="4F333330">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（一）项目资金申报及批复情况。</w:t>
      </w:r>
    </w:p>
    <w:p w14:paraId="218B21E6">
      <w:pPr>
        <w:pStyle w:val="3"/>
        <w:spacing w:after="0" w:line="560" w:lineRule="exact"/>
        <w:ind w:left="0" w:leftChars="0" w:firstLine="640"/>
        <w:rPr>
          <w:rFonts w:eastAsia="仿宋_GB2312" w:cs="仿宋_GB2312"/>
          <w:kern w:val="0"/>
          <w:sz w:val="32"/>
        </w:rPr>
      </w:pPr>
      <w:r>
        <w:rPr>
          <w:rFonts w:ascii="Times New Roman" w:eastAsia="仿宋_GB2312"/>
          <w:kern w:val="0"/>
          <w:sz w:val="32"/>
          <w:lang w:val="zh-CN"/>
        </w:rPr>
        <w:t>市公安局于2012年开始天网二期的调研、规划，2013年，通过“政府授权，招商引资”方式（攀府函〔2013〕57号），由市公安局牵头完成招商评审工作，并经市政府第25次常务会议，确定攀枝花电信分公司为该项目投资商，年租费3480万元，租期10年。2013年12月，市公安局代市政府与电信公司签订了项目租赁合同。</w:t>
      </w:r>
      <w:r>
        <w:rPr>
          <w:rFonts w:hint="eastAsia" w:ascii="Times New Roman" w:eastAsia="仿宋_GB2312"/>
          <w:kern w:val="0"/>
          <w:sz w:val="32"/>
          <w:lang w:val="zh-CN"/>
        </w:rPr>
        <w:t>项目</w:t>
      </w:r>
      <w:r>
        <w:rPr>
          <w:rFonts w:hint="eastAsia" w:ascii="Times New Roman" w:eastAsia="仿宋_GB2312"/>
          <w:kern w:val="0"/>
          <w:sz w:val="32"/>
        </w:rPr>
        <w:t>2025年</w:t>
      </w:r>
      <w:r>
        <w:rPr>
          <w:rFonts w:hint="eastAsia" w:ascii="Times New Roman" w:eastAsia="仿宋_GB2312"/>
          <w:kern w:val="0"/>
          <w:sz w:val="32"/>
          <w:lang w:val="zh-CN"/>
        </w:rPr>
        <w:t>批复资金</w:t>
      </w:r>
      <w:r>
        <w:rPr>
          <w:rFonts w:hint="eastAsia" w:ascii="Times New Roman" w:eastAsia="仿宋_GB2312"/>
          <w:kern w:val="0"/>
          <w:sz w:val="32"/>
        </w:rPr>
        <w:t>4000</w:t>
      </w:r>
      <w:r>
        <w:rPr>
          <w:rFonts w:hint="eastAsia" w:ascii="Times New Roman" w:eastAsia="仿宋_GB2312"/>
          <w:kern w:val="0"/>
          <w:sz w:val="32"/>
          <w:lang w:val="zh-CN"/>
        </w:rPr>
        <w:t>万元</w:t>
      </w:r>
      <w:r>
        <w:rPr>
          <w:rFonts w:ascii="Times New Roman" w:eastAsia="仿宋_GB2312"/>
          <w:kern w:val="0"/>
          <w:sz w:val="32"/>
          <w:lang w:val="zh-CN"/>
        </w:rPr>
        <w:t>。</w:t>
      </w:r>
    </w:p>
    <w:p w14:paraId="14855F27">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（二）资金计划、到位及使用情况。</w:t>
      </w:r>
    </w:p>
    <w:p w14:paraId="3F94DA17">
      <w:pPr>
        <w:spacing w:line="560" w:lineRule="exact"/>
        <w:ind w:firstLine="640" w:firstLineChars="200"/>
        <w:rPr>
          <w:rFonts w:eastAsia="仿宋_GB2312"/>
          <w:kern w:val="0"/>
          <w:sz w:val="32"/>
          <w:szCs w:val="32"/>
          <w:lang w:val="zh-CN"/>
        </w:rPr>
      </w:pPr>
      <w:r>
        <w:rPr>
          <w:rFonts w:eastAsia="仿宋_GB2312"/>
          <w:kern w:val="0"/>
          <w:sz w:val="32"/>
          <w:szCs w:val="32"/>
          <w:lang w:val="zh-CN"/>
        </w:rPr>
        <w:t>1．资金计划与到位。资金来源渠道的合法合规，评估内容包括政策，项目具有公共性，属于公共财政支持范围，筹资渠道符合法律法规规定，筹资结构合理，资金来源渠道明确。</w:t>
      </w:r>
    </w:p>
    <w:p w14:paraId="0E2AB4D6">
      <w:pPr>
        <w:spacing w:line="560" w:lineRule="exact"/>
        <w:ind w:firstLine="640" w:firstLineChars="200"/>
        <w:rPr>
          <w:rFonts w:eastAsia="仿宋_GB2312"/>
          <w:kern w:val="0"/>
          <w:sz w:val="32"/>
          <w:szCs w:val="32"/>
          <w:lang w:val="zh-CN"/>
        </w:rPr>
      </w:pPr>
      <w:r>
        <w:rPr>
          <w:rFonts w:eastAsia="仿宋_GB2312"/>
          <w:kern w:val="0"/>
          <w:sz w:val="32"/>
          <w:szCs w:val="32"/>
          <w:lang w:val="zh-CN"/>
        </w:rPr>
        <w:t>2．资金使用。该项目资金主要用于“天网二期”的日常运维，支付依据合规合法，资金支付与预算相符。</w:t>
      </w:r>
    </w:p>
    <w:p w14:paraId="057AF40C">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（三）项目财务管理情况。</w:t>
      </w:r>
    </w:p>
    <w:p w14:paraId="36E048A2">
      <w:pPr>
        <w:spacing w:line="560" w:lineRule="exact"/>
        <w:ind w:firstLine="640" w:firstLineChars="200"/>
        <w:rPr>
          <w:rFonts w:eastAsia="仿宋_GB2312"/>
          <w:kern w:val="0"/>
          <w:sz w:val="32"/>
          <w:szCs w:val="32"/>
          <w:lang w:val="zh-CN"/>
        </w:rPr>
      </w:pPr>
      <w:r>
        <w:rPr>
          <w:rFonts w:eastAsia="仿宋_GB2312"/>
          <w:kern w:val="0"/>
          <w:sz w:val="32"/>
          <w:szCs w:val="32"/>
          <w:lang w:val="zh-CN"/>
        </w:rPr>
        <w:t>该项目实施单位财务管理制度健全，严格执行财务管理制度，财务处理及时，会计核算规范，严格落实考核制度。</w:t>
      </w:r>
    </w:p>
    <w:p w14:paraId="115A2F47">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三、项目实施及管理情况</w:t>
      </w:r>
    </w:p>
    <w:p w14:paraId="023324D0">
      <w:pPr>
        <w:spacing w:line="560" w:lineRule="exact"/>
        <w:ind w:firstLine="640" w:firstLineChars="200"/>
        <w:rPr>
          <w:rFonts w:eastAsia="仿宋_GB2312"/>
          <w:kern w:val="0"/>
          <w:sz w:val="32"/>
          <w:szCs w:val="32"/>
          <w:lang w:val="zh-CN"/>
        </w:rPr>
      </w:pPr>
      <w:r>
        <w:rPr>
          <w:rFonts w:eastAsia="仿宋_GB2312"/>
          <w:kern w:val="0"/>
          <w:sz w:val="32"/>
          <w:szCs w:val="32"/>
          <w:lang w:val="zh-CN"/>
        </w:rPr>
        <w:t>结合项目组织实施管理办法，重点围绕以下内容进行分析评价，并对自评中发现的问题分析说明。</w:t>
      </w:r>
    </w:p>
    <w:p w14:paraId="25067AB2">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（一）项目组织架构及实施流程。</w:t>
      </w:r>
    </w:p>
    <w:p w14:paraId="30C6F0CD">
      <w:pPr>
        <w:pStyle w:val="3"/>
        <w:spacing w:after="0" w:line="560" w:lineRule="exact"/>
        <w:ind w:left="0" w:leftChars="0" w:firstLine="640"/>
        <w:rPr>
          <w:rFonts w:ascii="Times New Roman" w:eastAsia="仿宋_GB2312"/>
          <w:kern w:val="0"/>
          <w:sz w:val="32"/>
        </w:rPr>
      </w:pPr>
      <w:r>
        <w:rPr>
          <w:rFonts w:hint="eastAsia" w:ascii="Times New Roman" w:eastAsia="仿宋_GB2312"/>
          <w:kern w:val="0"/>
          <w:sz w:val="32"/>
        </w:rPr>
        <w:t>根据《攀枝花市财政局关于开展 2026年财政重点绩效评价工作的通知》（攀财绩〔2026〕2 号），由市财政投资评审中心组成项目评价组，按照前期准备、单位自评、现场评价和报告撰写四个阶段，以现场评价为主、非现场评价为辅，采用案卷研究、实地踏勘、问卷调查等多种方式，组织实施项目绩效评价工作。在收集项目文件资料、细化评价指标及评价标准的基础上，深入到部分项目点，实地查看项目申报、实施及运行情况，与相关利益群体座谈、面访，收集相关数据资料。通过汇总整理，结合项目主管部门绩效自评报告，定量和定性分析形成评价结论，经过复核和交换意见后，形成绩效评价报告。</w:t>
      </w:r>
    </w:p>
    <w:p w14:paraId="30D91E20">
      <w:pPr>
        <w:pStyle w:val="3"/>
        <w:spacing w:after="0" w:line="560" w:lineRule="exact"/>
        <w:ind w:left="0" w:leftChars="0" w:firstLine="640"/>
        <w:rPr>
          <w:rFonts w:ascii="楷体_GB2312" w:hAnsi="楷体_GB2312" w:eastAsia="楷体_GB2312" w:cs="楷体_GB2312"/>
          <w:kern w:val="0"/>
          <w:sz w:val="32"/>
          <w:lang w:val="zh-CN"/>
        </w:rPr>
      </w:pPr>
      <w:r>
        <w:rPr>
          <w:rFonts w:hint="eastAsia" w:ascii="楷体_GB2312" w:hAnsi="楷体_GB2312" w:eastAsia="楷体_GB2312" w:cs="楷体_GB2312"/>
          <w:kern w:val="0"/>
          <w:sz w:val="32"/>
          <w:lang w:val="zh-CN"/>
        </w:rPr>
        <w:t>（二）项目管理情况。</w:t>
      </w:r>
    </w:p>
    <w:p w14:paraId="3C1989D5">
      <w:pPr>
        <w:pStyle w:val="3"/>
        <w:spacing w:after="0" w:line="560" w:lineRule="exact"/>
        <w:ind w:left="0" w:leftChars="0" w:firstLine="640"/>
        <w:rPr>
          <w:rFonts w:ascii="Times New Roman" w:eastAsia="仿宋_GB2312"/>
          <w:kern w:val="0"/>
          <w:sz w:val="32"/>
          <w:lang w:val="zh-CN"/>
        </w:rPr>
      </w:pPr>
      <w:r>
        <w:rPr>
          <w:rFonts w:ascii="Times New Roman" w:eastAsia="仿宋_GB2312"/>
          <w:kern w:val="0"/>
          <w:sz w:val="32"/>
          <w:lang w:val="zh-CN"/>
        </w:rPr>
        <w:t>项目由运营公司安排人员到市公安局7*24小时值班，实时监控点位运行情况，各分县局和交警每月提供实际使用情况数据，由指挥中心进行数据汇总，经科技通信科、警保科、审计科根据汇总数据进行考核，甲方和乙方就考核结果进行认定；最后，甲方按照合同约定，核算租赁费用，并按程序进行付款。</w:t>
      </w:r>
    </w:p>
    <w:p w14:paraId="416BE0F3">
      <w:pPr>
        <w:pStyle w:val="3"/>
        <w:spacing w:after="0" w:line="560" w:lineRule="exact"/>
        <w:ind w:left="0" w:leftChars="0" w:firstLine="640"/>
        <w:rPr>
          <w:rFonts w:ascii="Times New Roman" w:eastAsia="仿宋_GB2312"/>
          <w:kern w:val="0"/>
          <w:sz w:val="32"/>
          <w:lang w:val="zh-CN"/>
        </w:rPr>
      </w:pPr>
      <w:r>
        <w:rPr>
          <w:rFonts w:hint="eastAsia" w:ascii="楷体_GB2312" w:hAnsi="楷体_GB2312" w:eastAsia="楷体_GB2312" w:cs="楷体_GB2312"/>
          <w:kern w:val="0"/>
          <w:sz w:val="32"/>
          <w:lang w:val="zh-CN"/>
        </w:rPr>
        <w:t>（三）项目监管情况。</w:t>
      </w:r>
      <w:r>
        <w:rPr>
          <w:rFonts w:ascii="Times New Roman" w:eastAsia="仿宋_GB2312"/>
          <w:kern w:val="0"/>
          <w:sz w:val="32"/>
          <w:lang w:val="zh-CN"/>
        </w:rPr>
        <w:t>为规范资金管理，</w:t>
      </w:r>
      <w:r>
        <w:rPr>
          <w:rFonts w:hint="eastAsia" w:ascii="Times New Roman" w:eastAsia="仿宋_GB2312"/>
          <w:kern w:val="0"/>
          <w:sz w:val="32"/>
          <w:lang w:val="zh-CN"/>
        </w:rPr>
        <w:t>攀枝花市公安局严格按照</w:t>
      </w:r>
      <w:r>
        <w:rPr>
          <w:rFonts w:ascii="Times New Roman" w:eastAsia="仿宋_GB2312"/>
          <w:kern w:val="0"/>
          <w:sz w:val="32"/>
          <w:lang w:val="zh-CN"/>
        </w:rPr>
        <w:t>资金开支范围</w:t>
      </w:r>
      <w:r>
        <w:rPr>
          <w:rFonts w:hint="eastAsia" w:ascii="Times New Roman" w:eastAsia="仿宋_GB2312"/>
          <w:kern w:val="0"/>
          <w:sz w:val="32"/>
          <w:lang w:val="zh-CN"/>
        </w:rPr>
        <w:t>实施项目，定期开展绩效监控，积极推动项目实施，配合市财政局并对该</w:t>
      </w:r>
      <w:r>
        <w:rPr>
          <w:rFonts w:ascii="Times New Roman" w:eastAsia="仿宋_GB2312"/>
          <w:kern w:val="0"/>
          <w:sz w:val="32"/>
          <w:lang w:val="zh-CN"/>
        </w:rPr>
        <w:t>专项资金进行了监管</w:t>
      </w:r>
      <w:r>
        <w:rPr>
          <w:rFonts w:hint="eastAsia" w:ascii="Times New Roman" w:eastAsia="仿宋_GB2312"/>
          <w:kern w:val="0"/>
          <w:sz w:val="32"/>
          <w:lang w:val="zh-CN"/>
        </w:rPr>
        <w:t>。</w:t>
      </w:r>
    </w:p>
    <w:p w14:paraId="3631D04F">
      <w:pPr>
        <w:spacing w:line="560" w:lineRule="exact"/>
        <w:ind w:firstLine="641"/>
        <w:rPr>
          <w:rFonts w:ascii="黑体" w:hAnsi="黑体" w:eastAsia="黑体" w:cs="黑体"/>
          <w:kern w:val="0"/>
          <w:sz w:val="32"/>
          <w:szCs w:val="32"/>
          <w:lang w:val="zh-CN"/>
        </w:rPr>
      </w:pPr>
      <w:r>
        <w:rPr>
          <w:rFonts w:hint="eastAsia" w:ascii="黑体" w:hAnsi="黑体" w:eastAsia="黑体" w:cs="黑体"/>
          <w:kern w:val="0"/>
          <w:sz w:val="32"/>
          <w:szCs w:val="32"/>
        </w:rPr>
        <w:t>四、项目绩效情况</w:t>
      </w:r>
      <w:r>
        <w:rPr>
          <w:rFonts w:hint="eastAsia" w:ascii="黑体" w:hAnsi="黑体" w:eastAsia="黑体" w:cs="黑体"/>
          <w:kern w:val="0"/>
          <w:sz w:val="32"/>
          <w:szCs w:val="32"/>
          <w:lang w:val="zh-CN"/>
        </w:rPr>
        <w:tab/>
      </w:r>
    </w:p>
    <w:p w14:paraId="7987679E">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（一）项目完成情况。</w:t>
      </w:r>
    </w:p>
    <w:p w14:paraId="5680CC82">
      <w:pPr>
        <w:spacing w:line="560" w:lineRule="exact"/>
        <w:ind w:firstLine="640" w:firstLineChars="200"/>
        <w:rPr>
          <w:rFonts w:eastAsia="仿宋_GB2312"/>
          <w:kern w:val="0"/>
          <w:sz w:val="32"/>
          <w:szCs w:val="32"/>
          <w:lang w:val="zh-CN"/>
        </w:rPr>
      </w:pPr>
      <w:r>
        <w:rPr>
          <w:rFonts w:eastAsia="仿宋_GB2312"/>
          <w:kern w:val="0"/>
          <w:sz w:val="32"/>
          <w:szCs w:val="32"/>
          <w:lang w:val="zh-CN"/>
        </w:rPr>
        <w:t>天网二期建成视频中心7个，天网前端5673个，智能交通前端617个；要求网络低延时无中断，天网前端高在线率，无花屏、黑屏、遮挡等影响视频图像质量的情况，智能交通前端后台数据无丢失；主要以按季度支付公安智能安全系统建设项目租赁费。</w:t>
      </w:r>
    </w:p>
    <w:p w14:paraId="16BA3784">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（二）项目效益情况。</w:t>
      </w:r>
    </w:p>
    <w:p w14:paraId="41701D27">
      <w:pPr>
        <w:spacing w:line="560" w:lineRule="exact"/>
        <w:ind w:firstLine="640" w:firstLineChars="200"/>
        <w:rPr>
          <w:rFonts w:eastAsia="仿宋_GB2312"/>
          <w:kern w:val="0"/>
          <w:sz w:val="32"/>
          <w:szCs w:val="32"/>
          <w:lang w:val="zh-CN"/>
        </w:rPr>
      </w:pPr>
      <w:r>
        <w:rPr>
          <w:rFonts w:eastAsia="仿宋_GB2312"/>
          <w:kern w:val="0"/>
          <w:sz w:val="32"/>
          <w:szCs w:val="32"/>
          <w:lang w:val="zh-CN"/>
        </w:rPr>
        <w:t>天网二期智能安全系统建设项目建成后提升了治安防控能力，为公安预防犯罪、打击破案提供信息化支撑</w:t>
      </w:r>
      <w:r>
        <w:rPr>
          <w:rFonts w:hint="eastAsia" w:eastAsia="仿宋_GB2312"/>
          <w:kern w:val="0"/>
          <w:sz w:val="32"/>
          <w:szCs w:val="32"/>
          <w:lang w:val="zh-CN"/>
        </w:rPr>
        <w:t>，</w:t>
      </w:r>
      <w:r>
        <w:rPr>
          <w:rFonts w:eastAsia="仿宋_GB2312"/>
          <w:kern w:val="0"/>
          <w:sz w:val="32"/>
          <w:szCs w:val="32"/>
          <w:lang w:val="zh-CN"/>
        </w:rPr>
        <w:t>提升了交通管控能力提高违法威慑力，减少交通违法；提升了民众满意度解决民众实际需求社会总体安全感满意度指数达96.11%。</w:t>
      </w:r>
    </w:p>
    <w:p w14:paraId="1A60AFCC">
      <w:pPr>
        <w:spacing w:line="560" w:lineRule="exact"/>
        <w:ind w:firstLine="640" w:firstLineChars="200"/>
        <w:rPr>
          <w:rFonts w:ascii="黑体" w:hAnsi="黑体" w:eastAsia="黑体" w:cs="黑体"/>
          <w:kern w:val="0"/>
          <w:sz w:val="32"/>
          <w:szCs w:val="32"/>
        </w:rPr>
      </w:pPr>
      <w:r>
        <w:rPr>
          <w:rFonts w:hint="eastAsia" w:ascii="黑体" w:hAnsi="黑体" w:eastAsia="黑体" w:cs="黑体"/>
          <w:kern w:val="0"/>
          <w:sz w:val="32"/>
          <w:szCs w:val="32"/>
        </w:rPr>
        <w:t>四、评价结论及建议</w:t>
      </w:r>
    </w:p>
    <w:p w14:paraId="61DA2824">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（一）评价结论。</w:t>
      </w:r>
    </w:p>
    <w:p w14:paraId="6DA2631A">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项目建成后，进一步织密了全市感知网络，每年协助处置街面警情1000余起，获取违法犯罪线索1600余条，直接、间接协助1500余起刑事案件侦破；协助开展森林防灭火工作，全市街面犯罪案件视频图像应用率达100%；为群众提供寻人、寻物等求助查看2000余起；助力智慧交通成效明显，动态化、全方位掌握路况和警力部署，精确派警1000余次，远程调控红绿灯系统2000余次，精准指挥路面警力疏导道路拥堵，全市范围内未发生长时间、大面积拥堵，城区易堵路段车辆通行能力提升30%，得到了省、市领导的充分肯定。</w:t>
      </w:r>
    </w:p>
    <w:p w14:paraId="6AEC0EA2">
      <w:pPr>
        <w:spacing w:line="560" w:lineRule="exact"/>
        <w:ind w:firstLine="640" w:firstLineChars="200"/>
        <w:rPr>
          <w:rFonts w:eastAsia="仿宋_GB2312"/>
          <w:kern w:val="0"/>
          <w:sz w:val="32"/>
          <w:szCs w:val="32"/>
          <w:lang w:val="zh-CN"/>
        </w:rPr>
      </w:pPr>
      <w:r>
        <w:rPr>
          <w:rFonts w:eastAsia="仿宋_GB2312"/>
          <w:kern w:val="0"/>
          <w:sz w:val="32"/>
          <w:szCs w:val="32"/>
          <w:lang w:val="zh-CN"/>
        </w:rPr>
        <w:t>天网二期经费由市财政局国库支付，支出符合国家财经法规和财务管理制度规定以及有关专项资金管理办法的规定，资金拨付有完整的审批程序和手续，资金使用无截留、挤占、挪用、虚列支出等情况。</w:t>
      </w:r>
    </w:p>
    <w:p w14:paraId="68845529">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（二）存在的问题。</w:t>
      </w:r>
    </w:p>
    <w:p w14:paraId="3D0A49EE">
      <w:pPr>
        <w:spacing w:line="560" w:lineRule="exact"/>
        <w:ind w:firstLine="640" w:firstLineChars="200"/>
        <w:rPr>
          <w:rFonts w:eastAsia="仿宋_GB2312"/>
          <w:kern w:val="0"/>
          <w:sz w:val="32"/>
          <w:szCs w:val="32"/>
          <w:lang w:val="zh-CN"/>
        </w:rPr>
      </w:pPr>
      <w:r>
        <w:rPr>
          <w:rFonts w:eastAsia="仿宋_GB2312"/>
          <w:kern w:val="0"/>
          <w:sz w:val="32"/>
          <w:szCs w:val="32"/>
          <w:lang w:val="zh-CN"/>
        </w:rPr>
        <w:t>无</w:t>
      </w:r>
    </w:p>
    <w:p w14:paraId="7F96FA7C">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（三）相关建议。</w:t>
      </w:r>
    </w:p>
    <w:p w14:paraId="7513902E">
      <w:pPr>
        <w:spacing w:line="560" w:lineRule="exact"/>
        <w:ind w:firstLine="640" w:firstLineChars="200"/>
        <w:rPr>
          <w:rFonts w:eastAsia="仿宋_GB2312"/>
          <w:kern w:val="0"/>
          <w:sz w:val="32"/>
          <w:szCs w:val="32"/>
          <w:lang w:val="zh-CN"/>
        </w:rPr>
      </w:pPr>
      <w:r>
        <w:rPr>
          <w:rFonts w:eastAsia="仿宋_GB2312"/>
          <w:kern w:val="0"/>
          <w:sz w:val="32"/>
          <w:szCs w:val="32"/>
          <w:lang w:val="zh-CN"/>
        </w:rPr>
        <w:t>无</w:t>
      </w:r>
    </w:p>
    <w:p w14:paraId="2456B0D4">
      <w:pPr>
        <w:pStyle w:val="3"/>
        <w:ind w:left="420" w:firstLine="640"/>
        <w:rPr>
          <w:rFonts w:eastAsia="仿宋_GB2312" w:cs="仿宋_GB2312"/>
          <w:kern w:val="0"/>
          <w:sz w:val="32"/>
        </w:rPr>
      </w:pPr>
    </w:p>
    <w:p w14:paraId="45412A46">
      <w:pPr>
        <w:pStyle w:val="3"/>
        <w:ind w:left="420" w:firstLine="640"/>
        <w:rPr>
          <w:rFonts w:eastAsia="仿宋_GB2312" w:cs="仿宋_GB2312"/>
          <w:kern w:val="0"/>
          <w:sz w:val="32"/>
          <w:highlight w:val="yellow"/>
        </w:rPr>
      </w:pPr>
    </w:p>
    <w:p w14:paraId="6F549823">
      <w:pPr>
        <w:pStyle w:val="3"/>
        <w:ind w:left="420" w:firstLine="640"/>
        <w:rPr>
          <w:rFonts w:eastAsia="仿宋_GB2312" w:cs="仿宋_GB2312"/>
          <w:kern w:val="0"/>
          <w:sz w:val="32"/>
          <w:highlight w:val="yellow"/>
        </w:rPr>
      </w:pPr>
    </w:p>
    <w:p w14:paraId="1F9D8353">
      <w:pPr>
        <w:pStyle w:val="3"/>
        <w:ind w:left="420" w:firstLine="640"/>
        <w:rPr>
          <w:rFonts w:eastAsia="仿宋_GB2312" w:cs="仿宋_GB2312"/>
          <w:kern w:val="0"/>
          <w:sz w:val="32"/>
          <w:highlight w:val="yellow"/>
        </w:rPr>
      </w:pPr>
    </w:p>
    <w:p w14:paraId="0C98C116">
      <w:pPr>
        <w:pStyle w:val="3"/>
        <w:ind w:left="420" w:firstLine="640"/>
        <w:rPr>
          <w:rFonts w:eastAsia="仿宋_GB2312" w:cs="仿宋_GB2312"/>
          <w:kern w:val="0"/>
          <w:sz w:val="32"/>
          <w:highlight w:val="yellow"/>
        </w:rPr>
      </w:pPr>
    </w:p>
    <w:p w14:paraId="01F1AFF3">
      <w:pPr>
        <w:pStyle w:val="3"/>
        <w:ind w:left="420" w:firstLine="640"/>
        <w:rPr>
          <w:rFonts w:eastAsia="仿宋_GB2312" w:cs="仿宋_GB2312"/>
          <w:kern w:val="0"/>
          <w:sz w:val="32"/>
          <w:highlight w:val="yellow"/>
        </w:rPr>
      </w:pPr>
    </w:p>
    <w:p w14:paraId="21CA8B04">
      <w:pPr>
        <w:pStyle w:val="3"/>
        <w:ind w:left="420" w:firstLine="640"/>
        <w:rPr>
          <w:rFonts w:eastAsia="仿宋_GB2312" w:cs="仿宋_GB2312"/>
          <w:kern w:val="0"/>
          <w:sz w:val="32"/>
          <w:highlight w:val="yellow"/>
        </w:rPr>
      </w:pPr>
    </w:p>
    <w:p w14:paraId="5C8310E9">
      <w:pPr>
        <w:pStyle w:val="3"/>
        <w:ind w:left="420" w:firstLine="640"/>
        <w:rPr>
          <w:rFonts w:eastAsia="仿宋_GB2312" w:cs="仿宋_GB2312"/>
          <w:kern w:val="0"/>
          <w:sz w:val="32"/>
          <w:highlight w:val="yellow"/>
        </w:rPr>
      </w:pPr>
    </w:p>
    <w:p w14:paraId="0FE4E456">
      <w:pPr>
        <w:pStyle w:val="3"/>
        <w:ind w:left="420" w:firstLine="640"/>
        <w:rPr>
          <w:rFonts w:eastAsia="仿宋_GB2312" w:cs="仿宋_GB2312"/>
          <w:kern w:val="0"/>
          <w:sz w:val="32"/>
          <w:highlight w:val="yellow"/>
        </w:rPr>
      </w:pPr>
    </w:p>
    <w:p w14:paraId="795C283F">
      <w:pPr>
        <w:pStyle w:val="3"/>
        <w:ind w:left="420" w:firstLine="640"/>
        <w:rPr>
          <w:rFonts w:eastAsia="仿宋_GB2312" w:cs="仿宋_GB2312"/>
          <w:kern w:val="0"/>
          <w:sz w:val="32"/>
          <w:highlight w:val="yellow"/>
        </w:rPr>
      </w:pPr>
    </w:p>
    <w:p w14:paraId="3A78386D">
      <w:pPr>
        <w:pStyle w:val="3"/>
        <w:ind w:left="420" w:firstLine="640"/>
        <w:rPr>
          <w:rFonts w:eastAsia="仿宋_GB2312" w:cs="仿宋_GB2312"/>
          <w:kern w:val="0"/>
          <w:sz w:val="32"/>
          <w:highlight w:val="yellow"/>
        </w:rPr>
      </w:pPr>
    </w:p>
    <w:p w14:paraId="08944814">
      <w:pPr>
        <w:pStyle w:val="3"/>
        <w:ind w:left="0" w:leftChars="0" w:firstLine="0" w:firstLineChars="0"/>
        <w:rPr>
          <w:rFonts w:eastAsia="仿宋_GB2312" w:cs="仿宋_GB2312"/>
          <w:kern w:val="0"/>
          <w:sz w:val="32"/>
          <w:highlight w:val="yellow"/>
        </w:rPr>
      </w:pPr>
    </w:p>
    <w:p w14:paraId="3525005E">
      <w:pPr>
        <w:spacing w:line="0" w:lineRule="atLeast"/>
        <w:jc w:val="center"/>
        <w:rPr>
          <w:rFonts w:ascii="Calibri" w:hAnsi="Calibri" w:eastAsia="方正小标宋简体"/>
          <w:sz w:val="44"/>
          <w:szCs w:val="44"/>
        </w:rPr>
      </w:pPr>
      <w:r>
        <w:rPr>
          <w:rFonts w:hint="eastAsia" w:ascii="方正小标宋简体" w:eastAsia="方正小标宋简体"/>
          <w:sz w:val="44"/>
          <w:szCs w:val="44"/>
        </w:rPr>
        <w:t>攀枝花市公安局110</w:t>
      </w:r>
      <w:r>
        <w:rPr>
          <w:rFonts w:hint="eastAsia" w:ascii="Calibri" w:hAnsi="Calibri" w:eastAsia="方正小标宋简体"/>
          <w:sz w:val="44"/>
          <w:szCs w:val="44"/>
        </w:rPr>
        <w:t>接处警系统升级改造项目</w:t>
      </w:r>
    </w:p>
    <w:p w14:paraId="73DA2847">
      <w:pPr>
        <w:spacing w:line="600" w:lineRule="exact"/>
        <w:ind w:firstLine="640"/>
        <w:jc w:val="center"/>
        <w:rPr>
          <w:sz w:val="32"/>
          <w:szCs w:val="32"/>
          <w:lang w:val="zh-CN"/>
        </w:rPr>
      </w:pPr>
      <w:r>
        <w:rPr>
          <w:rFonts w:hint="eastAsia" w:ascii="Calibri" w:hAnsi="Calibri" w:eastAsia="方正小标宋简体"/>
          <w:sz w:val="44"/>
          <w:szCs w:val="44"/>
        </w:rPr>
        <w:t>支出绩效自评报告</w:t>
      </w:r>
    </w:p>
    <w:p w14:paraId="438DC2B4">
      <w:pPr>
        <w:spacing w:line="560" w:lineRule="exact"/>
        <w:ind w:firstLine="641"/>
        <w:rPr>
          <w:rFonts w:ascii="黑体" w:hAnsi="黑体" w:eastAsia="黑体" w:cs="黑体"/>
          <w:kern w:val="0"/>
          <w:sz w:val="32"/>
          <w:szCs w:val="32"/>
          <w:lang w:val="zh-CN"/>
        </w:rPr>
      </w:pPr>
      <w:r>
        <w:rPr>
          <w:rFonts w:hint="eastAsia" w:ascii="黑体" w:hAnsi="黑体" w:eastAsia="黑体" w:cs="黑体"/>
          <w:kern w:val="0"/>
          <w:sz w:val="32"/>
          <w:szCs w:val="32"/>
        </w:rPr>
        <w:t>一、</w:t>
      </w:r>
      <w:r>
        <w:rPr>
          <w:rFonts w:hint="eastAsia" w:ascii="黑体" w:hAnsi="黑体" w:eastAsia="黑体" w:cs="黑体"/>
          <w:kern w:val="0"/>
          <w:sz w:val="32"/>
          <w:szCs w:val="32"/>
          <w:lang w:val="zh-CN"/>
        </w:rPr>
        <w:t>项目概况</w:t>
      </w:r>
    </w:p>
    <w:p w14:paraId="71288063">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（一）项目基本情况。</w:t>
      </w:r>
    </w:p>
    <w:p w14:paraId="0A042028">
      <w:pPr>
        <w:spacing w:line="560" w:lineRule="exact"/>
        <w:ind w:firstLine="640" w:firstLineChars="200"/>
        <w:rPr>
          <w:rFonts w:eastAsia="仿宋_GB2312"/>
          <w:sz w:val="32"/>
          <w:szCs w:val="32"/>
        </w:rPr>
      </w:pPr>
      <w:r>
        <w:rPr>
          <w:rFonts w:eastAsia="仿宋_GB2312"/>
          <w:sz w:val="32"/>
          <w:szCs w:val="32"/>
        </w:rPr>
        <w:t>根据国务院办公厅《关于推动12345政务服务便民热线与110报警服务台高效对接联动的意见》和省大数据中心、省公安厅《关于印发四川省12345政务服务便民热线与110报警服务台高效对接联动工作方案的通知》等文件要求，2023年6月底之前，必须实现12345与110系统对接、数据双向传输。</w:t>
      </w:r>
      <w:r>
        <w:rPr>
          <w:rFonts w:hint="eastAsia" w:eastAsia="仿宋_GB2312"/>
          <w:sz w:val="32"/>
          <w:szCs w:val="32"/>
        </w:rPr>
        <w:t>项目升级改造前，</w:t>
      </w:r>
      <w:r>
        <w:rPr>
          <w:rFonts w:eastAsia="仿宋_GB2312"/>
          <w:sz w:val="32"/>
          <w:szCs w:val="32"/>
        </w:rPr>
        <w:t>我市有市级、两县3套110报警服务台</w:t>
      </w:r>
      <w:r>
        <w:rPr>
          <w:rFonts w:hint="eastAsia" w:eastAsia="仿宋_GB2312"/>
          <w:sz w:val="32"/>
          <w:szCs w:val="32"/>
        </w:rPr>
        <w:t>，</w:t>
      </w:r>
      <w:r>
        <w:rPr>
          <w:rFonts w:eastAsia="仿宋_GB2312"/>
          <w:sz w:val="32"/>
          <w:szCs w:val="32"/>
        </w:rPr>
        <w:t>系统建设分散、软件硬件老化、数据标准落后、安全防范不足，无法达到省级对接标准，亟需升级优化110接处警系统，内容包括110接处警系统升级优化、系统安全与运维、硬件升级三大部分，以确保12345政务服务全民热线与110报警服务台工作正常开展。</w:t>
      </w:r>
    </w:p>
    <w:p w14:paraId="7339390A">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（二）项目绩效目标。</w:t>
      </w:r>
    </w:p>
    <w:p w14:paraId="3C74A8A9">
      <w:pPr>
        <w:adjustRightInd w:val="0"/>
        <w:spacing w:line="576" w:lineRule="exact"/>
        <w:ind w:firstLine="640" w:firstLineChars="200"/>
        <w:rPr>
          <w:rFonts w:eastAsia="仿宋_GB2312"/>
          <w:kern w:val="0"/>
          <w:sz w:val="32"/>
          <w:szCs w:val="32"/>
          <w:lang w:val="zh-CN"/>
        </w:rPr>
      </w:pPr>
      <w:r>
        <w:rPr>
          <w:rFonts w:eastAsia="仿宋_GB2312"/>
          <w:sz w:val="32"/>
          <w:szCs w:val="32"/>
        </w:rPr>
        <w:t>升级改</w:t>
      </w:r>
      <w:r>
        <w:rPr>
          <w:rFonts w:hint="eastAsia" w:eastAsia="仿宋_GB2312"/>
          <w:sz w:val="32"/>
          <w:szCs w:val="32"/>
        </w:rPr>
        <w:t>造</w:t>
      </w:r>
      <w:r>
        <w:rPr>
          <w:rFonts w:eastAsia="仿宋_GB2312"/>
          <w:sz w:val="32"/>
          <w:szCs w:val="32"/>
        </w:rPr>
        <w:t>110接处警系统，旨在建设一个统一、高效、权威的新一代110接处警系统，</w:t>
      </w:r>
      <w:r>
        <w:rPr>
          <w:rFonts w:hint="eastAsia" w:ascii="仿宋_GB2312" w:hAnsi="宋体" w:eastAsia="仿宋_GB2312"/>
          <w:sz w:val="32"/>
          <w:szCs w:val="32"/>
        </w:rPr>
        <w:t>更好地提升公安接处警信息化、智能化、精准化效能，使接警和处警都更加精准和快速，满足各类警情事件的快速反应要求，为市民提供更加便捷的警情处置服务，为政府处置各类紧急与灾害事件提供技术支持，为城市公共安全提供强有力的保障系统。</w:t>
      </w:r>
    </w:p>
    <w:p w14:paraId="61713BA8">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（三）项目自评步骤及方法。</w:t>
      </w:r>
    </w:p>
    <w:p w14:paraId="44CCA486">
      <w:pPr>
        <w:spacing w:line="560" w:lineRule="exact"/>
        <w:ind w:firstLine="640" w:firstLineChars="200"/>
        <w:rPr>
          <w:rFonts w:eastAsia="仿宋_GB2312"/>
          <w:kern w:val="0"/>
          <w:sz w:val="32"/>
          <w:szCs w:val="32"/>
          <w:lang w:val="zh-CN"/>
        </w:rPr>
      </w:pPr>
      <w:r>
        <w:rPr>
          <w:rFonts w:eastAsia="仿宋_GB2312"/>
          <w:sz w:val="32"/>
          <w:szCs w:val="32"/>
        </w:rPr>
        <w:t>该项目通过</w:t>
      </w:r>
      <w:r>
        <w:rPr>
          <w:rFonts w:hint="eastAsia" w:eastAsia="仿宋_GB2312"/>
          <w:sz w:val="32"/>
          <w:szCs w:val="32"/>
        </w:rPr>
        <w:t>实际操作应用</w:t>
      </w:r>
      <w:r>
        <w:rPr>
          <w:rFonts w:eastAsia="仿宋_GB2312"/>
          <w:sz w:val="32"/>
          <w:szCs w:val="32"/>
        </w:rPr>
        <w:t>、与项目相关人员座谈或讨论、聘请相关专业专家、</w:t>
      </w:r>
      <w:r>
        <w:rPr>
          <w:rFonts w:hint="eastAsia" w:eastAsia="仿宋_GB2312"/>
          <w:sz w:val="32"/>
          <w:szCs w:val="32"/>
        </w:rPr>
        <w:t>现场</w:t>
      </w:r>
      <w:r>
        <w:rPr>
          <w:rFonts w:eastAsia="仿宋_GB2312"/>
          <w:sz w:val="32"/>
          <w:szCs w:val="32"/>
        </w:rPr>
        <w:t>调研等方法了解项目情况，收集相关资料，综合分析相关情况后，对项目的立项必要性、投入经济性、目标合理性、方案可行性以及筹资合规性实施评估。</w:t>
      </w:r>
    </w:p>
    <w:p w14:paraId="52125CEB">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二、项目资金申报及使用情况</w:t>
      </w:r>
    </w:p>
    <w:p w14:paraId="3F63EAAD">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（一）项目资金申报及批复情况。</w:t>
      </w:r>
    </w:p>
    <w:p w14:paraId="05D69EF8">
      <w:pPr>
        <w:adjustRightInd w:val="0"/>
        <w:spacing w:line="576" w:lineRule="exact"/>
        <w:ind w:firstLine="640" w:firstLineChars="200"/>
        <w:rPr>
          <w:rFonts w:eastAsia="仿宋_GB2312"/>
          <w:kern w:val="0"/>
          <w:sz w:val="32"/>
          <w:szCs w:val="32"/>
          <w:lang w:val="zh-CN"/>
        </w:rPr>
      </w:pPr>
      <w:r>
        <w:rPr>
          <w:rFonts w:hint="eastAsia" w:eastAsia="仿宋_GB2312"/>
          <w:sz w:val="32"/>
          <w:szCs w:val="32"/>
        </w:rPr>
        <w:t>2023年5月，市公安局第16次党委会议原则同意《关于采购110接处警系统升级改造项目的请示》，2023年8月，市公安局通过“政府授权，竞争性磋商”方式，与中国移动通信集团四川有限公司攀枝花分公司签订了110接处警系统升级改造项目合同。申报项目金额为268万元，包含5年运维服务。资金来源为市级财政资金。按照合同约定：验收合格后，需支付第一笔资金241.2万元；服务期届满3年，需支付第二笔资金21.44万元；服务期届满5年，需支付第三笔资金5.36万元。</w:t>
      </w:r>
    </w:p>
    <w:p w14:paraId="034AD1F9">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（二）资金计划、到位及使用情况。</w:t>
      </w:r>
    </w:p>
    <w:p w14:paraId="70364DE1">
      <w:pPr>
        <w:adjustRightInd w:val="0"/>
        <w:spacing w:line="576" w:lineRule="exact"/>
        <w:ind w:firstLine="640" w:firstLineChars="200"/>
        <w:rPr>
          <w:rFonts w:eastAsia="仿宋_GB2312"/>
          <w:sz w:val="32"/>
          <w:szCs w:val="32"/>
        </w:rPr>
      </w:pPr>
      <w:r>
        <w:rPr>
          <w:rFonts w:hint="eastAsia" w:eastAsia="仿宋_GB2312"/>
          <w:sz w:val="32"/>
          <w:szCs w:val="32"/>
        </w:rPr>
        <w:t>1．资金计划与到位。资金来源渠道的合法合规，评估内容包括政策，项目具有公共性，属于公共财政支持范围，筹资渠道符合法律法规规定，筹资结构合理，资金来源渠道明确。</w:t>
      </w:r>
    </w:p>
    <w:p w14:paraId="4B54EA3D">
      <w:pPr>
        <w:spacing w:line="560" w:lineRule="exact"/>
        <w:ind w:firstLine="640" w:firstLineChars="200"/>
        <w:rPr>
          <w:rFonts w:eastAsia="仿宋_GB2312"/>
          <w:sz w:val="32"/>
          <w:szCs w:val="32"/>
        </w:rPr>
      </w:pPr>
      <w:r>
        <w:rPr>
          <w:rFonts w:hint="eastAsia" w:eastAsia="仿宋_GB2312"/>
          <w:sz w:val="32"/>
          <w:szCs w:val="32"/>
        </w:rPr>
        <w:t>2．资金使用。该项目资金主要用于110接处警系统升级优化、系统安全与运维、硬件升级等，支付依据合规合法，资金支付与预算相符。</w:t>
      </w:r>
    </w:p>
    <w:p w14:paraId="3B5F0950">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（三）项目财务管理情况。</w:t>
      </w:r>
    </w:p>
    <w:p w14:paraId="7A9A6596">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该项目实施单位已印发《攀枝花市公安局财务管理办法》《攀枝花市公安局机关经费管理暂行规定》《攀枝花市公安局机关合同管理规定》等文件、财务管理制度健全，严格执行财务管理制度，使用规范，会计核算结果真实、准确。</w:t>
      </w:r>
    </w:p>
    <w:p w14:paraId="5602AEAF">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三、项目实施及管理情况</w:t>
      </w:r>
    </w:p>
    <w:p w14:paraId="32E988F2">
      <w:pPr>
        <w:spacing w:line="560" w:lineRule="exact"/>
        <w:ind w:firstLine="640" w:firstLineChars="200"/>
        <w:rPr>
          <w:rFonts w:eastAsia="仿宋_GB2312"/>
          <w:kern w:val="0"/>
          <w:sz w:val="32"/>
          <w:szCs w:val="32"/>
          <w:lang w:val="zh-CN"/>
        </w:rPr>
      </w:pPr>
      <w:r>
        <w:rPr>
          <w:rFonts w:eastAsia="仿宋_GB2312"/>
          <w:kern w:val="0"/>
          <w:sz w:val="32"/>
          <w:szCs w:val="32"/>
          <w:lang w:val="zh-CN"/>
        </w:rPr>
        <w:t>结合项目组织实施管理办法，重点围绕以下内容进行分析评价，并对自评中发现的问题分析说明。</w:t>
      </w:r>
    </w:p>
    <w:p w14:paraId="67A8F0ED">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（一）项目组织架构及实施流程。</w:t>
      </w:r>
    </w:p>
    <w:p w14:paraId="272066B2">
      <w:pPr>
        <w:adjustRightInd w:val="0"/>
        <w:snapToGrid w:val="0"/>
        <w:spacing w:line="560" w:lineRule="exact"/>
        <w:rPr>
          <w:rFonts w:eastAsia="仿宋_GB2312"/>
          <w:kern w:val="0"/>
          <w:sz w:val="32"/>
          <w:szCs w:val="32"/>
        </w:rPr>
      </w:pPr>
      <w:r>
        <w:rPr>
          <w:rFonts w:hint="eastAsia" w:eastAsia="仿宋_GB2312"/>
          <w:kern w:val="0"/>
          <w:sz w:val="32"/>
          <w:szCs w:val="32"/>
        </w:rPr>
        <w:t xml:space="preserve">  根据《攀枝花市财政局关于开展 2026年财政重点绩效评价工作的通知》（攀财绩〔2026〕2 号），由市财政投资评审中心组成项目评价组，按照前期准备、单位自评、现场评价和报告撰写四个阶段，以现场评价为主、非现场评价为辅，采用案卷研究、实地踏勘、问卷调查等多种方式，组织实施项目绩效评价工作。在收集项目文件资料、细化评价指标及评价标准的基础上，深入到部分项目点，实地查看项目申报、实施及运行情况，与相关利益群体座谈、面访，收集相关数据资料。通过汇总整理，结合项目主管部门绩效自评报告，定量和定性分析形成评价结论，经过复核和交换意见后，形成绩效评价报告。</w:t>
      </w:r>
    </w:p>
    <w:p w14:paraId="7BAF3078">
      <w:pPr>
        <w:adjustRightInd w:val="0"/>
        <w:snapToGrid w:val="0"/>
        <w:spacing w:line="560" w:lineRule="exact"/>
        <w:ind w:firstLine="72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（二）项目管理情况。</w:t>
      </w:r>
    </w:p>
    <w:p w14:paraId="4027E44D">
      <w:pPr>
        <w:adjustRightInd w:val="0"/>
        <w:snapToGrid w:val="0"/>
        <w:spacing w:line="560" w:lineRule="exact"/>
        <w:ind w:firstLine="720"/>
        <w:rPr>
          <w:rFonts w:eastAsia="仿宋_GB2312"/>
          <w:kern w:val="0"/>
          <w:sz w:val="32"/>
          <w:szCs w:val="32"/>
          <w:lang w:val="zh-CN"/>
        </w:rPr>
      </w:pPr>
      <w:r>
        <w:rPr>
          <w:rFonts w:hint="eastAsia" w:eastAsia="仿宋_GB2312"/>
          <w:kern w:val="0"/>
          <w:sz w:val="32"/>
          <w:szCs w:val="32"/>
          <w:lang w:val="zh-CN"/>
        </w:rPr>
        <w:t>该项目严格按照攀枝花市人民政府关于印发《攀枝花市本级政府投资管理实施细则》攀枝花市公安局关于印发《攀枝花市公安局财务管理办法》的通知等文件要求开展政府采购、经费报销等流程。</w:t>
      </w:r>
    </w:p>
    <w:p w14:paraId="6E18B543">
      <w:pPr>
        <w:adjustRightInd w:val="0"/>
        <w:snapToGrid w:val="0"/>
        <w:spacing w:line="560" w:lineRule="exact"/>
        <w:ind w:firstLine="72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（三）项目监管情况。</w:t>
      </w:r>
    </w:p>
    <w:p w14:paraId="73F4826B">
      <w:pPr>
        <w:adjustRightInd w:val="0"/>
        <w:snapToGrid w:val="0"/>
        <w:spacing w:line="560" w:lineRule="exact"/>
        <w:ind w:firstLine="720"/>
        <w:rPr>
          <w:rFonts w:eastAsia="仿宋_GB2312"/>
          <w:kern w:val="0"/>
          <w:sz w:val="32"/>
          <w:szCs w:val="32"/>
          <w:lang w:val="zh-CN"/>
        </w:rPr>
      </w:pPr>
      <w:r>
        <w:rPr>
          <w:rFonts w:eastAsia="仿宋_GB2312"/>
          <w:kern w:val="0"/>
          <w:sz w:val="32"/>
          <w:szCs w:val="32"/>
          <w:lang w:val="zh-CN"/>
        </w:rPr>
        <w:t>为规范资金管理，</w:t>
      </w:r>
      <w:r>
        <w:rPr>
          <w:rFonts w:hint="eastAsia" w:eastAsia="仿宋_GB2312"/>
          <w:kern w:val="0"/>
          <w:sz w:val="32"/>
          <w:szCs w:val="32"/>
          <w:lang w:val="zh-CN"/>
        </w:rPr>
        <w:t>攀枝花市公安局严格按照</w:t>
      </w:r>
      <w:r>
        <w:rPr>
          <w:rFonts w:eastAsia="仿宋_GB2312"/>
          <w:kern w:val="0"/>
          <w:sz w:val="32"/>
          <w:szCs w:val="32"/>
          <w:lang w:val="zh-CN"/>
        </w:rPr>
        <w:t>资金开支范围</w:t>
      </w:r>
      <w:r>
        <w:rPr>
          <w:rFonts w:hint="eastAsia" w:eastAsia="仿宋_GB2312"/>
          <w:kern w:val="0"/>
          <w:sz w:val="32"/>
          <w:szCs w:val="32"/>
          <w:lang w:val="zh-CN"/>
        </w:rPr>
        <w:t>实施项目，定期开展绩效监控，积极推动项目实施，配合市财政局并对该</w:t>
      </w:r>
      <w:r>
        <w:rPr>
          <w:rFonts w:eastAsia="仿宋_GB2312"/>
          <w:kern w:val="0"/>
          <w:sz w:val="32"/>
          <w:szCs w:val="32"/>
          <w:lang w:val="zh-CN"/>
        </w:rPr>
        <w:t>专项资金进行了监管</w:t>
      </w:r>
      <w:r>
        <w:rPr>
          <w:rFonts w:hint="eastAsia" w:eastAsia="仿宋_GB2312"/>
          <w:kern w:val="0"/>
          <w:sz w:val="32"/>
          <w:szCs w:val="32"/>
          <w:lang w:val="zh-CN"/>
        </w:rPr>
        <w:t>。</w:t>
      </w:r>
    </w:p>
    <w:p w14:paraId="7A6C58AB">
      <w:pPr>
        <w:spacing w:line="560" w:lineRule="exact"/>
        <w:ind w:firstLine="641"/>
        <w:rPr>
          <w:rFonts w:ascii="黑体" w:hAnsi="黑体" w:eastAsia="黑体" w:cs="黑体"/>
          <w:kern w:val="0"/>
          <w:sz w:val="32"/>
          <w:szCs w:val="32"/>
          <w:lang w:val="zh-CN"/>
        </w:rPr>
      </w:pPr>
      <w:r>
        <w:rPr>
          <w:rFonts w:hint="eastAsia" w:ascii="黑体" w:hAnsi="黑体" w:eastAsia="黑体" w:cs="黑体"/>
          <w:kern w:val="0"/>
          <w:sz w:val="32"/>
          <w:szCs w:val="32"/>
        </w:rPr>
        <w:t>四、项目绩效情况</w:t>
      </w:r>
      <w:r>
        <w:rPr>
          <w:rFonts w:hint="eastAsia" w:ascii="黑体" w:hAnsi="黑体" w:eastAsia="黑体" w:cs="黑体"/>
          <w:kern w:val="0"/>
          <w:sz w:val="32"/>
          <w:szCs w:val="32"/>
          <w:lang w:val="zh-CN"/>
        </w:rPr>
        <w:tab/>
      </w:r>
    </w:p>
    <w:p w14:paraId="327FDBF5">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（一）项目完成情况。</w:t>
      </w:r>
    </w:p>
    <w:p w14:paraId="62AD8BA4">
      <w:pPr>
        <w:adjustRightInd w:val="0"/>
        <w:spacing w:line="576" w:lineRule="exact"/>
        <w:ind w:firstLine="640" w:firstLineChars="200"/>
        <w:rPr>
          <w:rFonts w:eastAsia="仿宋_GB2312"/>
          <w:kern w:val="0"/>
          <w:sz w:val="32"/>
          <w:szCs w:val="32"/>
          <w:lang w:val="zh-CN"/>
        </w:rPr>
      </w:pPr>
      <w:r>
        <w:rPr>
          <w:rFonts w:hint="eastAsia" w:eastAsia="仿宋_GB2312"/>
          <w:sz w:val="32"/>
          <w:szCs w:val="32"/>
          <w:lang w:val="zh-CN"/>
        </w:rPr>
        <w:t>110接处警系统升级改造项目已按期完成110接处警平台功能升级、APP软件开发、硬件部署、集成联调、等保三级测评、人员培训与正式上线运行等，已于2024年8月16日通过了项目验收，使用过程中运行正常，能达到工作需求。</w:t>
      </w:r>
    </w:p>
    <w:p w14:paraId="6C678DA7">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（二）项目效益情况。</w:t>
      </w:r>
    </w:p>
    <w:p w14:paraId="69D47466">
      <w:pPr>
        <w:spacing w:line="560" w:lineRule="exact"/>
        <w:ind w:firstLine="641"/>
        <w:rPr>
          <w:rFonts w:eastAsia="仿宋_GB2312"/>
          <w:sz w:val="32"/>
          <w:szCs w:val="32"/>
          <w:lang w:val="zh-CN"/>
        </w:rPr>
      </w:pPr>
      <w:r>
        <w:rPr>
          <w:rFonts w:hint="eastAsia" w:eastAsia="仿宋_GB2312"/>
          <w:sz w:val="32"/>
          <w:szCs w:val="32"/>
          <w:lang w:val="zh-CN"/>
        </w:rPr>
        <w:t>建成全市统一的接处警一体化平台，完成全域全量接警和110与12345的平台对接，实现接警更快捷、派警更精准、处警更高效、联动更顺畅、监管更规范、数据更安全，全面达成既定绩效目标，有效提升110快速响应与实战处置能力，社会效益显著。</w:t>
      </w:r>
    </w:p>
    <w:p w14:paraId="3A3BCE88">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五、评价结论及建议</w:t>
      </w:r>
    </w:p>
    <w:p w14:paraId="1FA5A05C">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（一）评价结论。</w:t>
      </w:r>
    </w:p>
    <w:p w14:paraId="510F1444">
      <w:pPr>
        <w:adjustRightInd w:val="0"/>
        <w:spacing w:line="576" w:lineRule="exact"/>
        <w:ind w:firstLine="640" w:firstLineChars="200"/>
        <w:rPr>
          <w:rFonts w:eastAsia="仿宋_GB2312"/>
          <w:sz w:val="32"/>
          <w:szCs w:val="32"/>
          <w:lang w:val="zh-CN"/>
        </w:rPr>
      </w:pPr>
      <w:r>
        <w:rPr>
          <w:rFonts w:hint="eastAsia" w:eastAsia="仿宋_GB2312"/>
          <w:sz w:val="32"/>
          <w:szCs w:val="32"/>
          <w:lang w:val="zh-CN"/>
        </w:rPr>
        <w:t>110接处警系统升级改造项目立项必要、管理规范、资金安全、产出达标、效益明显，有效解决旧系统瓶颈，使接警和处警都更加精准和快速，提升公安指挥调度与应急处置现代化水平，为城市公共安全提供强有力的保障系统。</w:t>
      </w:r>
    </w:p>
    <w:p w14:paraId="01934DC5">
      <w:pPr>
        <w:spacing w:line="560" w:lineRule="exact"/>
        <w:ind w:firstLine="640" w:firstLineChars="200"/>
        <w:rPr>
          <w:rFonts w:eastAsia="仿宋_GB2312"/>
          <w:kern w:val="0"/>
          <w:sz w:val="32"/>
          <w:szCs w:val="32"/>
          <w:lang w:val="zh-CN"/>
        </w:rPr>
      </w:pPr>
      <w:r>
        <w:rPr>
          <w:rFonts w:hint="eastAsia" w:eastAsia="仿宋_GB2312"/>
          <w:sz w:val="32"/>
          <w:szCs w:val="32"/>
          <w:lang w:val="zh-CN"/>
        </w:rPr>
        <w:t>该项目经费由市财政局国库支付，支出符合国家财经法规和财务管理制度规定以及有关专项资金管理办法的规定，资金拨付有完整的审批程序和手续，资金使用无截留、挤占、挪用、虚列支出等情况。</w:t>
      </w:r>
    </w:p>
    <w:p w14:paraId="56343E2B">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（二）存在的问题。</w:t>
      </w:r>
    </w:p>
    <w:p w14:paraId="013C4577">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无。</w:t>
      </w:r>
    </w:p>
    <w:p w14:paraId="5F1786BB">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（三）相关建议。</w:t>
      </w:r>
    </w:p>
    <w:p w14:paraId="34B11E5C">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无。</w:t>
      </w:r>
    </w:p>
    <w:p w14:paraId="519D4205">
      <w:pPr>
        <w:spacing w:line="560" w:lineRule="exact"/>
        <w:ind w:firstLine="640" w:firstLineChars="200"/>
        <w:rPr>
          <w:rFonts w:eastAsia="仿宋_GB2312"/>
          <w:kern w:val="0"/>
          <w:sz w:val="32"/>
          <w:szCs w:val="32"/>
          <w:lang w:val="zh-CN"/>
        </w:rPr>
      </w:pPr>
    </w:p>
    <w:p w14:paraId="5F117B83">
      <w:pPr>
        <w:pStyle w:val="3"/>
        <w:spacing w:after="0" w:line="560" w:lineRule="exact"/>
        <w:ind w:left="0" w:leftChars="0" w:firstLine="640"/>
        <w:rPr>
          <w:rFonts w:eastAsia="仿宋_GB2312" w:cs="仿宋_GB2312"/>
          <w:kern w:val="0"/>
          <w:sz w:val="32"/>
        </w:rPr>
      </w:pPr>
    </w:p>
    <w:p w14:paraId="73084637">
      <w:pPr>
        <w:pStyle w:val="3"/>
        <w:ind w:left="420" w:firstLine="640"/>
        <w:rPr>
          <w:rFonts w:eastAsia="仿宋_GB2312" w:cs="仿宋_GB2312"/>
          <w:kern w:val="0"/>
          <w:sz w:val="32"/>
        </w:rPr>
      </w:pPr>
    </w:p>
    <w:p w14:paraId="0307A1D9">
      <w:pPr>
        <w:pStyle w:val="3"/>
        <w:ind w:left="420" w:firstLine="640"/>
        <w:rPr>
          <w:rFonts w:eastAsia="仿宋_GB2312" w:cs="仿宋_GB2312"/>
          <w:kern w:val="0"/>
          <w:sz w:val="32"/>
          <w:highlight w:val="yellow"/>
        </w:rPr>
      </w:pPr>
    </w:p>
    <w:p w14:paraId="75E069B8">
      <w:pPr>
        <w:pStyle w:val="3"/>
        <w:ind w:left="420" w:firstLine="640"/>
        <w:rPr>
          <w:rFonts w:eastAsia="仿宋_GB2312" w:cs="仿宋_GB2312"/>
          <w:kern w:val="0"/>
          <w:sz w:val="32"/>
          <w:highlight w:val="yellow"/>
        </w:rPr>
      </w:pPr>
    </w:p>
    <w:p w14:paraId="20207826">
      <w:pPr>
        <w:pStyle w:val="3"/>
        <w:ind w:left="420" w:firstLine="640"/>
        <w:rPr>
          <w:rFonts w:eastAsia="仿宋_GB2312" w:cs="仿宋_GB2312"/>
          <w:kern w:val="0"/>
          <w:sz w:val="32"/>
          <w:highlight w:val="yellow"/>
        </w:rPr>
      </w:pPr>
    </w:p>
    <w:p w14:paraId="422055A9">
      <w:pPr>
        <w:rPr>
          <w:rFonts w:eastAsia="仿宋_GB2312" w:cs="仿宋_GB2312"/>
          <w:kern w:val="0"/>
          <w:sz w:val="32"/>
          <w:highlight w:val="yellow"/>
        </w:rPr>
      </w:pPr>
    </w:p>
    <w:p w14:paraId="36F9CAFE">
      <w:pPr>
        <w:pStyle w:val="2"/>
        <w:rPr>
          <w:rFonts w:eastAsia="仿宋_GB2312" w:cs="仿宋_GB2312"/>
          <w:kern w:val="0"/>
          <w:sz w:val="32"/>
          <w:highlight w:val="yellow"/>
        </w:rPr>
      </w:pPr>
    </w:p>
    <w:p w14:paraId="7D0FE64B">
      <w:pPr>
        <w:pStyle w:val="3"/>
        <w:ind w:left="420"/>
      </w:pPr>
    </w:p>
    <w:p w14:paraId="3782EA52">
      <w:pPr>
        <w:pStyle w:val="3"/>
        <w:ind w:left="420" w:firstLine="640"/>
        <w:rPr>
          <w:rFonts w:eastAsia="仿宋_GB2312" w:cs="仿宋_GB2312"/>
          <w:kern w:val="0"/>
          <w:sz w:val="32"/>
          <w:highlight w:val="yellow"/>
        </w:rPr>
      </w:pPr>
    </w:p>
    <w:p w14:paraId="2CE766EE">
      <w:pPr>
        <w:pStyle w:val="3"/>
        <w:ind w:left="0" w:leftChars="0" w:firstLine="0" w:firstLineChars="0"/>
        <w:rPr>
          <w:rFonts w:eastAsia="仿宋_GB2312" w:cs="仿宋_GB2312"/>
          <w:kern w:val="0"/>
          <w:sz w:val="32"/>
          <w:highlight w:val="yellow"/>
        </w:rPr>
      </w:pPr>
    </w:p>
    <w:p w14:paraId="2657FE52">
      <w:pPr>
        <w:spacing w:line="300" w:lineRule="auto"/>
        <w:jc w:val="center"/>
        <w:rPr>
          <w:rFonts w:eastAsia="方正小标宋_GBK"/>
          <w:color w:val="000000"/>
          <w:kern w:val="0"/>
          <w:sz w:val="44"/>
          <w:szCs w:val="44"/>
        </w:rPr>
      </w:pPr>
      <w:r>
        <w:rPr>
          <w:rFonts w:eastAsia="方正小标宋_GBK"/>
          <w:color w:val="000000"/>
          <w:kern w:val="0"/>
          <w:sz w:val="44"/>
          <w:szCs w:val="44"/>
          <w:lang w:val="zh-CN"/>
        </w:rPr>
        <w:t>天网一期升级改造</w:t>
      </w:r>
      <w:r>
        <w:rPr>
          <w:rFonts w:hint="eastAsia" w:eastAsia="方正小标宋_GBK"/>
          <w:color w:val="000000"/>
          <w:kern w:val="0"/>
          <w:sz w:val="44"/>
          <w:szCs w:val="44"/>
          <w:lang w:val="zh-CN"/>
        </w:rPr>
        <w:t>及设计服务</w:t>
      </w:r>
      <w:r>
        <w:rPr>
          <w:rFonts w:eastAsia="方正小标宋_GBK"/>
          <w:color w:val="000000"/>
          <w:kern w:val="0"/>
          <w:sz w:val="44"/>
          <w:szCs w:val="44"/>
          <w:lang w:val="zh-CN"/>
        </w:rPr>
        <w:t>项目支出绩效</w:t>
      </w:r>
    </w:p>
    <w:p w14:paraId="70F6441B">
      <w:pPr>
        <w:spacing w:line="300" w:lineRule="auto"/>
        <w:jc w:val="center"/>
        <w:rPr>
          <w:rFonts w:eastAsia="方正小标宋_GBK"/>
          <w:color w:val="000000"/>
          <w:kern w:val="0"/>
          <w:sz w:val="44"/>
          <w:szCs w:val="44"/>
          <w:lang w:val="zh-CN"/>
        </w:rPr>
      </w:pPr>
      <w:r>
        <w:rPr>
          <w:rFonts w:eastAsia="方正小标宋_GBK"/>
          <w:color w:val="000000"/>
          <w:kern w:val="0"/>
          <w:sz w:val="44"/>
          <w:szCs w:val="44"/>
          <w:lang w:val="zh-CN"/>
        </w:rPr>
        <w:t>自评报告</w:t>
      </w:r>
    </w:p>
    <w:p w14:paraId="1BEE2A82">
      <w:pPr>
        <w:spacing w:line="560" w:lineRule="exact"/>
        <w:ind w:firstLine="640"/>
        <w:jc w:val="center"/>
        <w:rPr>
          <w:rFonts w:eastAsia="方正小标宋_GBK"/>
          <w:color w:val="000000"/>
          <w:kern w:val="0"/>
          <w:sz w:val="36"/>
          <w:szCs w:val="36"/>
          <w:lang w:val="zh-CN"/>
        </w:rPr>
      </w:pPr>
    </w:p>
    <w:p w14:paraId="5EF621FE">
      <w:pPr>
        <w:spacing w:line="560" w:lineRule="exact"/>
        <w:ind w:firstLine="641"/>
        <w:rPr>
          <w:rFonts w:ascii="黑体" w:hAnsi="黑体" w:eastAsia="黑体" w:cs="黑体"/>
          <w:kern w:val="0"/>
          <w:sz w:val="32"/>
          <w:szCs w:val="32"/>
          <w:lang w:val="zh-CN"/>
        </w:rPr>
      </w:pPr>
      <w:r>
        <w:rPr>
          <w:rFonts w:hint="eastAsia" w:ascii="黑体" w:hAnsi="黑体" w:eastAsia="黑体" w:cs="黑体"/>
          <w:kern w:val="0"/>
          <w:sz w:val="32"/>
          <w:szCs w:val="32"/>
          <w:lang w:val="zh-CN"/>
        </w:rPr>
        <w:t>一、项目概况</w:t>
      </w:r>
    </w:p>
    <w:p w14:paraId="05599451">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（一）项目基本情况。</w:t>
      </w:r>
    </w:p>
    <w:p w14:paraId="309219BB">
      <w:pPr>
        <w:spacing w:line="560" w:lineRule="exact"/>
        <w:ind w:firstLine="640" w:firstLineChars="200"/>
        <w:rPr>
          <w:rFonts w:eastAsia="仿宋_GB2312"/>
          <w:kern w:val="0"/>
          <w:sz w:val="32"/>
          <w:szCs w:val="32"/>
          <w:lang w:val="zh-CN"/>
        </w:rPr>
      </w:pPr>
      <w:r>
        <w:rPr>
          <w:rFonts w:eastAsia="仿宋_GB2312"/>
          <w:kern w:val="0"/>
          <w:sz w:val="32"/>
          <w:szCs w:val="32"/>
          <w:lang w:val="zh-CN"/>
        </w:rPr>
        <w:t>全市天网一期项目于2014年签订，项目自建成以来，在侦查破案、治安防控、服务民生等方面发挥了重要作用，但由于建设时间较早，采用的技术标准、前端监控摄像头、后端处理平台已不能满足当前社会治安防控整体需求的现状。为使天网一期继续服务我市警务实战，需继续租用天网一期系统，同时按照省公安厅视频建设规范对天网一期进行改造升级。</w:t>
      </w:r>
    </w:p>
    <w:p w14:paraId="2D4A2258">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（二）项目绩效目标。</w:t>
      </w:r>
    </w:p>
    <w:p w14:paraId="640653ED">
      <w:pPr>
        <w:adjustRightInd w:val="0"/>
        <w:snapToGrid w:val="0"/>
        <w:spacing w:line="560" w:lineRule="exact"/>
        <w:rPr>
          <w:rFonts w:eastAsia="楷体_GB2312"/>
          <w:b/>
          <w:sz w:val="32"/>
          <w:szCs w:val="32"/>
          <w:lang w:val="zh-CN"/>
        </w:rPr>
      </w:pPr>
      <w:r>
        <w:rPr>
          <w:rFonts w:eastAsia="仿宋_GB2312"/>
          <w:kern w:val="0"/>
          <w:sz w:val="32"/>
          <w:szCs w:val="32"/>
          <w:lang w:val="zh-CN"/>
        </w:rPr>
        <w:t xml:space="preserve"> 天网一期改造完成后，将大幅度提高我局现有视频图像智能分析能力，为下一步视频数据智能化分析提供基础信息，全面提升我局打防管控的能力。2021年需扩容共享平台，完成视觉计算分中心搭建、视频专网安全防护及管理平台建设。</w:t>
      </w:r>
    </w:p>
    <w:p w14:paraId="03D76893">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（三）项目自评步骤及方法。</w:t>
      </w:r>
    </w:p>
    <w:p w14:paraId="161CC9B4">
      <w:pPr>
        <w:spacing w:line="560" w:lineRule="exact"/>
        <w:ind w:firstLine="640" w:firstLineChars="200"/>
        <w:rPr>
          <w:rFonts w:eastAsia="仿宋_GB2312"/>
          <w:kern w:val="0"/>
          <w:sz w:val="32"/>
          <w:szCs w:val="32"/>
          <w:lang w:val="zh-CN"/>
        </w:rPr>
      </w:pPr>
      <w:r>
        <w:rPr>
          <w:rFonts w:eastAsia="仿宋_GB2312"/>
          <w:kern w:val="0"/>
          <w:sz w:val="32"/>
          <w:szCs w:val="32"/>
          <w:lang w:val="zh-CN"/>
        </w:rPr>
        <w:t>该项目通过现场踏勘、与项目相关人员座谈或讨论、聘请相关专业专家、市场调研等方法了解项目情况，收集相关资料，综合分析相关情况后，对项目的立项必要性、投入经济性、目标合理性、方案可行性以及筹资合规性实施评估。</w:t>
      </w:r>
    </w:p>
    <w:p w14:paraId="0F1E12C3">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二、项目资金申报及使用情况</w:t>
      </w:r>
    </w:p>
    <w:p w14:paraId="02AE7F58">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（一）项目资金申报及批复情况。</w:t>
      </w:r>
    </w:p>
    <w:p w14:paraId="23120805">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项目原立项资金48.8万元，2025年批复资金48.8万元</w:t>
      </w:r>
    </w:p>
    <w:p w14:paraId="1B8CE81B">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（二）资金计划、到位及使用情况。</w:t>
      </w:r>
    </w:p>
    <w:p w14:paraId="7FF81F15">
      <w:pPr>
        <w:spacing w:line="560" w:lineRule="exact"/>
        <w:ind w:firstLine="640" w:firstLineChars="200"/>
        <w:rPr>
          <w:rFonts w:eastAsia="仿宋_GB2312"/>
          <w:kern w:val="0"/>
          <w:sz w:val="32"/>
          <w:szCs w:val="32"/>
          <w:lang w:val="zh-CN"/>
        </w:rPr>
      </w:pPr>
      <w:r>
        <w:rPr>
          <w:rFonts w:hint="eastAsia" w:eastAsia="仿宋_GB2312"/>
          <w:kern w:val="0"/>
          <w:sz w:val="32"/>
          <w:szCs w:val="32"/>
        </w:rPr>
        <w:t>1.</w:t>
      </w:r>
      <w:r>
        <w:rPr>
          <w:rFonts w:eastAsia="仿宋_GB2312"/>
          <w:kern w:val="0"/>
          <w:sz w:val="32"/>
          <w:szCs w:val="32"/>
          <w:lang w:val="zh-CN"/>
        </w:rPr>
        <w:t>资金计划与到位。资金来源渠道的合法合规，评估内容包括政策，项目具有公共性，属于公共财政支持范围，筹资渠道符合法律法规规定，筹资结构合理，资金来源渠道明确。</w:t>
      </w:r>
    </w:p>
    <w:p w14:paraId="3D74576B">
      <w:pPr>
        <w:spacing w:line="560" w:lineRule="exact"/>
        <w:ind w:firstLine="640" w:firstLineChars="200"/>
        <w:rPr>
          <w:rFonts w:eastAsia="仿宋_GB2312"/>
          <w:kern w:val="0"/>
          <w:sz w:val="32"/>
          <w:szCs w:val="32"/>
          <w:lang w:val="zh-CN"/>
        </w:rPr>
      </w:pPr>
      <w:r>
        <w:rPr>
          <w:rFonts w:hint="eastAsia" w:eastAsia="仿宋_GB2312"/>
          <w:kern w:val="0"/>
          <w:sz w:val="32"/>
          <w:szCs w:val="32"/>
        </w:rPr>
        <w:t>2.</w:t>
      </w:r>
      <w:r>
        <w:rPr>
          <w:rFonts w:eastAsia="仿宋_GB2312"/>
          <w:kern w:val="0"/>
          <w:sz w:val="32"/>
          <w:szCs w:val="32"/>
          <w:lang w:val="zh-CN"/>
        </w:rPr>
        <w:t>资金使用。该项目资金主要用于“天网</w:t>
      </w:r>
      <w:r>
        <w:rPr>
          <w:rFonts w:hint="eastAsia" w:eastAsia="仿宋_GB2312"/>
          <w:kern w:val="0"/>
          <w:sz w:val="32"/>
          <w:szCs w:val="32"/>
          <w:lang w:val="zh-CN"/>
        </w:rPr>
        <w:t>一</w:t>
      </w:r>
      <w:r>
        <w:rPr>
          <w:rFonts w:eastAsia="仿宋_GB2312"/>
          <w:kern w:val="0"/>
          <w:sz w:val="32"/>
          <w:szCs w:val="32"/>
          <w:lang w:val="zh-CN"/>
        </w:rPr>
        <w:t>期”的</w:t>
      </w:r>
      <w:r>
        <w:rPr>
          <w:rFonts w:hint="eastAsia" w:eastAsia="仿宋_GB2312"/>
          <w:kern w:val="0"/>
          <w:sz w:val="32"/>
          <w:szCs w:val="32"/>
          <w:lang w:val="zh-CN"/>
        </w:rPr>
        <w:t>升级改造和</w:t>
      </w:r>
      <w:r>
        <w:rPr>
          <w:rFonts w:eastAsia="仿宋_GB2312"/>
          <w:kern w:val="0"/>
          <w:sz w:val="32"/>
          <w:szCs w:val="32"/>
          <w:lang w:val="zh-CN"/>
        </w:rPr>
        <w:t>日常运维，支付依据合规合法，资金支付与预算相符。</w:t>
      </w:r>
    </w:p>
    <w:p w14:paraId="4708B737">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（三）项目财务管理情况。</w:t>
      </w:r>
    </w:p>
    <w:p w14:paraId="156F8F6F">
      <w:pPr>
        <w:spacing w:line="560" w:lineRule="exact"/>
        <w:ind w:firstLine="640" w:firstLineChars="200"/>
        <w:rPr>
          <w:rFonts w:eastAsia="仿宋_GB2312"/>
          <w:kern w:val="0"/>
          <w:sz w:val="32"/>
          <w:szCs w:val="32"/>
          <w:lang w:val="zh-CN"/>
        </w:rPr>
      </w:pPr>
      <w:r>
        <w:rPr>
          <w:rFonts w:eastAsia="仿宋_GB2312"/>
          <w:kern w:val="0"/>
          <w:sz w:val="32"/>
          <w:szCs w:val="32"/>
          <w:lang w:val="zh-CN"/>
        </w:rPr>
        <w:t>该项目实施单位财务管理制度健全，严格执行财务管理制度，财务处理及时，会计核算规范，严格落实考核制度。</w:t>
      </w:r>
    </w:p>
    <w:p w14:paraId="08A42FFE">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三、项目实施及管理情况</w:t>
      </w:r>
    </w:p>
    <w:p w14:paraId="1D69C4F9">
      <w:pPr>
        <w:spacing w:line="560" w:lineRule="exact"/>
        <w:ind w:firstLine="640" w:firstLineChars="200"/>
        <w:rPr>
          <w:rFonts w:eastAsia="仿宋_GB2312"/>
          <w:kern w:val="0"/>
          <w:sz w:val="32"/>
          <w:szCs w:val="32"/>
          <w:lang w:val="zh-CN"/>
        </w:rPr>
      </w:pPr>
      <w:r>
        <w:rPr>
          <w:rFonts w:eastAsia="仿宋_GB2312"/>
          <w:kern w:val="0"/>
          <w:sz w:val="32"/>
          <w:szCs w:val="32"/>
          <w:lang w:val="zh-CN"/>
        </w:rPr>
        <w:t>结合项目组织实施管理办法，重点围绕以下内容进行分析评价，并对自评中发现的问题分析说明。</w:t>
      </w:r>
    </w:p>
    <w:p w14:paraId="4198F906">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（一）项目组织架构及实施流程。</w:t>
      </w:r>
    </w:p>
    <w:p w14:paraId="6C65F18D">
      <w:pPr>
        <w:adjustRightInd w:val="0"/>
        <w:snapToGrid w:val="0"/>
        <w:spacing w:line="560" w:lineRule="exact"/>
        <w:rPr>
          <w:rFonts w:eastAsia="仿宋_GB2312"/>
          <w:kern w:val="0"/>
          <w:sz w:val="32"/>
          <w:szCs w:val="32"/>
          <w:lang w:val="zh-CN"/>
        </w:rPr>
      </w:pPr>
      <w:r>
        <w:rPr>
          <w:rFonts w:hint="eastAsia" w:eastAsia="仿宋_GB2312"/>
          <w:kern w:val="0"/>
          <w:sz w:val="32"/>
          <w:szCs w:val="32"/>
        </w:rPr>
        <w:t xml:space="preserve"> 根据《攀枝花市财政局关于开展 2026年财政重点绩效评价工作的通知》（攀财绩〔2026〕2 号），由市财政投资评审中心组成项目评价组，按照前期准备、单位自评、现场评价和报告撰写四个阶段，以现场评价为主、非现场评价为辅，采用案卷研究、实地踏勘、问卷调查等多种方式，组织实施项目绩效评价工作。在收集项目文件资料、细化评价指标及评价标准的基础上，深入到部分项目点，实地查看项目申报、实施及运行情况，与相关利益群体座谈、面访，收集相关数据资料。通过汇总整理，结合项目主管部门绩效自评报告，定量和定性分析形成评价结论，经过复核和交换意见后，形成绩效评价报告。</w:t>
      </w:r>
    </w:p>
    <w:p w14:paraId="77B634AC">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（二）项目实施及管理情况</w:t>
      </w:r>
    </w:p>
    <w:p w14:paraId="71D7292A">
      <w:pPr>
        <w:spacing w:line="560" w:lineRule="exact"/>
        <w:ind w:firstLine="640" w:firstLineChars="200"/>
        <w:rPr>
          <w:rFonts w:eastAsia="仿宋_GB2312"/>
          <w:kern w:val="0"/>
          <w:sz w:val="32"/>
          <w:szCs w:val="32"/>
          <w:lang w:val="zh-CN"/>
        </w:rPr>
      </w:pPr>
      <w:r>
        <w:rPr>
          <w:rFonts w:eastAsia="仿宋_GB2312"/>
          <w:kern w:val="0"/>
          <w:sz w:val="32"/>
          <w:szCs w:val="32"/>
          <w:lang w:val="zh-CN"/>
        </w:rPr>
        <w:t>项目由运营公司安排人员到市公安局7*24小时值班，实时监控点位运行情况，各分县局和交警每月提供实际使用情况数据，由指挥中心进行数据汇总，经科技通信科、警保科、审计科根据汇总数据进行考核，甲方和乙方就考核结果进行认定；最后，甲方按照合同约定，核算租赁费用，并按程序进行付款。</w:t>
      </w:r>
    </w:p>
    <w:p w14:paraId="36B17394">
      <w:pPr>
        <w:adjustRightInd w:val="0"/>
        <w:snapToGrid w:val="0"/>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（三）项目监管情况。</w:t>
      </w:r>
    </w:p>
    <w:p w14:paraId="2C24A068">
      <w:pPr>
        <w:adjustRightInd w:val="0"/>
        <w:snapToGrid w:val="0"/>
        <w:spacing w:line="560" w:lineRule="exact"/>
        <w:ind w:firstLine="640" w:firstLineChars="200"/>
        <w:rPr>
          <w:rFonts w:eastAsia="仿宋_GB2312"/>
          <w:kern w:val="0"/>
          <w:sz w:val="32"/>
          <w:szCs w:val="32"/>
          <w:lang w:val="zh-CN"/>
        </w:rPr>
      </w:pPr>
      <w:r>
        <w:rPr>
          <w:rFonts w:eastAsia="仿宋_GB2312"/>
          <w:kern w:val="0"/>
          <w:sz w:val="32"/>
          <w:szCs w:val="32"/>
          <w:lang w:val="zh-CN"/>
        </w:rPr>
        <w:t>为规范资金管理，</w:t>
      </w:r>
      <w:r>
        <w:rPr>
          <w:rFonts w:hint="eastAsia" w:eastAsia="仿宋_GB2312"/>
          <w:kern w:val="0"/>
          <w:sz w:val="32"/>
          <w:szCs w:val="32"/>
          <w:lang w:val="zh-CN"/>
        </w:rPr>
        <w:t>攀枝花市公安局严格按照</w:t>
      </w:r>
      <w:r>
        <w:rPr>
          <w:rFonts w:eastAsia="仿宋_GB2312"/>
          <w:kern w:val="0"/>
          <w:sz w:val="32"/>
          <w:szCs w:val="32"/>
          <w:lang w:val="zh-CN"/>
        </w:rPr>
        <w:t>资金开支范围</w:t>
      </w:r>
      <w:r>
        <w:rPr>
          <w:rFonts w:hint="eastAsia" w:eastAsia="仿宋_GB2312"/>
          <w:kern w:val="0"/>
          <w:sz w:val="32"/>
          <w:szCs w:val="32"/>
          <w:lang w:val="zh-CN"/>
        </w:rPr>
        <w:t>实施项目，定期开展绩效监控，积极推动项目实施，配合市财政局并对该</w:t>
      </w:r>
      <w:r>
        <w:rPr>
          <w:rFonts w:eastAsia="仿宋_GB2312"/>
          <w:kern w:val="0"/>
          <w:sz w:val="32"/>
          <w:szCs w:val="32"/>
          <w:lang w:val="zh-CN"/>
        </w:rPr>
        <w:t>专项资金进行了监管</w:t>
      </w:r>
      <w:r>
        <w:rPr>
          <w:rFonts w:hint="eastAsia" w:eastAsia="仿宋_GB2312"/>
          <w:kern w:val="0"/>
          <w:sz w:val="32"/>
          <w:szCs w:val="32"/>
          <w:lang w:val="zh-CN"/>
        </w:rPr>
        <w:t>。</w:t>
      </w:r>
    </w:p>
    <w:p w14:paraId="28FEFEE7">
      <w:pPr>
        <w:spacing w:line="560" w:lineRule="exact"/>
        <w:ind w:firstLine="641"/>
        <w:rPr>
          <w:rFonts w:ascii="黑体" w:hAnsi="黑体" w:eastAsia="黑体" w:cs="黑体"/>
          <w:kern w:val="0"/>
          <w:sz w:val="32"/>
          <w:szCs w:val="32"/>
          <w:lang w:val="zh-CN"/>
        </w:rPr>
      </w:pPr>
      <w:r>
        <w:rPr>
          <w:rFonts w:hint="eastAsia" w:ascii="黑体" w:hAnsi="黑体" w:eastAsia="黑体" w:cs="黑体"/>
          <w:kern w:val="0"/>
          <w:sz w:val="32"/>
          <w:szCs w:val="32"/>
        </w:rPr>
        <w:t>四、项目绩效情况</w:t>
      </w:r>
      <w:r>
        <w:rPr>
          <w:rFonts w:hint="eastAsia" w:ascii="黑体" w:hAnsi="黑体" w:eastAsia="黑体" w:cs="黑体"/>
          <w:kern w:val="0"/>
          <w:sz w:val="32"/>
          <w:szCs w:val="32"/>
          <w:lang w:val="zh-CN"/>
        </w:rPr>
        <w:tab/>
      </w:r>
    </w:p>
    <w:p w14:paraId="129702AA">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（一）项目完成情况。</w:t>
      </w:r>
    </w:p>
    <w:p w14:paraId="56651882">
      <w:pPr>
        <w:spacing w:line="560" w:lineRule="exact"/>
        <w:ind w:firstLine="640" w:firstLineChars="200"/>
        <w:rPr>
          <w:rFonts w:eastAsia="仿宋_GB2312"/>
          <w:kern w:val="0"/>
          <w:sz w:val="32"/>
          <w:szCs w:val="32"/>
          <w:lang w:val="zh-CN"/>
        </w:rPr>
      </w:pPr>
      <w:r>
        <w:rPr>
          <w:rFonts w:eastAsia="仿宋_GB2312"/>
          <w:kern w:val="0"/>
          <w:sz w:val="32"/>
          <w:szCs w:val="32"/>
          <w:lang w:val="zh-CN"/>
        </w:rPr>
        <w:t>天网一期</w:t>
      </w:r>
      <w:r>
        <w:rPr>
          <w:rFonts w:hint="eastAsia" w:eastAsia="仿宋_GB2312"/>
          <w:kern w:val="0"/>
          <w:sz w:val="32"/>
          <w:szCs w:val="32"/>
          <w:lang w:val="zh-CN"/>
        </w:rPr>
        <w:t>，</w:t>
      </w:r>
      <w:r>
        <w:rPr>
          <w:rFonts w:eastAsia="仿宋_GB2312"/>
          <w:kern w:val="0"/>
          <w:sz w:val="32"/>
          <w:szCs w:val="32"/>
          <w:lang w:val="zh-CN"/>
        </w:rPr>
        <w:t>数量指标：302个点位</w:t>
      </w:r>
      <w:r>
        <w:rPr>
          <w:rFonts w:hint="eastAsia" w:eastAsia="仿宋_GB2312"/>
          <w:kern w:val="0"/>
          <w:sz w:val="32"/>
          <w:szCs w:val="32"/>
          <w:lang w:val="zh-CN"/>
        </w:rPr>
        <w:t>；</w:t>
      </w:r>
      <w:r>
        <w:rPr>
          <w:rFonts w:eastAsia="仿宋_GB2312"/>
          <w:kern w:val="0"/>
          <w:sz w:val="32"/>
          <w:szCs w:val="32"/>
          <w:lang w:val="zh-CN"/>
        </w:rPr>
        <w:t>质量指标：保障“天网”正常运行，天网前端高在线率，无花屏、黑屏、遮挡等影响视频图像质量的情况</w:t>
      </w:r>
      <w:r>
        <w:rPr>
          <w:rFonts w:hint="eastAsia" w:eastAsia="仿宋_GB2312"/>
          <w:kern w:val="0"/>
          <w:sz w:val="32"/>
          <w:szCs w:val="32"/>
          <w:lang w:val="zh-CN"/>
        </w:rPr>
        <w:t>；</w:t>
      </w:r>
      <w:r>
        <w:rPr>
          <w:rFonts w:eastAsia="仿宋_GB2312"/>
          <w:kern w:val="0"/>
          <w:sz w:val="32"/>
          <w:szCs w:val="32"/>
          <w:lang w:val="zh-CN"/>
        </w:rPr>
        <w:t>时效指标：202</w:t>
      </w:r>
      <w:r>
        <w:rPr>
          <w:rFonts w:hint="eastAsia" w:eastAsia="仿宋_GB2312"/>
          <w:kern w:val="0"/>
          <w:sz w:val="32"/>
          <w:szCs w:val="32"/>
          <w:lang w:val="zh-CN"/>
        </w:rPr>
        <w:t>5</w:t>
      </w:r>
      <w:r>
        <w:rPr>
          <w:rFonts w:eastAsia="仿宋_GB2312"/>
          <w:kern w:val="0"/>
          <w:sz w:val="32"/>
          <w:szCs w:val="32"/>
          <w:lang w:val="zh-CN"/>
        </w:rPr>
        <w:t>年全年</w:t>
      </w:r>
    </w:p>
    <w:p w14:paraId="6D65F394">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（二）项目效益情况。</w:t>
      </w:r>
    </w:p>
    <w:p w14:paraId="7EAB08F9">
      <w:pPr>
        <w:spacing w:line="560" w:lineRule="exact"/>
        <w:ind w:firstLine="640" w:firstLineChars="200"/>
        <w:rPr>
          <w:rFonts w:eastAsia="仿宋_GB2312"/>
          <w:kern w:val="0"/>
          <w:sz w:val="32"/>
          <w:szCs w:val="32"/>
          <w:lang w:val="zh-CN"/>
        </w:rPr>
      </w:pPr>
      <w:r>
        <w:rPr>
          <w:rFonts w:eastAsia="仿宋_GB2312"/>
          <w:kern w:val="0"/>
          <w:sz w:val="32"/>
          <w:szCs w:val="32"/>
          <w:lang w:val="zh-CN"/>
        </w:rPr>
        <w:t>天网一期</w:t>
      </w:r>
      <w:r>
        <w:rPr>
          <w:rFonts w:hint="eastAsia" w:eastAsia="仿宋_GB2312"/>
          <w:kern w:val="0"/>
          <w:sz w:val="32"/>
          <w:szCs w:val="32"/>
          <w:lang w:val="zh-CN"/>
        </w:rPr>
        <w:t>，</w:t>
      </w:r>
      <w:r>
        <w:rPr>
          <w:rFonts w:eastAsia="仿宋_GB2312"/>
          <w:kern w:val="0"/>
          <w:sz w:val="32"/>
          <w:szCs w:val="32"/>
          <w:lang w:val="zh-CN"/>
        </w:rPr>
        <w:t>社会效益指标：提升政府应急处置能力，增强公安打防管控能力</w:t>
      </w:r>
      <w:r>
        <w:rPr>
          <w:rFonts w:hint="eastAsia" w:eastAsia="仿宋_GB2312"/>
          <w:kern w:val="0"/>
          <w:sz w:val="32"/>
          <w:szCs w:val="32"/>
          <w:lang w:val="zh-CN"/>
        </w:rPr>
        <w:t>；</w:t>
      </w:r>
      <w:r>
        <w:rPr>
          <w:rFonts w:eastAsia="仿宋_GB2312"/>
          <w:kern w:val="0"/>
          <w:sz w:val="32"/>
          <w:szCs w:val="32"/>
          <w:lang w:val="zh-CN"/>
        </w:rPr>
        <w:t>满意度指标：维护了社会治安良好秩序，群众安全感测评位居全省前列。</w:t>
      </w:r>
    </w:p>
    <w:p w14:paraId="28B2C9F2">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四、评价结论及建议</w:t>
      </w:r>
    </w:p>
    <w:p w14:paraId="17BBAFA1">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（一）评价结论。</w:t>
      </w:r>
    </w:p>
    <w:p w14:paraId="1038E2DC">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项目搭建了阿里算法为基础的视觉计算边缘节点，实现了500路视频解析。2022年以来，全市通过视频图像数据抓获在逃人员200名（其中省内潜逃10年以上命案在逃人员1名，省外潜逃33年以上命案在逃人员1名），全市街面犯罪案件视频图像应用率达100%。</w:t>
      </w:r>
    </w:p>
    <w:p w14:paraId="080600AB">
      <w:pPr>
        <w:spacing w:line="560" w:lineRule="exact"/>
        <w:ind w:firstLine="640" w:firstLineChars="200"/>
        <w:rPr>
          <w:rFonts w:eastAsia="仿宋_GB2312"/>
          <w:kern w:val="0"/>
          <w:sz w:val="32"/>
          <w:szCs w:val="32"/>
          <w:lang w:val="zh-CN"/>
        </w:rPr>
      </w:pPr>
      <w:r>
        <w:rPr>
          <w:rFonts w:eastAsia="仿宋_GB2312"/>
          <w:kern w:val="0"/>
          <w:sz w:val="32"/>
          <w:szCs w:val="32"/>
          <w:lang w:val="zh-CN"/>
        </w:rPr>
        <w:t xml:space="preserve"> “天网”一期升级改造市财政局国库支付，支出符合国家财经法规和财务管理制度规定以及有关专项资金管理办法的规定，资金拨付有完整的审批程序和手续，资金使用无截留、挤占、挪用、虚列支出等情况。</w:t>
      </w:r>
    </w:p>
    <w:p w14:paraId="0EF15005">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（二）存在的问题和相关建议。</w:t>
      </w:r>
    </w:p>
    <w:p w14:paraId="6E18588C">
      <w:pPr>
        <w:spacing w:line="560" w:lineRule="exact"/>
        <w:ind w:firstLine="640" w:firstLineChars="200"/>
        <w:rPr>
          <w:rFonts w:eastAsia="仿宋_GB2312"/>
          <w:kern w:val="0"/>
          <w:sz w:val="32"/>
          <w:szCs w:val="32"/>
          <w:lang w:val="zh-CN"/>
        </w:rPr>
      </w:pPr>
      <w:r>
        <w:rPr>
          <w:rFonts w:eastAsia="仿宋_GB2312"/>
          <w:kern w:val="0"/>
          <w:sz w:val="32"/>
          <w:szCs w:val="32"/>
          <w:lang w:val="zh-CN"/>
        </w:rPr>
        <w:t>无</w:t>
      </w:r>
    </w:p>
    <w:p w14:paraId="7917A3D3">
      <w:pPr>
        <w:spacing w:line="300" w:lineRule="auto"/>
        <w:jc w:val="center"/>
        <w:rPr>
          <w:rFonts w:eastAsia="方正小标宋_GBK"/>
          <w:color w:val="000000"/>
          <w:kern w:val="0"/>
          <w:sz w:val="44"/>
          <w:szCs w:val="44"/>
          <w:lang w:val="zh-CN"/>
        </w:rPr>
      </w:pPr>
    </w:p>
    <w:p w14:paraId="77B861EF">
      <w:pPr>
        <w:spacing w:line="300" w:lineRule="auto"/>
        <w:jc w:val="center"/>
        <w:rPr>
          <w:rFonts w:eastAsia="方正小标宋_GBK"/>
          <w:color w:val="000000"/>
          <w:kern w:val="0"/>
          <w:sz w:val="44"/>
          <w:szCs w:val="44"/>
          <w:lang w:val="zh-CN"/>
        </w:rPr>
      </w:pPr>
    </w:p>
    <w:p w14:paraId="080941F5">
      <w:pPr>
        <w:spacing w:line="300" w:lineRule="auto"/>
        <w:jc w:val="center"/>
        <w:rPr>
          <w:rFonts w:eastAsia="方正小标宋_GBK"/>
          <w:color w:val="000000"/>
          <w:kern w:val="0"/>
          <w:sz w:val="44"/>
          <w:szCs w:val="44"/>
          <w:highlight w:val="yellow"/>
          <w:lang w:val="zh-CN"/>
        </w:rPr>
      </w:pPr>
    </w:p>
    <w:p w14:paraId="6A52BB5B">
      <w:pPr>
        <w:spacing w:line="300" w:lineRule="auto"/>
        <w:jc w:val="center"/>
        <w:rPr>
          <w:rFonts w:eastAsia="方正小标宋_GBK"/>
          <w:color w:val="000000"/>
          <w:kern w:val="0"/>
          <w:sz w:val="44"/>
          <w:szCs w:val="44"/>
          <w:highlight w:val="yellow"/>
          <w:lang w:val="zh-CN"/>
        </w:rPr>
      </w:pPr>
    </w:p>
    <w:p w14:paraId="67D9CDAB">
      <w:pPr>
        <w:spacing w:line="300" w:lineRule="auto"/>
        <w:jc w:val="center"/>
        <w:rPr>
          <w:rFonts w:eastAsia="方正小标宋_GBK"/>
          <w:color w:val="000000"/>
          <w:kern w:val="0"/>
          <w:sz w:val="44"/>
          <w:szCs w:val="44"/>
          <w:highlight w:val="yellow"/>
          <w:lang w:val="zh-CN"/>
        </w:rPr>
      </w:pPr>
    </w:p>
    <w:p w14:paraId="0225B60D">
      <w:pPr>
        <w:spacing w:line="300" w:lineRule="auto"/>
        <w:jc w:val="center"/>
        <w:rPr>
          <w:rFonts w:eastAsia="方正小标宋_GBK"/>
          <w:color w:val="000000"/>
          <w:kern w:val="0"/>
          <w:sz w:val="44"/>
          <w:szCs w:val="44"/>
          <w:highlight w:val="yellow"/>
          <w:lang w:val="zh-CN"/>
        </w:rPr>
      </w:pPr>
    </w:p>
    <w:p w14:paraId="6F6AF711">
      <w:pPr>
        <w:spacing w:line="300" w:lineRule="auto"/>
        <w:jc w:val="center"/>
        <w:rPr>
          <w:rFonts w:eastAsia="方正小标宋_GBK"/>
          <w:color w:val="000000"/>
          <w:kern w:val="0"/>
          <w:sz w:val="44"/>
          <w:szCs w:val="44"/>
          <w:highlight w:val="yellow"/>
          <w:lang w:val="zh-CN"/>
        </w:rPr>
      </w:pPr>
    </w:p>
    <w:p w14:paraId="12BD1C19">
      <w:pPr>
        <w:adjustRightInd w:val="0"/>
        <w:snapToGrid w:val="0"/>
        <w:spacing w:line="276" w:lineRule="auto"/>
        <w:jc w:val="center"/>
        <w:rPr>
          <w:rFonts w:ascii="方正小标宋_GBK" w:hAnsi="方正小标宋_GBK" w:eastAsia="方正小标宋_GBK" w:cs="方正小标宋_GBK"/>
          <w:color w:val="000000"/>
          <w:kern w:val="0"/>
          <w:sz w:val="44"/>
          <w:szCs w:val="44"/>
        </w:rPr>
      </w:pPr>
      <w:bookmarkStart w:id="47" w:name="_Toc15396618"/>
      <w:r>
        <w:rPr>
          <w:rFonts w:hint="eastAsia" w:ascii="方正小标宋_GBK" w:hAnsi="方正小标宋_GBK" w:eastAsia="方正小标宋_GBK" w:cs="方正小标宋_GBK"/>
          <w:color w:val="000000"/>
          <w:kern w:val="0"/>
          <w:sz w:val="44"/>
          <w:szCs w:val="44"/>
        </w:rPr>
        <w:t>攀枝花市公安局</w:t>
      </w:r>
    </w:p>
    <w:p w14:paraId="26950060">
      <w:pPr>
        <w:adjustRightInd w:val="0"/>
        <w:snapToGrid w:val="0"/>
        <w:spacing w:line="276" w:lineRule="auto"/>
        <w:jc w:val="center"/>
        <w:rPr>
          <w:rFonts w:eastAsia="方正小标宋_GBK" w:cs="方正小标宋_GBK" w:asciiTheme="minorHAnsi" w:hAnsiTheme="minorHAnsi"/>
          <w:color w:val="000000"/>
          <w:kern w:val="0"/>
          <w:sz w:val="44"/>
          <w:szCs w:val="44"/>
        </w:rPr>
      </w:pPr>
      <w:r>
        <w:rPr>
          <w:rFonts w:hint="eastAsia" w:ascii="方正小标宋_GBK" w:hAnsi="方正小标宋_GBK" w:eastAsia="方正小标宋_GBK" w:cs="方正小标宋_GBK"/>
          <w:color w:val="000000"/>
          <w:kern w:val="0"/>
          <w:sz w:val="44"/>
          <w:szCs w:val="44"/>
        </w:rPr>
        <w:t>重大公共卫生服务项目</w:t>
      </w:r>
      <w:r>
        <w:rPr>
          <w:rFonts w:hint="eastAsia" w:ascii="方正小标宋_GBK" w:hAnsi="方正小标宋_GBK" w:eastAsia="方正小标宋_GBK" w:cs="方正小标宋_GBK"/>
          <w:color w:val="000000"/>
          <w:kern w:val="0"/>
          <w:sz w:val="44"/>
          <w:szCs w:val="44"/>
          <w:lang w:val="zh-CN"/>
        </w:rPr>
        <w:t>支出绩效</w:t>
      </w:r>
    </w:p>
    <w:p w14:paraId="22E29C0F">
      <w:pPr>
        <w:adjustRightInd w:val="0"/>
        <w:snapToGrid w:val="0"/>
        <w:spacing w:line="276" w:lineRule="auto"/>
        <w:jc w:val="center"/>
        <w:rPr>
          <w:rFonts w:ascii="方正小标宋_GBK" w:hAnsi="方正小标宋_GBK" w:eastAsia="方正小标宋_GBK" w:cs="方正小标宋_GBK"/>
          <w:color w:val="000000"/>
          <w:kern w:val="0"/>
          <w:sz w:val="44"/>
          <w:szCs w:val="44"/>
          <w:lang w:val="zh-CN"/>
        </w:rPr>
      </w:pPr>
      <w:r>
        <w:rPr>
          <w:rFonts w:hint="eastAsia" w:ascii="方正小标宋_GBK" w:hAnsi="方正小标宋_GBK" w:eastAsia="方正小标宋_GBK" w:cs="方正小标宋_GBK"/>
          <w:color w:val="000000"/>
          <w:kern w:val="0"/>
          <w:sz w:val="44"/>
          <w:szCs w:val="44"/>
          <w:lang w:val="zh-CN"/>
        </w:rPr>
        <w:t>自评报告</w:t>
      </w:r>
    </w:p>
    <w:p w14:paraId="047EA66B">
      <w:pPr>
        <w:spacing w:line="600" w:lineRule="exact"/>
        <w:ind w:firstLine="640"/>
        <w:jc w:val="center"/>
        <w:rPr>
          <w:sz w:val="32"/>
          <w:szCs w:val="32"/>
          <w:lang w:val="zh-CN"/>
        </w:rPr>
      </w:pPr>
    </w:p>
    <w:p w14:paraId="3BE10BFC">
      <w:pPr>
        <w:spacing w:line="560" w:lineRule="exact"/>
        <w:ind w:firstLine="641"/>
        <w:rPr>
          <w:rFonts w:ascii="黑体" w:hAnsi="黑体" w:eastAsia="黑体" w:cs="黑体"/>
          <w:kern w:val="0"/>
          <w:sz w:val="32"/>
          <w:szCs w:val="32"/>
          <w:lang w:val="zh-CN"/>
        </w:rPr>
      </w:pPr>
      <w:r>
        <w:rPr>
          <w:rFonts w:hint="eastAsia" w:ascii="黑体" w:hAnsi="黑体" w:eastAsia="黑体" w:cs="黑体"/>
          <w:kern w:val="0"/>
          <w:sz w:val="32"/>
          <w:szCs w:val="32"/>
        </w:rPr>
        <w:t>一、</w:t>
      </w:r>
      <w:r>
        <w:rPr>
          <w:rFonts w:hint="eastAsia" w:ascii="黑体" w:hAnsi="黑体" w:eastAsia="黑体" w:cs="黑体"/>
          <w:kern w:val="0"/>
          <w:sz w:val="32"/>
          <w:szCs w:val="32"/>
          <w:lang w:val="zh-CN"/>
        </w:rPr>
        <w:t>项目概况</w:t>
      </w:r>
    </w:p>
    <w:p w14:paraId="5E91231A">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（一）项目基本情况。</w:t>
      </w:r>
    </w:p>
    <w:p w14:paraId="367B0496">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重大传染病防控补助资金用于监管场所艾滋病防治工作，对被监管人员开展艾滋病病毒抗体筛查检测，对艾滋病病毒感染者和病人进行治疗、管理，协助地方医疗卫生机构对艾滋病病毒感染者和病人进行流行病学调查和随访等工作，保障被监管人员的合法权利，实现监管场所安全管理。</w:t>
      </w:r>
    </w:p>
    <w:p w14:paraId="69C713BD">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（二）项目绩效目标。</w:t>
      </w:r>
    </w:p>
    <w:p w14:paraId="28CD1585">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攀枝花市公安监管场所开展艾滋病防治工作，保障被监管人员的合法权利，全面落实各项艾滋病和性病预防控制措施，提高发现率，扩大治疗覆盖面，提升治疗成功率，降低死亡率，降低新发感染，提高感染者和病人的生活质量。申报内容与具体实施相符，申报目标合理可行。</w:t>
      </w:r>
    </w:p>
    <w:p w14:paraId="3F53CBCB">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（三）项目自评步骤及方法。</w:t>
      </w:r>
    </w:p>
    <w:p w14:paraId="5C22D3CC">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严格按程序项目目标、进程、结果与成效进行评估，确保做到自评结果真实、准确、客观。</w:t>
      </w:r>
    </w:p>
    <w:p w14:paraId="25AB3E9B">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二、项目资金申报及使用情况</w:t>
      </w:r>
    </w:p>
    <w:p w14:paraId="6288B859">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（一）项目资金申报及批复情况。</w:t>
      </w:r>
    </w:p>
    <w:p w14:paraId="455E32E2">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项目原立项资金1.37万元，2025年批复资金1.37万元</w:t>
      </w:r>
      <w:r>
        <w:rPr>
          <w:rFonts w:eastAsia="仿宋_GB2312"/>
          <w:kern w:val="0"/>
          <w:sz w:val="32"/>
          <w:szCs w:val="32"/>
          <w:lang w:val="zh-CN"/>
        </w:rPr>
        <w:t>。</w:t>
      </w:r>
    </w:p>
    <w:p w14:paraId="7672EA04">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（二）资金计划、到位及使用情况。</w:t>
      </w:r>
    </w:p>
    <w:p w14:paraId="31B6F4E4">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202</w:t>
      </w:r>
      <w:r>
        <w:rPr>
          <w:rFonts w:hint="eastAsia" w:eastAsia="仿宋_GB2312"/>
          <w:kern w:val="0"/>
          <w:sz w:val="32"/>
          <w:szCs w:val="32"/>
        </w:rPr>
        <w:t>5</w:t>
      </w:r>
      <w:r>
        <w:rPr>
          <w:rFonts w:hint="eastAsia" w:eastAsia="仿宋_GB2312"/>
          <w:kern w:val="0"/>
          <w:sz w:val="32"/>
          <w:szCs w:val="32"/>
          <w:lang w:val="zh-CN"/>
        </w:rPr>
        <w:t>年重大传染病防控补助资金经费预算</w:t>
      </w:r>
      <w:r>
        <w:rPr>
          <w:rFonts w:hint="eastAsia" w:eastAsia="仿宋_GB2312"/>
          <w:kern w:val="0"/>
          <w:sz w:val="32"/>
          <w:szCs w:val="32"/>
        </w:rPr>
        <w:t>1.37</w:t>
      </w:r>
      <w:r>
        <w:rPr>
          <w:rFonts w:hint="eastAsia" w:eastAsia="仿宋_GB2312"/>
          <w:kern w:val="0"/>
          <w:sz w:val="32"/>
          <w:szCs w:val="32"/>
          <w:lang w:val="zh-CN"/>
        </w:rPr>
        <w:t>万元，中央资金安排</w:t>
      </w:r>
      <w:r>
        <w:rPr>
          <w:rFonts w:hint="eastAsia" w:eastAsia="仿宋_GB2312"/>
          <w:kern w:val="0"/>
          <w:sz w:val="32"/>
          <w:szCs w:val="32"/>
        </w:rPr>
        <w:t>1.37</w:t>
      </w:r>
      <w:r>
        <w:rPr>
          <w:rFonts w:hint="eastAsia" w:eastAsia="仿宋_GB2312"/>
          <w:kern w:val="0"/>
          <w:sz w:val="32"/>
          <w:szCs w:val="32"/>
          <w:lang w:val="zh-CN"/>
        </w:rPr>
        <w:t>万元，资金到位率100%，及时支付相关费用。0.1万元，严格落实监管场所被监管人员艾滋病防治工作，支付依据合法。</w:t>
      </w:r>
    </w:p>
    <w:p w14:paraId="7AA536D2">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（三）项目财务管理情况。</w:t>
      </w:r>
    </w:p>
    <w:p w14:paraId="06983262">
      <w:pPr>
        <w:adjustRightInd w:val="0"/>
        <w:snapToGrid w:val="0"/>
        <w:spacing w:line="560" w:lineRule="exact"/>
        <w:ind w:firstLine="720"/>
        <w:rPr>
          <w:rFonts w:eastAsia="仿宋_GB2312"/>
          <w:sz w:val="32"/>
          <w:szCs w:val="32"/>
          <w:lang w:val="zh-CN"/>
        </w:rPr>
      </w:pPr>
      <w:r>
        <w:rPr>
          <w:rFonts w:hint="eastAsia" w:eastAsia="仿宋_GB2312"/>
          <w:kern w:val="0"/>
          <w:sz w:val="32"/>
          <w:szCs w:val="32"/>
          <w:lang w:val="zh-CN"/>
        </w:rPr>
        <w:t>该项目实施单位财务管理制度健全，严格执行财务管理制度，使用规范，会计核算结果真实、准确。</w:t>
      </w:r>
    </w:p>
    <w:p w14:paraId="5BFDBAE7">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三、项目实施及管理情况</w:t>
      </w:r>
    </w:p>
    <w:p w14:paraId="108287C7">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（一）项目组织架构及实施流程。</w:t>
      </w:r>
    </w:p>
    <w:p w14:paraId="024AAF3D">
      <w:pPr>
        <w:adjustRightInd w:val="0"/>
        <w:snapToGrid w:val="0"/>
        <w:spacing w:line="560" w:lineRule="exact"/>
        <w:rPr>
          <w:rFonts w:eastAsia="仿宋_GB2312"/>
          <w:kern w:val="0"/>
          <w:sz w:val="32"/>
          <w:szCs w:val="32"/>
        </w:rPr>
      </w:pPr>
      <w:r>
        <w:rPr>
          <w:rFonts w:hint="eastAsia" w:eastAsia="仿宋_GB2312"/>
          <w:kern w:val="0"/>
          <w:sz w:val="32"/>
          <w:szCs w:val="32"/>
        </w:rPr>
        <w:t xml:space="preserve"> 根据《攀枝花市财政局关于开展 2026年财政重点绩效评价工作的通知》（攀财绩〔2026〕2 号），由市财政投资评审中心组成项目评价组，按照前期准备、单位自评、现场评价和报告撰写四个阶段，以现场评价为主、非现场评价为辅，采用案卷研究、实地踏勘、问卷调查等多种方式，组织实施项目绩效评价工作。在收集项目文件资料、细化评价指标及评价标准的基础上，深入到部分项目点，实地查看项目申报、实施及运行情况，与相关利益群体座谈、面访，收集相关数据资料。通过汇总整理，结合项目主管部门绩效自评报告，定量和定性分析形成评价结论，经过复核和交换意见后，形成绩效评价报告。</w:t>
      </w:r>
    </w:p>
    <w:p w14:paraId="5394F5FC">
      <w:pPr>
        <w:adjustRightInd w:val="0"/>
        <w:snapToGrid w:val="0"/>
        <w:spacing w:line="560" w:lineRule="exact"/>
        <w:ind w:firstLine="72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（二）项目管理情况。</w:t>
      </w:r>
    </w:p>
    <w:p w14:paraId="33969D94">
      <w:pPr>
        <w:adjustRightInd w:val="0"/>
        <w:snapToGrid w:val="0"/>
        <w:spacing w:line="560" w:lineRule="exact"/>
        <w:ind w:firstLine="720"/>
        <w:rPr>
          <w:rFonts w:eastAsia="楷体_GB2312"/>
          <w:b/>
          <w:sz w:val="32"/>
          <w:szCs w:val="32"/>
          <w:lang w:val="zh-CN"/>
        </w:rPr>
      </w:pPr>
      <w:r>
        <w:rPr>
          <w:rFonts w:hint="eastAsia" w:eastAsia="仿宋_GB2312"/>
          <w:kern w:val="0"/>
          <w:sz w:val="32"/>
          <w:szCs w:val="32"/>
          <w:lang w:val="zh-CN"/>
        </w:rPr>
        <w:t>该项目严格按照攀枝花市公安局关于印发《攀枝花市公安局财务管理办法》的通知等文件要求开展政府采购、经费报销等流程。</w:t>
      </w:r>
    </w:p>
    <w:p w14:paraId="3839482A">
      <w:pPr>
        <w:adjustRightInd w:val="0"/>
        <w:snapToGrid w:val="0"/>
        <w:spacing w:line="560" w:lineRule="exact"/>
        <w:ind w:firstLine="72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（三）项目监管情况。</w:t>
      </w:r>
    </w:p>
    <w:p w14:paraId="797C1C36">
      <w:pPr>
        <w:adjustRightInd w:val="0"/>
        <w:snapToGrid w:val="0"/>
        <w:spacing w:line="560" w:lineRule="exact"/>
        <w:ind w:firstLine="720"/>
        <w:rPr>
          <w:rFonts w:eastAsia="仿宋_GB2312"/>
          <w:kern w:val="0"/>
          <w:sz w:val="32"/>
          <w:szCs w:val="32"/>
          <w:lang w:val="zh-CN"/>
        </w:rPr>
      </w:pPr>
      <w:r>
        <w:rPr>
          <w:rFonts w:eastAsia="仿宋_GB2312"/>
          <w:kern w:val="0"/>
          <w:sz w:val="32"/>
          <w:szCs w:val="32"/>
          <w:lang w:val="zh-CN"/>
        </w:rPr>
        <w:t>为规范资金管理，</w:t>
      </w:r>
      <w:r>
        <w:rPr>
          <w:rFonts w:hint="eastAsia" w:eastAsia="仿宋_GB2312"/>
          <w:kern w:val="0"/>
          <w:sz w:val="32"/>
          <w:szCs w:val="32"/>
          <w:lang w:val="zh-CN"/>
        </w:rPr>
        <w:t>攀枝花市公安局严格按照</w:t>
      </w:r>
      <w:r>
        <w:rPr>
          <w:rFonts w:eastAsia="仿宋_GB2312"/>
          <w:kern w:val="0"/>
          <w:sz w:val="32"/>
          <w:szCs w:val="32"/>
          <w:lang w:val="zh-CN"/>
        </w:rPr>
        <w:t>资金开支范围</w:t>
      </w:r>
      <w:r>
        <w:rPr>
          <w:rFonts w:hint="eastAsia" w:eastAsia="仿宋_GB2312"/>
          <w:kern w:val="0"/>
          <w:sz w:val="32"/>
          <w:szCs w:val="32"/>
          <w:lang w:val="zh-CN"/>
        </w:rPr>
        <w:t>实施项目，定期开展绩效监控，积极推动项目实施，配合市财政局并对该</w:t>
      </w:r>
      <w:r>
        <w:rPr>
          <w:rFonts w:eastAsia="仿宋_GB2312"/>
          <w:kern w:val="0"/>
          <w:sz w:val="32"/>
          <w:szCs w:val="32"/>
          <w:lang w:val="zh-CN"/>
        </w:rPr>
        <w:t>专项资金进行了监管</w:t>
      </w:r>
      <w:r>
        <w:rPr>
          <w:rFonts w:hint="eastAsia" w:eastAsia="仿宋_GB2312"/>
          <w:kern w:val="0"/>
          <w:sz w:val="32"/>
          <w:szCs w:val="32"/>
          <w:lang w:val="zh-CN"/>
        </w:rPr>
        <w:t>。</w:t>
      </w:r>
    </w:p>
    <w:p w14:paraId="159811DD">
      <w:pPr>
        <w:spacing w:line="560" w:lineRule="exact"/>
        <w:ind w:firstLine="641"/>
        <w:rPr>
          <w:rFonts w:ascii="黑体" w:hAnsi="黑体" w:eastAsia="黑体" w:cs="黑体"/>
          <w:kern w:val="0"/>
          <w:sz w:val="32"/>
          <w:szCs w:val="32"/>
          <w:lang w:val="zh-CN"/>
        </w:rPr>
      </w:pPr>
      <w:r>
        <w:rPr>
          <w:rFonts w:hint="eastAsia" w:ascii="黑体" w:hAnsi="黑体" w:eastAsia="黑体" w:cs="黑体"/>
          <w:kern w:val="0"/>
          <w:sz w:val="32"/>
          <w:szCs w:val="32"/>
        </w:rPr>
        <w:t>四、项目绩效情况</w:t>
      </w:r>
      <w:r>
        <w:rPr>
          <w:rFonts w:hint="eastAsia" w:ascii="黑体" w:hAnsi="黑体" w:eastAsia="黑体" w:cs="黑体"/>
          <w:kern w:val="0"/>
          <w:sz w:val="32"/>
          <w:szCs w:val="32"/>
          <w:lang w:val="zh-CN"/>
        </w:rPr>
        <w:tab/>
      </w:r>
    </w:p>
    <w:p w14:paraId="3B2EF3C1">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（一）项目完成情况。</w:t>
      </w:r>
    </w:p>
    <w:p w14:paraId="3AF0CF6F">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按照《监管场所艾滋病防治管理办法》的相关要求，2024年度被监管人员艾滋病患者或携带者共管理</w:t>
      </w:r>
      <w:r>
        <w:rPr>
          <w:rFonts w:hint="eastAsia" w:eastAsia="仿宋_GB2312"/>
          <w:kern w:val="0"/>
          <w:sz w:val="32"/>
          <w:szCs w:val="32"/>
        </w:rPr>
        <w:t>13</w:t>
      </w:r>
      <w:r>
        <w:rPr>
          <w:rFonts w:hint="eastAsia" w:eastAsia="仿宋_GB2312"/>
          <w:kern w:val="0"/>
          <w:sz w:val="32"/>
          <w:szCs w:val="32"/>
          <w:lang w:val="zh-CN"/>
        </w:rPr>
        <w:t>人，严格按照相关规定和标准，做好预算，开展防治工作，保护被监管人员的身体健康，维护监管场所安全。根据经费使用原则，全年使用经费合计</w:t>
      </w:r>
      <w:r>
        <w:rPr>
          <w:rFonts w:hint="eastAsia" w:eastAsia="仿宋_GB2312"/>
          <w:kern w:val="0"/>
          <w:sz w:val="32"/>
          <w:szCs w:val="32"/>
        </w:rPr>
        <w:t>0.1</w:t>
      </w:r>
      <w:r>
        <w:rPr>
          <w:rFonts w:hint="eastAsia" w:eastAsia="仿宋_GB2312"/>
          <w:kern w:val="0"/>
          <w:sz w:val="32"/>
          <w:szCs w:val="32"/>
          <w:lang w:val="zh-CN"/>
        </w:rPr>
        <w:t>万元。</w:t>
      </w:r>
    </w:p>
    <w:p w14:paraId="4D24A6B1">
      <w:pPr>
        <w:adjustRightInd w:val="0"/>
        <w:snapToGrid w:val="0"/>
        <w:spacing w:line="560" w:lineRule="exact"/>
        <w:ind w:firstLine="720"/>
        <w:rPr>
          <w:rFonts w:eastAsia="楷体_GB2312"/>
          <w:b/>
          <w:sz w:val="32"/>
          <w:szCs w:val="32"/>
          <w:lang w:val="zh-CN"/>
        </w:rPr>
      </w:pPr>
      <w:r>
        <w:rPr>
          <w:rFonts w:hint="eastAsia" w:ascii="楷体_GB2312" w:hAnsi="楷体_GB2312" w:eastAsia="楷体_GB2312" w:cs="楷体_GB2312"/>
          <w:kern w:val="0"/>
          <w:sz w:val="32"/>
          <w:szCs w:val="32"/>
          <w:lang w:val="zh-CN"/>
        </w:rPr>
        <w:t>（二）项目效益情况。</w:t>
      </w:r>
    </w:p>
    <w:p w14:paraId="0F67592F">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通过对被监管人员开展艾滋病病毒抗体筛查检测，对艾滋病病毒感染者和病人进行治疗、管理，协助地方医疗卫生机构对艾滋病病毒感染者和病人进行流行病学调查和随访等工作，保障被监管人员的合法权利，实现监管场所安全管理。</w:t>
      </w:r>
    </w:p>
    <w:p w14:paraId="2C52A3B7">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五、评价结论及建议</w:t>
      </w:r>
    </w:p>
    <w:p w14:paraId="24E4F6EB">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（一）评价结论。</w:t>
      </w:r>
    </w:p>
    <w:p w14:paraId="1FE8441F">
      <w:pPr>
        <w:adjustRightInd w:val="0"/>
        <w:snapToGrid w:val="0"/>
        <w:spacing w:line="560" w:lineRule="exact"/>
        <w:ind w:firstLine="640" w:firstLineChars="200"/>
        <w:rPr>
          <w:rFonts w:eastAsia="仿宋_GB2312"/>
          <w:sz w:val="32"/>
          <w:szCs w:val="32"/>
          <w:bdr w:val="single" w:color="auto" w:sz="4" w:space="0"/>
          <w:lang w:val="zh-CN"/>
        </w:rPr>
      </w:pPr>
      <w:r>
        <w:rPr>
          <w:rFonts w:hint="eastAsia" w:eastAsia="仿宋_GB2312"/>
          <w:kern w:val="0"/>
          <w:sz w:val="32"/>
          <w:szCs w:val="32"/>
          <w:lang w:val="zh-CN"/>
        </w:rPr>
        <w:t>通过项目的实施，达到了项目的预期目标，保障了被监管人员的合法权利，对拘戒人员进行有效管控，维护社会稳定。</w:t>
      </w:r>
    </w:p>
    <w:p w14:paraId="1ED17DD2">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（二）存在的问题。</w:t>
      </w:r>
    </w:p>
    <w:p w14:paraId="2ED43D97">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无</w:t>
      </w:r>
      <w:r>
        <w:rPr>
          <w:rFonts w:eastAsia="仿宋_GB2312"/>
          <w:kern w:val="0"/>
          <w:sz w:val="32"/>
          <w:szCs w:val="32"/>
          <w:lang w:val="zh-CN"/>
        </w:rPr>
        <w:t>。</w:t>
      </w:r>
      <w:r>
        <w:rPr>
          <w:rFonts w:eastAsia="仿宋_GB2312"/>
          <w:kern w:val="0"/>
          <w:sz w:val="32"/>
          <w:szCs w:val="32"/>
          <w:lang w:val="zh-CN"/>
        </w:rPr>
        <w:tab/>
      </w:r>
    </w:p>
    <w:p w14:paraId="2F364E94">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（三）相关建议。</w:t>
      </w:r>
    </w:p>
    <w:p w14:paraId="6E8A624E">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无</w:t>
      </w:r>
      <w:r>
        <w:rPr>
          <w:rFonts w:eastAsia="仿宋_GB2312"/>
          <w:kern w:val="0"/>
          <w:sz w:val="32"/>
          <w:szCs w:val="32"/>
          <w:lang w:val="zh-CN"/>
        </w:rPr>
        <w:t>。</w:t>
      </w:r>
    </w:p>
    <w:p w14:paraId="6AA5441D">
      <w:pPr>
        <w:spacing w:line="560" w:lineRule="exact"/>
        <w:rPr>
          <w:rFonts w:eastAsia="仿宋_GB2312"/>
          <w:sz w:val="32"/>
          <w:szCs w:val="32"/>
          <w:highlight w:val="yellow"/>
        </w:rPr>
      </w:pPr>
    </w:p>
    <w:p w14:paraId="595AA130">
      <w:pPr>
        <w:spacing w:line="578" w:lineRule="exact"/>
        <w:ind w:firstLine="640"/>
        <w:rPr>
          <w:rFonts w:eastAsia="仿宋_GB2312" w:cs="仿宋_GB2312"/>
          <w:kern w:val="0"/>
          <w:sz w:val="32"/>
          <w:szCs w:val="32"/>
          <w:highlight w:val="yellow"/>
        </w:rPr>
      </w:pPr>
      <w:r>
        <w:rPr>
          <w:rFonts w:hint="eastAsia" w:eastAsia="仿宋_GB2312" w:cs="仿宋_GB2312"/>
          <w:kern w:val="0"/>
          <w:sz w:val="32"/>
          <w:szCs w:val="32"/>
        </w:rPr>
        <w:br w:type="page"/>
      </w:r>
    </w:p>
    <w:p w14:paraId="502C4EE1">
      <w:pPr>
        <w:widowControl/>
        <w:jc w:val="center"/>
        <w:rPr>
          <w:rFonts w:eastAsia="仿宋"/>
        </w:rPr>
      </w:pPr>
      <w:r>
        <w:rPr>
          <w:rFonts w:hint="eastAsia" w:eastAsia="黑体"/>
          <w:sz w:val="44"/>
          <w:szCs w:val="44"/>
        </w:rPr>
        <w:t>第</w:t>
      </w:r>
      <w:r>
        <w:rPr>
          <w:rStyle w:val="28"/>
          <w:rFonts w:hint="eastAsia" w:eastAsia="黑体"/>
          <w:b w:val="0"/>
        </w:rPr>
        <w:t>五部分 附表</w:t>
      </w:r>
      <w:bookmarkEnd w:id="46"/>
      <w:bookmarkEnd w:id="47"/>
      <w:bookmarkStart w:id="48" w:name="_Toc15396619"/>
    </w:p>
    <w:p w14:paraId="2B05C470">
      <w:pPr>
        <w:pStyle w:val="14"/>
        <w:adjustRightInd w:val="0"/>
        <w:snapToGrid w:val="0"/>
        <w:spacing w:line="560" w:lineRule="exact"/>
        <w:jc w:val="left"/>
        <w:rPr>
          <w:rFonts w:eastAsia="仿宋_GB2312" w:cs="仿宋_GB2312"/>
          <w:sz w:val="32"/>
          <w:szCs w:val="32"/>
        </w:rPr>
      </w:pPr>
    </w:p>
    <w:p w14:paraId="0382AEEC">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48"/>
    </w:p>
    <w:p w14:paraId="46ED85EB">
      <w:pPr>
        <w:pStyle w:val="14"/>
        <w:adjustRightInd w:val="0"/>
        <w:snapToGrid w:val="0"/>
        <w:spacing w:line="560" w:lineRule="exact"/>
        <w:jc w:val="left"/>
        <w:rPr>
          <w:rFonts w:eastAsia="仿宋_GB2312" w:cs="仿宋_GB2312"/>
          <w:sz w:val="32"/>
          <w:szCs w:val="32"/>
        </w:rPr>
      </w:pPr>
      <w:bookmarkStart w:id="49" w:name="_Toc15396620"/>
      <w:r>
        <w:rPr>
          <w:rFonts w:hint="eastAsia" w:eastAsia="仿宋_GB2312" w:cs="仿宋_GB2312"/>
          <w:sz w:val="32"/>
          <w:szCs w:val="32"/>
        </w:rPr>
        <w:t>二、收入决算表</w:t>
      </w:r>
      <w:bookmarkEnd w:id="49"/>
    </w:p>
    <w:p w14:paraId="6A95B767">
      <w:pPr>
        <w:pStyle w:val="14"/>
        <w:adjustRightInd w:val="0"/>
        <w:snapToGrid w:val="0"/>
        <w:spacing w:line="560" w:lineRule="exact"/>
        <w:jc w:val="left"/>
        <w:rPr>
          <w:rFonts w:eastAsia="仿宋_GB2312" w:cs="仿宋_GB2312"/>
          <w:sz w:val="32"/>
          <w:szCs w:val="32"/>
        </w:rPr>
      </w:pPr>
      <w:bookmarkStart w:id="50" w:name="_Toc15396621"/>
      <w:r>
        <w:rPr>
          <w:rFonts w:hint="eastAsia" w:eastAsia="仿宋_GB2312" w:cs="仿宋_GB2312"/>
          <w:sz w:val="32"/>
          <w:szCs w:val="32"/>
        </w:rPr>
        <w:t>三、支出决算表</w:t>
      </w:r>
      <w:bookmarkEnd w:id="50"/>
    </w:p>
    <w:p w14:paraId="34C2E731">
      <w:pPr>
        <w:pStyle w:val="14"/>
        <w:adjustRightInd w:val="0"/>
        <w:snapToGrid w:val="0"/>
        <w:spacing w:line="560" w:lineRule="exact"/>
        <w:jc w:val="left"/>
        <w:rPr>
          <w:rFonts w:eastAsia="仿宋_GB2312" w:cs="仿宋_GB2312"/>
          <w:sz w:val="32"/>
          <w:szCs w:val="32"/>
        </w:rPr>
      </w:pPr>
      <w:bookmarkStart w:id="51" w:name="_Toc15396622"/>
      <w:r>
        <w:rPr>
          <w:rFonts w:hint="eastAsia" w:eastAsia="仿宋_GB2312" w:cs="仿宋_GB2312"/>
          <w:sz w:val="32"/>
          <w:szCs w:val="32"/>
        </w:rPr>
        <w:t>四、财政拨款收入支出决算总表</w:t>
      </w:r>
      <w:bookmarkEnd w:id="51"/>
    </w:p>
    <w:p w14:paraId="557C4C25">
      <w:pPr>
        <w:pStyle w:val="14"/>
        <w:adjustRightInd w:val="0"/>
        <w:snapToGrid w:val="0"/>
        <w:spacing w:line="560" w:lineRule="exact"/>
        <w:jc w:val="left"/>
        <w:rPr>
          <w:rFonts w:eastAsia="仿宋_GB2312" w:cs="仿宋_GB2312"/>
          <w:sz w:val="32"/>
          <w:szCs w:val="32"/>
        </w:rPr>
      </w:pPr>
      <w:bookmarkStart w:id="52" w:name="_Toc15396623"/>
      <w:r>
        <w:rPr>
          <w:rFonts w:hint="eastAsia" w:eastAsia="仿宋_GB2312" w:cs="仿宋_GB2312"/>
          <w:sz w:val="32"/>
          <w:szCs w:val="32"/>
        </w:rPr>
        <w:t>五、财政拨款支出决算明细表</w:t>
      </w:r>
      <w:bookmarkEnd w:id="52"/>
      <w:bookmarkStart w:id="53" w:name="_Toc15396624"/>
    </w:p>
    <w:p w14:paraId="5CA12C61">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3"/>
    </w:p>
    <w:p w14:paraId="4A744B27">
      <w:pPr>
        <w:pStyle w:val="14"/>
        <w:adjustRightInd w:val="0"/>
        <w:snapToGrid w:val="0"/>
        <w:spacing w:line="560" w:lineRule="exact"/>
        <w:jc w:val="left"/>
        <w:rPr>
          <w:rFonts w:eastAsia="仿宋_GB2312" w:cs="仿宋_GB2312"/>
          <w:sz w:val="32"/>
          <w:szCs w:val="32"/>
        </w:rPr>
      </w:pPr>
      <w:bookmarkStart w:id="54" w:name="_Toc15396625"/>
      <w:r>
        <w:rPr>
          <w:rFonts w:hint="eastAsia" w:eastAsia="仿宋_GB2312" w:cs="仿宋_GB2312"/>
          <w:sz w:val="32"/>
          <w:szCs w:val="32"/>
        </w:rPr>
        <w:t>七、一般公共预算财政拨款支出决算明细表</w:t>
      </w:r>
      <w:bookmarkEnd w:id="54"/>
    </w:p>
    <w:p w14:paraId="358775B7">
      <w:pPr>
        <w:pStyle w:val="14"/>
        <w:adjustRightInd w:val="0"/>
        <w:snapToGrid w:val="0"/>
        <w:spacing w:line="560" w:lineRule="exact"/>
        <w:jc w:val="left"/>
        <w:rPr>
          <w:rFonts w:eastAsia="仿宋_GB2312" w:cs="仿宋_GB2312"/>
          <w:sz w:val="32"/>
          <w:szCs w:val="32"/>
        </w:rPr>
      </w:pPr>
      <w:bookmarkStart w:id="55" w:name="_Toc15396626"/>
      <w:r>
        <w:rPr>
          <w:rFonts w:hint="eastAsia" w:eastAsia="仿宋_GB2312" w:cs="仿宋_GB2312"/>
          <w:sz w:val="32"/>
          <w:szCs w:val="32"/>
        </w:rPr>
        <w:t>八、一般公共预算财政拨款基本支出决算表</w:t>
      </w:r>
      <w:bookmarkEnd w:id="55"/>
    </w:p>
    <w:p w14:paraId="3F089429">
      <w:pPr>
        <w:pStyle w:val="14"/>
        <w:adjustRightInd w:val="0"/>
        <w:snapToGrid w:val="0"/>
        <w:spacing w:line="560" w:lineRule="exact"/>
        <w:jc w:val="left"/>
        <w:rPr>
          <w:rFonts w:eastAsia="仿宋_GB2312" w:cs="仿宋_GB2312"/>
          <w:sz w:val="32"/>
          <w:szCs w:val="32"/>
        </w:rPr>
      </w:pPr>
      <w:bookmarkStart w:id="56" w:name="_Toc15396627"/>
      <w:r>
        <w:rPr>
          <w:rFonts w:hint="eastAsia" w:eastAsia="仿宋_GB2312" w:cs="仿宋_GB2312"/>
          <w:sz w:val="32"/>
          <w:szCs w:val="32"/>
        </w:rPr>
        <w:t>九、一般公共预算财政拨款项目支出决算表</w:t>
      </w:r>
      <w:bookmarkEnd w:id="56"/>
    </w:p>
    <w:p w14:paraId="7D64DF3F">
      <w:pPr>
        <w:pStyle w:val="14"/>
        <w:adjustRightInd w:val="0"/>
        <w:snapToGrid w:val="0"/>
        <w:spacing w:line="560" w:lineRule="exact"/>
        <w:jc w:val="left"/>
        <w:rPr>
          <w:rFonts w:eastAsia="仿宋_GB2312" w:cs="仿宋_GB2312"/>
          <w:sz w:val="32"/>
          <w:szCs w:val="32"/>
        </w:rPr>
      </w:pPr>
      <w:bookmarkStart w:id="57" w:name="_Toc15396628"/>
      <w:r>
        <w:rPr>
          <w:rFonts w:hint="eastAsia" w:eastAsia="仿宋_GB2312" w:cs="仿宋_GB2312"/>
          <w:sz w:val="32"/>
          <w:szCs w:val="32"/>
        </w:rPr>
        <w:t>十、</w:t>
      </w:r>
      <w:bookmarkEnd w:id="57"/>
      <w:r>
        <w:rPr>
          <w:rFonts w:hint="eastAsia" w:eastAsia="仿宋_GB2312" w:cs="仿宋_GB2312"/>
          <w:sz w:val="32"/>
          <w:szCs w:val="32"/>
        </w:rPr>
        <w:t>政府性基金预算财政拨款收入支出决算表</w:t>
      </w:r>
    </w:p>
    <w:p w14:paraId="0A9170A4">
      <w:pPr>
        <w:pStyle w:val="14"/>
        <w:adjustRightInd w:val="0"/>
        <w:snapToGrid w:val="0"/>
        <w:spacing w:line="560" w:lineRule="exact"/>
        <w:jc w:val="left"/>
        <w:rPr>
          <w:rFonts w:eastAsia="仿宋_GB2312" w:cs="仿宋_GB2312"/>
          <w:sz w:val="32"/>
          <w:szCs w:val="32"/>
        </w:rPr>
      </w:pPr>
      <w:bookmarkStart w:id="58" w:name="_Toc15396629"/>
      <w:r>
        <w:rPr>
          <w:rFonts w:hint="eastAsia" w:eastAsia="仿宋_GB2312" w:cs="仿宋_GB2312"/>
          <w:sz w:val="32"/>
          <w:szCs w:val="32"/>
        </w:rPr>
        <w:t>十一、</w:t>
      </w:r>
      <w:bookmarkEnd w:id="58"/>
      <w:r>
        <w:rPr>
          <w:rFonts w:hint="eastAsia" w:eastAsia="仿宋_GB2312" w:cs="仿宋_GB2312"/>
          <w:sz w:val="32"/>
          <w:szCs w:val="32"/>
        </w:rPr>
        <w:t>国有资本经营预算财政拨款收入支出决算表</w:t>
      </w:r>
    </w:p>
    <w:p w14:paraId="1CC2B2B2">
      <w:pPr>
        <w:pStyle w:val="14"/>
        <w:adjustRightInd w:val="0"/>
        <w:snapToGrid w:val="0"/>
        <w:spacing w:line="560" w:lineRule="exact"/>
        <w:jc w:val="left"/>
        <w:rPr>
          <w:rFonts w:eastAsia="仿宋_GB2312" w:cs="仿宋_GB2312"/>
          <w:sz w:val="32"/>
          <w:szCs w:val="32"/>
        </w:rPr>
      </w:pPr>
      <w:bookmarkStart w:id="59" w:name="_Toc15396630"/>
      <w:r>
        <w:rPr>
          <w:rFonts w:hint="eastAsia" w:eastAsia="仿宋_GB2312" w:cs="仿宋_GB2312"/>
          <w:sz w:val="32"/>
          <w:szCs w:val="32"/>
        </w:rPr>
        <w:t>十二、</w:t>
      </w:r>
      <w:bookmarkEnd w:id="59"/>
      <w:r>
        <w:rPr>
          <w:rFonts w:hint="eastAsia" w:eastAsia="仿宋_GB2312" w:cs="仿宋_GB2312"/>
          <w:sz w:val="32"/>
          <w:szCs w:val="32"/>
        </w:rPr>
        <w:t>国有资本经营预算财政拨款支出决算表</w:t>
      </w:r>
    </w:p>
    <w:p w14:paraId="59803D0C">
      <w:pPr>
        <w:pStyle w:val="14"/>
        <w:adjustRightInd w:val="0"/>
        <w:snapToGrid w:val="0"/>
        <w:spacing w:line="560" w:lineRule="exact"/>
        <w:jc w:val="left"/>
        <w:rPr>
          <w:rFonts w:eastAsia="仿宋_GB2312" w:cs="仿宋_GB2312"/>
          <w:sz w:val="32"/>
          <w:szCs w:val="32"/>
        </w:rPr>
      </w:pPr>
      <w:bookmarkStart w:id="60" w:name="_Toc15396631"/>
      <w:r>
        <w:rPr>
          <w:rFonts w:hint="eastAsia" w:eastAsia="仿宋_GB2312" w:cs="仿宋_GB2312"/>
          <w:sz w:val="32"/>
          <w:szCs w:val="32"/>
        </w:rPr>
        <w:t>十三、</w:t>
      </w:r>
      <w:bookmarkEnd w:id="60"/>
      <w:r>
        <w:rPr>
          <w:rFonts w:hint="eastAsia" w:eastAsia="仿宋_GB2312" w:cs="仿宋_GB2312"/>
          <w:sz w:val="32"/>
          <w:szCs w:val="32"/>
        </w:rPr>
        <w:t>财政拨款“三公”经费支出决算表</w:t>
      </w:r>
    </w:p>
    <w:p w14:paraId="103B6A45"/>
    <w:sectPr>
      <w:footerReference r:id="rId5"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2F58A">
    <w:pPr>
      <w:pStyle w:val="11"/>
      <w:jc w:val="center"/>
    </w:pPr>
  </w:p>
  <w:p w14:paraId="07D5B5E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2E491">
    <w:pPr>
      <w:pStyle w:val="11"/>
      <w:jc w:val="center"/>
    </w:pPr>
    <w: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4ABBBC86">
                <w:pPr>
                  <w:pStyle w:val="11"/>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asciiTheme="majorEastAsia" w:hAnsiTheme="majorEastAsia" w:eastAsiaTheme="majorEastAsia" w:cstheme="majorEastAsia"/>
                    <w:sz w:val="28"/>
                    <w:szCs w:val="28"/>
                  </w:rPr>
                  <w:t>- 59 -</w:t>
                </w:r>
                <w:r>
                  <w:rPr>
                    <w:rFonts w:hint="eastAsia" w:asciiTheme="majorEastAsia" w:hAnsiTheme="majorEastAsia" w:eastAsiaTheme="majorEastAsia" w:cstheme="majorEastAsia"/>
                    <w:sz w:val="28"/>
                    <w:szCs w:val="28"/>
                  </w:rPr>
                  <w:fldChar w:fldCharType="end"/>
                </w:r>
              </w:p>
            </w:txbxContent>
          </v:textbox>
        </v:shape>
      </w:pict>
    </w:r>
  </w:p>
  <w:p w14:paraId="6B44B1A4">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63375">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0974DF"/>
    <w:multiLevelType w:val="singleLevel"/>
    <w:tmpl w:val="C70974DF"/>
    <w:lvl w:ilvl="0" w:tentative="0">
      <w:start w:val="1"/>
      <w:numFmt w:val="decimal"/>
      <w:suff w:val="space"/>
      <w:lvlText w:val="%1."/>
      <w:lvlJc w:val="left"/>
    </w:lvl>
  </w:abstractNum>
  <w:abstractNum w:abstractNumId="1">
    <w:nsid w:val="0FF7E4CF"/>
    <w:multiLevelType w:val="singleLevel"/>
    <w:tmpl w:val="0FF7E4CF"/>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F1361C"/>
    <w:rsid w:val="000222C6"/>
    <w:rsid w:val="0002549F"/>
    <w:rsid w:val="00036A32"/>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35E7"/>
    <w:rsid w:val="00144D6A"/>
    <w:rsid w:val="0014729F"/>
    <w:rsid w:val="00157BAB"/>
    <w:rsid w:val="001654D1"/>
    <w:rsid w:val="00174518"/>
    <w:rsid w:val="0018106D"/>
    <w:rsid w:val="001877A7"/>
    <w:rsid w:val="00191536"/>
    <w:rsid w:val="00196687"/>
    <w:rsid w:val="001A2B7C"/>
    <w:rsid w:val="001C0962"/>
    <w:rsid w:val="001D7531"/>
    <w:rsid w:val="001E737D"/>
    <w:rsid w:val="001F0592"/>
    <w:rsid w:val="001F7506"/>
    <w:rsid w:val="002006CD"/>
    <w:rsid w:val="00202B36"/>
    <w:rsid w:val="00204740"/>
    <w:rsid w:val="00204B7A"/>
    <w:rsid w:val="00204CDE"/>
    <w:rsid w:val="0021101A"/>
    <w:rsid w:val="00220536"/>
    <w:rsid w:val="00235629"/>
    <w:rsid w:val="00255B53"/>
    <w:rsid w:val="00260C38"/>
    <w:rsid w:val="002616C0"/>
    <w:rsid w:val="00265372"/>
    <w:rsid w:val="002662AA"/>
    <w:rsid w:val="00280496"/>
    <w:rsid w:val="002826A3"/>
    <w:rsid w:val="00294DC9"/>
    <w:rsid w:val="00295495"/>
    <w:rsid w:val="002A31DE"/>
    <w:rsid w:val="002B2613"/>
    <w:rsid w:val="002D6D05"/>
    <w:rsid w:val="002F1818"/>
    <w:rsid w:val="002F567B"/>
    <w:rsid w:val="003216A9"/>
    <w:rsid w:val="00335A74"/>
    <w:rsid w:val="003568CB"/>
    <w:rsid w:val="0036561B"/>
    <w:rsid w:val="0037013F"/>
    <w:rsid w:val="00380C92"/>
    <w:rsid w:val="003979C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6E7A"/>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2633"/>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4396"/>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132C8"/>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E6DBC"/>
    <w:rsid w:val="009F1185"/>
    <w:rsid w:val="009F18CD"/>
    <w:rsid w:val="009F2A13"/>
    <w:rsid w:val="009F7527"/>
    <w:rsid w:val="00A04EB0"/>
    <w:rsid w:val="00A04EBA"/>
    <w:rsid w:val="00A13CC1"/>
    <w:rsid w:val="00A16847"/>
    <w:rsid w:val="00A237D8"/>
    <w:rsid w:val="00A268C4"/>
    <w:rsid w:val="00A307CD"/>
    <w:rsid w:val="00A331C8"/>
    <w:rsid w:val="00A40A00"/>
    <w:rsid w:val="00A4142F"/>
    <w:rsid w:val="00A422EB"/>
    <w:rsid w:val="00A45BB7"/>
    <w:rsid w:val="00A56DF2"/>
    <w:rsid w:val="00A56E6E"/>
    <w:rsid w:val="00A67AB5"/>
    <w:rsid w:val="00A70DA0"/>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0C76"/>
    <w:rsid w:val="00B14E76"/>
    <w:rsid w:val="00B161B8"/>
    <w:rsid w:val="00B2048C"/>
    <w:rsid w:val="00B310B9"/>
    <w:rsid w:val="00B35F3F"/>
    <w:rsid w:val="00B36CBB"/>
    <w:rsid w:val="00B425E0"/>
    <w:rsid w:val="00B440AA"/>
    <w:rsid w:val="00B44B70"/>
    <w:rsid w:val="00B46FF0"/>
    <w:rsid w:val="00B53C56"/>
    <w:rsid w:val="00B57DAF"/>
    <w:rsid w:val="00B77840"/>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27636"/>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B162EB"/>
    <w:rsid w:val="12E24EE2"/>
    <w:rsid w:val="13D50BC4"/>
    <w:rsid w:val="14203A3E"/>
    <w:rsid w:val="14B17F78"/>
    <w:rsid w:val="165E0673"/>
    <w:rsid w:val="16B831D5"/>
    <w:rsid w:val="16BB723D"/>
    <w:rsid w:val="17E50567"/>
    <w:rsid w:val="186504BB"/>
    <w:rsid w:val="19A445FC"/>
    <w:rsid w:val="19AB0853"/>
    <w:rsid w:val="1BE8440E"/>
    <w:rsid w:val="1D155CEE"/>
    <w:rsid w:val="1D1638FE"/>
    <w:rsid w:val="1E312DEB"/>
    <w:rsid w:val="1E740ACF"/>
    <w:rsid w:val="1FF35744"/>
    <w:rsid w:val="1FF6BC77"/>
    <w:rsid w:val="2186353C"/>
    <w:rsid w:val="23860B96"/>
    <w:rsid w:val="240371BF"/>
    <w:rsid w:val="244F3473"/>
    <w:rsid w:val="24C97D99"/>
    <w:rsid w:val="25A718F0"/>
    <w:rsid w:val="25BB59F6"/>
    <w:rsid w:val="260F557C"/>
    <w:rsid w:val="26970054"/>
    <w:rsid w:val="281408E2"/>
    <w:rsid w:val="28866861"/>
    <w:rsid w:val="297E41D8"/>
    <w:rsid w:val="29FD04D3"/>
    <w:rsid w:val="2BFF7BC6"/>
    <w:rsid w:val="2C8A61B5"/>
    <w:rsid w:val="2DF04E50"/>
    <w:rsid w:val="2E586DFA"/>
    <w:rsid w:val="2F040D46"/>
    <w:rsid w:val="2F6B035B"/>
    <w:rsid w:val="2FAE5751"/>
    <w:rsid w:val="2FB1A395"/>
    <w:rsid w:val="2FD9A7D8"/>
    <w:rsid w:val="2FDBF714"/>
    <w:rsid w:val="30AB6865"/>
    <w:rsid w:val="31046377"/>
    <w:rsid w:val="31820D8B"/>
    <w:rsid w:val="319F7F4E"/>
    <w:rsid w:val="32BD1EF1"/>
    <w:rsid w:val="3304709D"/>
    <w:rsid w:val="33A773CB"/>
    <w:rsid w:val="349D6851"/>
    <w:rsid w:val="36AA5135"/>
    <w:rsid w:val="36BE0DA7"/>
    <w:rsid w:val="376B6AA6"/>
    <w:rsid w:val="376D39B2"/>
    <w:rsid w:val="37E16F03"/>
    <w:rsid w:val="37F53A3B"/>
    <w:rsid w:val="389B6C89"/>
    <w:rsid w:val="38D469F0"/>
    <w:rsid w:val="3907079C"/>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4E268DA"/>
    <w:rsid w:val="450D13D7"/>
    <w:rsid w:val="45506656"/>
    <w:rsid w:val="45C35744"/>
    <w:rsid w:val="47573204"/>
    <w:rsid w:val="486A6C7A"/>
    <w:rsid w:val="4A627F82"/>
    <w:rsid w:val="4B0E749A"/>
    <w:rsid w:val="4B2477C4"/>
    <w:rsid w:val="4B4F25DA"/>
    <w:rsid w:val="4BE068DB"/>
    <w:rsid w:val="4D577224"/>
    <w:rsid w:val="4DBF1CEB"/>
    <w:rsid w:val="4DF0007C"/>
    <w:rsid w:val="4DFC0575"/>
    <w:rsid w:val="4EAB630A"/>
    <w:rsid w:val="4ECE2238"/>
    <w:rsid w:val="4F833267"/>
    <w:rsid w:val="4FE9BD67"/>
    <w:rsid w:val="4FFB052F"/>
    <w:rsid w:val="537E6D0A"/>
    <w:rsid w:val="53F74C96"/>
    <w:rsid w:val="55170BA8"/>
    <w:rsid w:val="553218C9"/>
    <w:rsid w:val="567E1AA5"/>
    <w:rsid w:val="56E47B74"/>
    <w:rsid w:val="57175D52"/>
    <w:rsid w:val="57BD3DD4"/>
    <w:rsid w:val="5AF92295"/>
    <w:rsid w:val="5B250254"/>
    <w:rsid w:val="5BDD79E6"/>
    <w:rsid w:val="5BF561CA"/>
    <w:rsid w:val="5BFF5DFC"/>
    <w:rsid w:val="5CD71FC4"/>
    <w:rsid w:val="5D1F11B5"/>
    <w:rsid w:val="5D695134"/>
    <w:rsid w:val="5DAE1B18"/>
    <w:rsid w:val="5DE7D9E5"/>
    <w:rsid w:val="5EB53553"/>
    <w:rsid w:val="5ECEC941"/>
    <w:rsid w:val="5FBF9FF3"/>
    <w:rsid w:val="5FCD4E2C"/>
    <w:rsid w:val="5FEF394A"/>
    <w:rsid w:val="5FF67715"/>
    <w:rsid w:val="62BF3928"/>
    <w:rsid w:val="63B3701E"/>
    <w:rsid w:val="647F5392"/>
    <w:rsid w:val="65E66580"/>
    <w:rsid w:val="664B1D71"/>
    <w:rsid w:val="664B4E8E"/>
    <w:rsid w:val="67277B67"/>
    <w:rsid w:val="67AA3209"/>
    <w:rsid w:val="68051CDA"/>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8B1C6D"/>
    <w:rsid w:val="6FCE6052"/>
    <w:rsid w:val="6FD57C00"/>
    <w:rsid w:val="6FEFFFD8"/>
    <w:rsid w:val="6FF5CC65"/>
    <w:rsid w:val="6FFB47EC"/>
    <w:rsid w:val="6FFF034A"/>
    <w:rsid w:val="70484440"/>
    <w:rsid w:val="712A28F1"/>
    <w:rsid w:val="715C0E4B"/>
    <w:rsid w:val="717F5600"/>
    <w:rsid w:val="71992E7C"/>
    <w:rsid w:val="72233669"/>
    <w:rsid w:val="72734D90"/>
    <w:rsid w:val="7287000D"/>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DDF75D6"/>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66E3F45"/>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7E2D8A"/>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[Book1]Sheet1!$G$14:$G$15</c:f>
              <c:strCache>
                <c:ptCount val="2"/>
                <c:pt idx="0">
                  <c:v>2024年</c:v>
                </c:pt>
                <c:pt idx="1">
                  <c:v>2025年</c:v>
                </c:pt>
              </c:strCache>
            </c:strRef>
          </c:cat>
          <c:val>
            <c:numRef>
              <c:f>[Book1]Sheet1!$H$14:$H$15</c:f>
              <c:numCache>
                <c:formatCode>General</c:formatCode>
                <c:ptCount val="2"/>
                <c:pt idx="0">
                  <c:v>61672.26</c:v>
                </c:pt>
                <c:pt idx="1">
                  <c:v>70926.83</c:v>
                </c:pt>
              </c:numCache>
            </c:numRef>
          </c:val>
        </c:ser>
        <c:dLbls>
          <c:showLegendKey val="0"/>
          <c:showVal val="1"/>
          <c:showCatName val="0"/>
          <c:showSerName val="0"/>
          <c:showPercent val="0"/>
          <c:showBubbleSize val="0"/>
        </c:dLbls>
        <c:gapWidth val="100"/>
        <c:overlap val="-24"/>
        <c:axId val="54483584"/>
        <c:axId val="54491392"/>
      </c:barChart>
      <c:catAx>
        <c:axId val="54483584"/>
        <c:scaling>
          <c:orientation val="minMax"/>
        </c:scaling>
        <c:delete val="0"/>
        <c:axPos val="b"/>
        <c:majorTickMark val="none"/>
        <c:minorTickMark val="none"/>
        <c:tickLblPos val="nextTo"/>
        <c:spPr>
          <a:noFill/>
          <a:ln w="12700"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491392"/>
        <c:crosses val="autoZero"/>
        <c:auto val="1"/>
        <c:lblAlgn val="ctr"/>
        <c:lblOffset val="100"/>
        <c:noMultiLvlLbl val="0"/>
      </c:catAx>
      <c:valAx>
        <c:axId val="5449139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483584"/>
        <c:crosses val="autoZero"/>
        <c:crossBetween val="between"/>
      </c:valAx>
      <c:spPr>
        <a:noFill/>
        <a:ln>
          <a:noFill/>
        </a:ln>
        <a:effectLst/>
      </c:spPr>
    </c:plotArea>
    <c:plotVisOnly val="1"/>
    <c:dispBlanksAs val="gap"/>
    <c:showDLblsOverMax val="0"/>
    <c:extLst>
      <c:ext uri="{0b15fc19-7d7d-44ad-8c2d-2c3a37ce22c3}">
        <chartProps xmlns="https://web.wps.cn/et/2018/main" chartId="{030b22f2-29b8-4c82-b473-70dcfaf65daa}"/>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Lbls>
            <c:dLbl>
              <c:idx val="0"/>
              <c:layout>
                <c:manualLayout>
                  <c:x val="-0.0384598369811524"/>
                  <c:y val="-0.0858570771504241"/>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t>8</a:t>
                    </a:r>
                    <a:r>
                      <a:rPr lang="en-US" altLang="zh-CN"/>
                      <a:t>4.55</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369872174117428"/>
                  <c:y val="0.0201716160510228"/>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en-US" altLang="zh-CN">
                        <a:solidFill>
                          <a:sysClr val="windowText" lastClr="000000"/>
                        </a:solidFill>
                      </a:rPr>
                      <a:t>5.64</a:t>
                    </a:r>
                    <a:r>
                      <a:rPr>
                        <a:solidFill>
                          <a:sysClr val="windowText" lastClr="000000"/>
                        </a:solidFill>
                      </a:rPr>
                      <a:t>%</a:t>
                    </a:r>
                    <a:endParaRPr>
                      <a:solidFill>
                        <a:sysClr val="windowText" lastClr="000000"/>
                      </a:solidFill>
                    </a:endParaRP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323158049238169"/>
                  <c:y val="0.0131922855742584"/>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a:solidFill>
                          <a:sysClr val="windowText" lastClr="000000"/>
                        </a:solidFill>
                      </a:rPr>
                      <a:t>9</a:t>
                    </a:r>
                    <a:r>
                      <a:rPr lang="en-US" altLang="zh-CN">
                        <a:solidFill>
                          <a:sysClr val="windowText" lastClr="000000"/>
                        </a:solidFill>
                      </a:rPr>
                      <a:t>.46</a:t>
                    </a:r>
                    <a:r>
                      <a:rPr>
                        <a:solidFill>
                          <a:sysClr val="windowText" lastClr="000000"/>
                        </a:solidFill>
                      </a:rPr>
                      <a:t>%</a:t>
                    </a:r>
                    <a:endParaRPr>
                      <a:solidFill>
                        <a:sysClr val="windowText" lastClr="000000"/>
                      </a:solidFill>
                    </a:endParaRPr>
                  </a:p>
                </c:rich>
              </c:tx>
              <c:dLblPos val="bestFit"/>
              <c:showLegendKey val="0"/>
              <c:showVal val="0"/>
              <c:showCatName val="0"/>
              <c:showSerName val="0"/>
              <c:showPercent val="1"/>
              <c:showBubbleSize val="0"/>
              <c:extLst>
                <c:ext xmlns:c15="http://schemas.microsoft.com/office/drawing/2012/chart" uri="{CE6537A1-D6FC-4f65-9D91-7224C49458BB}">
                  <c15:layout>
                    <c:manualLayout>
                      <c:w val="0.0843055555555555"/>
                      <c:h val="0.0662037037037037"/>
                    </c:manualLayout>
                  </c15:layout>
                </c:ext>
              </c:extLst>
            </c:dLbl>
            <c:dLbl>
              <c:idx val="3"/>
              <c:layout>
                <c:manualLayout>
                  <c:x val="-0.00553538976657867"/>
                  <c:y val="0.0132814075463861"/>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a:solidFill>
                          <a:sysClr val="windowText" lastClr="000000"/>
                        </a:solidFill>
                      </a:rPr>
                      <a:t>0</a:t>
                    </a:r>
                    <a:r>
                      <a:rPr lang="en-US" altLang="zh-CN">
                        <a:solidFill>
                          <a:sysClr val="windowText" lastClr="000000"/>
                        </a:solidFill>
                      </a:rPr>
                      <a:t>.35</a:t>
                    </a:r>
                    <a:r>
                      <a:rPr>
                        <a:solidFill>
                          <a:sysClr val="windowText" lastClr="000000"/>
                        </a:solidFill>
                      </a:rPr>
                      <a:t>%</a:t>
                    </a:r>
                    <a:endParaRPr>
                      <a:solidFill>
                        <a:sysClr val="windowText" lastClr="000000"/>
                      </a:solidFill>
                    </a:endParaRPr>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[Book1]Sheet1!$D$38:$D$41</c:f>
              <c:strCache>
                <c:ptCount val="4"/>
                <c:pt idx="0">
                  <c:v>一般公共预算财政拨款收入</c:v>
                </c:pt>
                <c:pt idx="1">
                  <c:v>政府性基金预算财政拨款收入</c:v>
                </c:pt>
                <c:pt idx="2">
                  <c:v>其他收入</c:v>
                </c:pt>
                <c:pt idx="3">
                  <c:v>年初结转和结余</c:v>
                </c:pt>
              </c:strCache>
            </c:strRef>
          </c:cat>
          <c:val>
            <c:numRef>
              <c:f>[Book1]Sheet1!$E$38:$E$41</c:f>
              <c:numCache>
                <c:formatCode>General</c:formatCode>
                <c:ptCount val="4"/>
                <c:pt idx="0">
                  <c:v>59966.22</c:v>
                </c:pt>
                <c:pt idx="1">
                  <c:v>4000</c:v>
                </c:pt>
                <c:pt idx="2">
                  <c:v>6712.39</c:v>
                </c:pt>
                <c:pt idx="3">
                  <c:v>248.22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c2a84153-9560-4868-832f-dddbad9b8287}"/>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spPr>
              <a:solidFill>
                <a:schemeClr val="accent1"/>
              </a:solidFill>
              <a:ln>
                <a:noFill/>
              </a:ln>
              <a:effectLst/>
            </c:spPr>
          </c:dPt>
          <c:dPt>
            <c:idx val="1"/>
            <c:bubble3D val="0"/>
            <c:spPr>
              <a:solidFill>
                <a:schemeClr val="accent2"/>
              </a:solidFill>
              <a:ln>
                <a:noFill/>
              </a:ln>
              <a:effectLst/>
            </c:spPr>
          </c:dPt>
          <c:dLbls>
            <c:dLbl>
              <c:idx val="0"/>
              <c:layout>
                <c:manualLayout>
                  <c:x val="-0.0565355608778798"/>
                  <c:y val="-0.0723585808642118"/>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t>77</a:t>
                    </a:r>
                    <a:r>
                      <a:rPr lang="en-US" altLang="zh-CN"/>
                      <a:t>.17</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877855561322511"/>
                  <c:y val="0.134858585851974"/>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t>2</a:t>
                    </a:r>
                    <a:r>
                      <a:rPr lang="en-US" altLang="zh-CN"/>
                      <a:t>2.83</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[Book1]Sheet1!$D$46:$D$47</c:f>
              <c:strCache>
                <c:ptCount val="2"/>
                <c:pt idx="0">
                  <c:v>基本支出</c:v>
                </c:pt>
                <c:pt idx="1">
                  <c:v>项目支出</c:v>
                </c:pt>
              </c:strCache>
            </c:strRef>
          </c:cat>
          <c:val>
            <c:numRef>
              <c:f>[Book1]Sheet1!$E$46:$E$47</c:f>
              <c:numCache>
                <c:formatCode>General</c:formatCode>
                <c:ptCount val="2"/>
                <c:pt idx="0">
                  <c:v>54579.91</c:v>
                </c:pt>
                <c:pt idx="1">
                  <c:v>16146.81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498ae8d6-4fc9-47c9-bb90-6b921844e0e2}"/>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[Book1]Sheet1!$D$68:$D$69</c:f>
              <c:strCache>
                <c:ptCount val="2"/>
                <c:pt idx="0">
                  <c:v>2024年</c:v>
                </c:pt>
                <c:pt idx="1">
                  <c:v>2025年</c:v>
                </c:pt>
              </c:strCache>
            </c:strRef>
          </c:cat>
          <c:val>
            <c:numRef>
              <c:f>[Book1]Sheet1!$E$68:$E$69</c:f>
              <c:numCache>
                <c:formatCode>General</c:formatCode>
                <c:ptCount val="2"/>
                <c:pt idx="0">
                  <c:v>58984.18</c:v>
                </c:pt>
                <c:pt idx="1">
                  <c:v>63966.22</c:v>
                </c:pt>
              </c:numCache>
            </c:numRef>
          </c:val>
        </c:ser>
        <c:dLbls>
          <c:showLegendKey val="0"/>
          <c:showVal val="1"/>
          <c:showCatName val="0"/>
          <c:showSerName val="0"/>
          <c:showPercent val="0"/>
          <c:showBubbleSize val="0"/>
        </c:dLbls>
        <c:gapWidth val="219"/>
        <c:overlap val="-27"/>
        <c:axId val="160413952"/>
        <c:axId val="160420992"/>
      </c:barChart>
      <c:catAx>
        <c:axId val="160413952"/>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0420992"/>
        <c:crosses val="autoZero"/>
        <c:auto val="1"/>
        <c:lblAlgn val="ctr"/>
        <c:lblOffset val="100"/>
        <c:noMultiLvlLbl val="0"/>
      </c:catAx>
      <c:valAx>
        <c:axId val="16042099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0413952"/>
        <c:crosses val="autoZero"/>
        <c:crossBetween val="between"/>
      </c:valAx>
      <c:spPr>
        <a:noFill/>
        <a:ln>
          <a:noFill/>
        </a:ln>
        <a:effectLst/>
      </c:spPr>
    </c:plotArea>
    <c:plotVisOnly val="1"/>
    <c:dispBlanksAs val="gap"/>
    <c:showDLblsOverMax val="0"/>
    <c:extLst>
      <c:ext uri="{0b15fc19-7d7d-44ad-8c2d-2c3a37ce22c3}">
        <chartProps xmlns="https://web.wps.cn/et/2018/main" chartId="{d94c7773-575c-4c6c-9a70-04024b3c3f9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[Book1]Sheet1!$D$77:$D$78</c:f>
              <c:strCache>
                <c:ptCount val="2"/>
                <c:pt idx="0">
                  <c:v>2024年</c:v>
                </c:pt>
                <c:pt idx="1">
                  <c:v>2025年</c:v>
                </c:pt>
              </c:strCache>
            </c:strRef>
          </c:cat>
          <c:val>
            <c:numRef>
              <c:f>[Book1]Sheet1!$E$77:$E$78</c:f>
              <c:numCache>
                <c:formatCode>General</c:formatCode>
                <c:ptCount val="2"/>
                <c:pt idx="0">
                  <c:v>58885.18</c:v>
                </c:pt>
                <c:pt idx="1">
                  <c:v>59966.22</c:v>
                </c:pt>
              </c:numCache>
            </c:numRef>
          </c:val>
        </c:ser>
        <c:dLbls>
          <c:showLegendKey val="0"/>
          <c:showVal val="1"/>
          <c:showCatName val="0"/>
          <c:showSerName val="0"/>
          <c:showPercent val="0"/>
          <c:showBubbleSize val="0"/>
        </c:dLbls>
        <c:gapWidth val="219"/>
        <c:overlap val="-27"/>
        <c:axId val="159883648"/>
        <c:axId val="159885184"/>
      </c:barChart>
      <c:catAx>
        <c:axId val="159883648"/>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9885184"/>
        <c:crosses val="autoZero"/>
        <c:auto val="1"/>
        <c:lblAlgn val="ctr"/>
        <c:lblOffset val="100"/>
        <c:noMultiLvlLbl val="0"/>
      </c:catAx>
      <c:valAx>
        <c:axId val="15988518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9883648"/>
        <c:crosses val="autoZero"/>
        <c:crossBetween val="between"/>
      </c:valAx>
      <c:spPr>
        <a:noFill/>
        <a:ln>
          <a:noFill/>
        </a:ln>
        <a:effectLst/>
      </c:spPr>
    </c:plotArea>
    <c:plotVisOnly val="1"/>
    <c:dispBlanksAs val="gap"/>
    <c:showDLblsOverMax val="0"/>
    <c:extLst>
      <c:ext uri="{0b15fc19-7d7d-44ad-8c2d-2c3a37ce22c3}">
        <chartProps xmlns="https://web.wps.cn/et/2018/main" chartId="{f0470c8a-c585-4d4a-9fd0-913fb3bce7af}"/>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Pt>
            <c:idx val="4"/>
            <c:bubble3D val="0"/>
            <c:spPr>
              <a:solidFill>
                <a:schemeClr val="accent5"/>
              </a:solidFill>
              <a:ln>
                <a:noFill/>
              </a:ln>
              <a:effectLst/>
            </c:spPr>
          </c:dPt>
          <c:dLbls>
            <c:dLbl>
              <c:idx val="0"/>
              <c:layout>
                <c:manualLayout>
                  <c:x val="0.0183255550957388"/>
                  <c:y val="0.104106481060148"/>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en-US" altLang="zh-CN"/>
                      <a:t>0.69</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t>7</a:t>
                    </a:r>
                    <a:r>
                      <a:rPr lang="en-US" altLang="zh-CN"/>
                      <a:t>6.7</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t>13</a:t>
                    </a:r>
                    <a:r>
                      <a:rPr lang="en-US" altLang="zh-CN"/>
                      <a:t>.62</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en-US" altLang="zh-CN"/>
                      <a:t>3.8</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4"/>
              <c:layout>
                <c:manualLayout>
                  <c:x val="0.0197010458585835"/>
                  <c:y val="0.0672678491870734"/>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t>5</a:t>
                    </a:r>
                    <a:r>
                      <a:rPr lang="en-US" altLang="zh-CN"/>
                      <a:t>.19</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[Book1]Sheet1!$D$103:$D$107</c:f>
              <c:strCache>
                <c:ptCount val="5"/>
                <c:pt idx="0">
                  <c:v>一般公共服务支出</c:v>
                </c:pt>
                <c:pt idx="1">
                  <c:v>公共安全支出</c:v>
                </c:pt>
                <c:pt idx="2">
                  <c:v>社会保障和就业支出</c:v>
                </c:pt>
                <c:pt idx="3">
                  <c:v>卫生健康支出</c:v>
                </c:pt>
                <c:pt idx="4">
                  <c:v>住房保障支出</c:v>
                </c:pt>
              </c:strCache>
            </c:strRef>
          </c:cat>
          <c:val>
            <c:numRef>
              <c:f>[Book1]Sheet1!$E$103:$E$107</c:f>
              <c:numCache>
                <c:formatCode>General</c:formatCode>
                <c:ptCount val="5"/>
                <c:pt idx="0">
                  <c:v>416.16</c:v>
                </c:pt>
                <c:pt idx="1">
                  <c:v>45992.3</c:v>
                </c:pt>
                <c:pt idx="2">
                  <c:v>8165.7</c:v>
                </c:pt>
                <c:pt idx="3">
                  <c:v>2278.92</c:v>
                </c:pt>
                <c:pt idx="4">
                  <c:v>3113.14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48b92aba-216a-42ac-8fb0-2d9c5500103d}"/>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dLbl>
              <c:idx val="0"/>
              <c:layout>
                <c:manualLayout>
                  <c:x val="0.0833331123026654"/>
                  <c:y val="0.209714120369867"/>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en-US" altLang="zh-CN"/>
                      <a:t>99.76</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2"/>
              <c:layout>
                <c:manualLayout>
                  <c:x val="-0.0117375407053601"/>
                  <c:y val="0.112489106773294"/>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t>0</a:t>
                    </a:r>
                    <a:r>
                      <a:rPr lang="en-US" altLang="zh-CN"/>
                      <a:t>.24</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[Book1]Sheet1!$D$131:$D$133</c:f>
              <c:strCache>
                <c:ptCount val="3"/>
                <c:pt idx="0">
                  <c:v>因公出国（境）费支出</c:v>
                </c:pt>
                <c:pt idx="1">
                  <c:v>公务用车购置及运行维护费</c:v>
                </c:pt>
                <c:pt idx="2">
                  <c:v>公务接待费支出</c:v>
                </c:pt>
              </c:strCache>
            </c:strRef>
          </c:cat>
          <c:val>
            <c:numRef>
              <c:f>[Book1]Sheet1!$E$131:$E$133</c:f>
              <c:numCache>
                <c:formatCode>General</c:formatCode>
                <c:ptCount val="3"/>
                <c:pt idx="0">
                  <c:v>0</c:v>
                </c:pt>
                <c:pt idx="1">
                  <c:v>470.4</c:v>
                </c:pt>
                <c:pt idx="2">
                  <c:v>1.11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c81c2eeb-e10a-4971-863a-cc039c25674b}"/>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64</Pages>
  <Words>3860</Words>
  <Characters>22005</Characters>
  <Lines>183</Lines>
  <Paragraphs>51</Paragraphs>
  <TotalTime>61</TotalTime>
  <ScaleCrop>false</ScaleCrop>
  <LinksUpToDate>false</LinksUpToDate>
  <CharactersWithSpaces>25814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2025-09-04T15:55:00Z</dcterms:created>
  <dc:creator>曹颖</dc:creator>
  <cp:lastModifiedBy>XCK</cp:lastModifiedBy>
  <cp:lastPrinted>2025-09-15T11:26:00Z</cp:lastPrinted>
  <dcterms:modified xsi:type="dcterms:W3CDTF">2026-09-30T15:35:00Z</dcterms:modified>
  <dc:title>四川省***</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04787F2533EB45DC91BCDE4AB213247F</vt:lpwstr>
  </property>
</Properties>
</file>