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C9C70">
      <w:pPr>
        <w:pStyle w:val="6"/>
        <w:spacing w:before="93"/>
        <w:rPr>
          <w:rFonts w:hint="eastAsia" w:ascii="Times New Roman" w:eastAsia="方正小标宋简体"/>
          <w:kern w:val="2"/>
          <w:sz w:val="72"/>
          <w:szCs w:val="72"/>
        </w:rPr>
      </w:pPr>
      <w:bookmarkStart w:id="0" w:name="_Toc15377193"/>
      <w:bookmarkStart w:id="1" w:name="_Toc15378441"/>
      <w:bookmarkStart w:id="2" w:name="_Toc15377425"/>
      <w:bookmarkStart w:id="3" w:name="_Toc15396475"/>
      <w:bookmarkStart w:id="4" w:name="_Toc15396597"/>
      <w:bookmarkStart w:id="5" w:name="_Toc15306267"/>
    </w:p>
    <w:p w14:paraId="669F3718">
      <w:pPr>
        <w:pStyle w:val="6"/>
        <w:spacing w:before="93"/>
        <w:rPr>
          <w:rFonts w:ascii="Times New Roman" w:eastAsia="方正小标宋简体"/>
          <w:kern w:val="2"/>
          <w:sz w:val="72"/>
          <w:szCs w:val="72"/>
        </w:rPr>
      </w:pPr>
    </w:p>
    <w:p w14:paraId="1B05E8CF">
      <w:pPr>
        <w:pStyle w:val="6"/>
        <w:spacing w:before="93"/>
        <w:rPr>
          <w:rFonts w:hint="eastAsia" w:ascii="Times New Roman" w:eastAsia="方正小标宋简体"/>
          <w:kern w:val="2"/>
          <w:sz w:val="72"/>
          <w:szCs w:val="72"/>
        </w:rPr>
      </w:pPr>
    </w:p>
    <w:p w14:paraId="5E26FC5E">
      <w:pPr>
        <w:pStyle w:val="6"/>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p>
    <w:p w14:paraId="5CD0B080">
      <w:pPr>
        <w:pStyle w:val="6"/>
        <w:spacing w:before="93"/>
        <w:jc w:val="center"/>
        <w:rPr>
          <w:rFonts w:ascii="Times New Roman" w:eastAsia="方正小标宋简体"/>
          <w:kern w:val="2"/>
          <w:sz w:val="44"/>
          <w:szCs w:val="44"/>
        </w:rPr>
      </w:pPr>
      <w:r>
        <w:rPr>
          <w:rFonts w:hint="eastAsia" w:ascii="Times New Roman" w:eastAsia="方正小标宋简体" w:cs="Times New Roman"/>
          <w:color w:val="auto"/>
          <w:kern w:val="2"/>
          <w:sz w:val="44"/>
          <w:szCs w:val="44"/>
          <w:highlight w:val="none"/>
          <w:lang w:val="en-US" w:eastAsia="zh-CN" w:bidi="ar-SA"/>
        </w:rPr>
        <w:t>攀枝花市公安局仁和区分局</w:t>
      </w:r>
      <w:r>
        <w:rPr>
          <w:rFonts w:hint="eastAsia" w:ascii="Times New Roman" w:eastAsia="方正小标宋简体"/>
          <w:kern w:val="2"/>
          <w:sz w:val="44"/>
          <w:szCs w:val="44"/>
        </w:rPr>
        <w:t>市级单位决算</w:t>
      </w:r>
    </w:p>
    <w:p w14:paraId="0D7DD20C">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14:paraId="5085E701">
      <w:pPr>
        <w:spacing w:line="600" w:lineRule="exact"/>
        <w:jc w:val="center"/>
        <w:outlineLvl w:val="0"/>
        <w:rPr>
          <w:rFonts w:eastAsia="方正小标宋简体"/>
          <w:sz w:val="72"/>
          <w:szCs w:val="72"/>
        </w:rPr>
      </w:pPr>
    </w:p>
    <w:p w14:paraId="58406BAB">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0E19B722"/>
    <w:p w14:paraId="0FA76A58">
      <w:pPr>
        <w:pStyle w:val="6"/>
        <w:spacing w:before="93"/>
        <w:jc w:val="center"/>
        <w:rPr>
          <w:rFonts w:ascii="Times New Roman" w:eastAsia="方正小标宋简体"/>
          <w:kern w:val="2"/>
          <w:sz w:val="44"/>
          <w:szCs w:val="44"/>
        </w:rPr>
      </w:pPr>
    </w:p>
    <w:p w14:paraId="05078464">
      <w:pPr>
        <w:pStyle w:val="6"/>
        <w:spacing w:before="93"/>
        <w:jc w:val="center"/>
        <w:rPr>
          <w:rFonts w:ascii="Times New Roman" w:eastAsia="方正小标宋简体"/>
          <w:kern w:val="2"/>
          <w:sz w:val="44"/>
          <w:szCs w:val="44"/>
        </w:rPr>
      </w:pPr>
    </w:p>
    <w:p w14:paraId="20C513E0">
      <w:pPr>
        <w:pStyle w:val="6"/>
        <w:spacing w:before="93"/>
        <w:jc w:val="center"/>
        <w:rPr>
          <w:rFonts w:ascii="Times New Roman" w:eastAsia="方正小标宋简体"/>
          <w:kern w:val="2"/>
          <w:sz w:val="44"/>
          <w:szCs w:val="44"/>
        </w:rPr>
      </w:pPr>
    </w:p>
    <w:p w14:paraId="34BC6036">
      <w:pPr>
        <w:pStyle w:val="6"/>
        <w:spacing w:before="93"/>
        <w:jc w:val="center"/>
        <w:rPr>
          <w:rFonts w:ascii="Times New Roman" w:eastAsia="方正小标宋简体"/>
          <w:kern w:val="2"/>
          <w:sz w:val="44"/>
          <w:szCs w:val="44"/>
        </w:rPr>
      </w:pPr>
    </w:p>
    <w:bookmarkEnd w:id="0"/>
    <w:bookmarkEnd w:id="1"/>
    <w:bookmarkEnd w:id="2"/>
    <w:bookmarkEnd w:id="3"/>
    <w:bookmarkEnd w:id="4"/>
    <w:p w14:paraId="0E1B50C4">
      <w:pPr>
        <w:pStyle w:val="6"/>
        <w:spacing w:before="93"/>
        <w:jc w:val="center"/>
        <w:rPr>
          <w:rFonts w:ascii="Times New Roman" w:eastAsia="方正小标宋简体"/>
          <w:kern w:val="2"/>
          <w:sz w:val="44"/>
          <w:szCs w:val="44"/>
        </w:rPr>
      </w:pPr>
      <w:bookmarkStart w:id="6" w:name="_Toc15377194"/>
      <w:bookmarkStart w:id="7" w:name="_Toc15396598"/>
      <w:bookmarkStart w:id="8" w:name="_Toc15396476"/>
      <w:bookmarkStart w:id="9" w:name="_Toc15378442"/>
      <w:bookmarkStart w:id="10" w:name="_Toc15377426"/>
      <w:r>
        <w:rPr>
          <w:rFonts w:hint="eastAsia" w:ascii="Times New Roman" w:eastAsia="方正小标宋简体"/>
          <w:kern w:val="2"/>
          <w:sz w:val="44"/>
          <w:szCs w:val="44"/>
        </w:rPr>
        <w:t>2025年度</w:t>
      </w:r>
      <w:bookmarkEnd w:id="5"/>
      <w:bookmarkStart w:id="11" w:name="_Toc15306268"/>
      <w:r>
        <w:rPr>
          <w:rFonts w:hint="eastAsia" w:ascii="Times New Roman" w:eastAsia="方正小标宋简体"/>
          <w:kern w:val="2"/>
          <w:sz w:val="44"/>
          <w:szCs w:val="44"/>
        </w:rPr>
        <w:t>攀枝花市公安局仁和区分局部门决算</w:t>
      </w:r>
      <w:bookmarkEnd w:id="6"/>
      <w:bookmarkEnd w:id="7"/>
      <w:bookmarkEnd w:id="8"/>
      <w:bookmarkEnd w:id="9"/>
      <w:bookmarkEnd w:id="10"/>
      <w:bookmarkEnd w:id="11"/>
    </w:p>
    <w:p w14:paraId="04FB4BBB">
      <w:pPr>
        <w:widowControl/>
        <w:jc w:val="center"/>
        <w:rPr>
          <w:rFonts w:eastAsia="黑体"/>
          <w:sz w:val="48"/>
          <w:szCs w:val="48"/>
        </w:rPr>
        <w:sectPr>
          <w:footerReference r:id="rId7" w:type="first"/>
          <w:footerReference r:id="rId6" w:type="default"/>
          <w:pgSz w:w="11906" w:h="16838"/>
          <w:pgMar w:top="1440" w:right="1800" w:bottom="1440" w:left="1800" w:header="851" w:footer="992" w:gutter="0"/>
          <w:pgNumType w:fmt="decimal"/>
          <w:cols w:space="425" w:num="1"/>
          <w:titlePg/>
          <w:docGrid w:type="lines" w:linePitch="312" w:charSpace="0"/>
        </w:sectPr>
      </w:pPr>
    </w:p>
    <w:p w14:paraId="45E6862B">
      <w:pPr>
        <w:widowControl/>
        <w:jc w:val="center"/>
        <w:rPr>
          <w:rFonts w:eastAsia="黑体"/>
          <w:sz w:val="48"/>
          <w:szCs w:val="48"/>
        </w:rPr>
      </w:pPr>
      <w:r>
        <w:rPr>
          <w:rFonts w:hint="eastAsia" w:eastAsia="黑体"/>
          <w:sz w:val="48"/>
          <w:szCs w:val="48"/>
        </w:rPr>
        <w:t>目录</w:t>
      </w:r>
    </w:p>
    <w:p w14:paraId="17451C5D">
      <w:pPr>
        <w:widowControl/>
        <w:jc w:val="center"/>
        <w:rPr>
          <w:rFonts w:eastAsia="黑体" w:cstheme="minorBidi"/>
          <w:sz w:val="28"/>
          <w:szCs w:val="28"/>
        </w:rPr>
      </w:pPr>
    </w:p>
    <w:p w14:paraId="157C16E2">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570C5998"/>
    <w:p w14:paraId="72B8F3BA">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14:paraId="65339431">
      <w:pPr>
        <w:pStyle w:val="13"/>
        <w:adjustRightInd w:val="0"/>
        <w:snapToGrid w:val="0"/>
        <w:spacing w:before="0" w:line="560" w:lineRule="exact"/>
        <w:jc w:val="left"/>
        <w:rPr>
          <w:rFonts w:hint="default" w:eastAsia="仿宋_GB2312" w:cs="仿宋_GB2312"/>
          <w:sz w:val="32"/>
          <w:szCs w:val="32"/>
          <w:lang w:val="en-US"/>
        </w:rPr>
      </w:pPr>
      <w:r>
        <w:rPr>
          <w:rFonts w:hint="eastAsia" w:eastAsia="仿宋_GB2312" w:cs="仿宋_GB2312"/>
          <w:sz w:val="32"/>
          <w:szCs w:val="32"/>
        </w:rPr>
        <w:t>一、部门职责</w:t>
      </w:r>
      <w:r>
        <w:rPr>
          <w:rFonts w:hint="eastAsia" w:ascii="Times New Roman" w:hAnsi="Times New Roman" w:eastAsia="黑体" w:cs="黑体"/>
          <w:sz w:val="32"/>
          <w:szCs w:val="32"/>
          <w:lang w:val="en-US" w:eastAsia="zh-CN"/>
        </w:rPr>
        <w:t>...............................................................................1</w:t>
      </w:r>
    </w:p>
    <w:p w14:paraId="7BF5612A">
      <w:pPr>
        <w:pStyle w:val="13"/>
        <w:adjustRightInd w:val="0"/>
        <w:snapToGrid w:val="0"/>
        <w:spacing w:before="0" w:line="560" w:lineRule="exact"/>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黑体" w:cs="黑体"/>
          <w:sz w:val="32"/>
          <w:szCs w:val="32"/>
          <w:lang w:val="en-US" w:eastAsia="zh-CN"/>
        </w:rPr>
        <w:t>...............................................................................1</w:t>
      </w:r>
    </w:p>
    <w:p w14:paraId="21C3515C">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...................................2</w:t>
      </w:r>
    </w:p>
    <w:p w14:paraId="54F6081F">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14:paraId="2854F844">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14:paraId="7E5B7C55">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14:paraId="1FF75673">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4</w:t>
      </w:r>
    </w:p>
    <w:p w14:paraId="06AB0F3A">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290E275C">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14:paraId="40F17C90">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9</w:t>
      </w:r>
    </w:p>
    <w:p w14:paraId="5CAB6B2B">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259554E5">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359AFF46">
      <w:pPr>
        <w:pStyle w:val="15"/>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58938491">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.................................................................14</w:t>
      </w:r>
    </w:p>
    <w:p w14:paraId="479DD3E3">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.........................................................................17</w:t>
      </w:r>
    </w:p>
    <w:p w14:paraId="67625BB8">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.........................................................................18</w:t>
      </w:r>
    </w:p>
    <w:p w14:paraId="3F133FF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7F3BC67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71EB346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5F67315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4C2C4FE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3BB5ED8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45C6C09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04FC0EF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6E80039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9A679E5">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1110B3B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63930CF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1B167EA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1F2E6349">
      <w:pPr>
        <w:pStyle w:val="3"/>
        <w:jc w:val="center"/>
        <w:rPr>
          <w:rFonts w:hint="eastAsia" w:eastAsia="方正小标宋简体" w:cs="方正小标宋简体"/>
          <w:b w:val="0"/>
        </w:rPr>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pPr>
      <w:bookmarkStart w:id="12" w:name="_Toc15377196"/>
      <w:bookmarkStart w:id="13" w:name="_Toc15396599"/>
    </w:p>
    <w:p w14:paraId="3533EE2D">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63C73D4B">
      <w:pPr>
        <w:widowControl/>
        <w:jc w:val="left"/>
        <w:rPr>
          <w:rFonts w:eastAsia="黑体"/>
          <w:sz w:val="32"/>
          <w:szCs w:val="32"/>
        </w:rPr>
      </w:pPr>
    </w:p>
    <w:p w14:paraId="1AA1F3D7">
      <w:pPr>
        <w:pStyle w:val="4"/>
        <w:numPr>
          <w:ilvl w:val="0"/>
          <w:numId w:val="1"/>
        </w:numPr>
      </w:pPr>
      <w:r>
        <w:rPr>
          <w:rFonts w:hint="eastAsia" w:ascii="Times New Roman" w:hAnsi="Times New Roman" w:eastAsia="黑体"/>
          <w:b w:val="0"/>
        </w:rPr>
        <w:t>部门职责</w:t>
      </w:r>
    </w:p>
    <w:p w14:paraId="40E35650">
      <w:pPr>
        <w:pStyle w:val="6"/>
        <w:adjustRightInd w:val="0"/>
        <w:spacing w:before="93" w:line="600" w:lineRule="exact"/>
        <w:ind w:firstLine="672" w:firstLineChars="210"/>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攀枝花市公安局仁和区分局作为攀枝花市公安局下属单位，根据攀办发[2013]72号《攀枝花市公安局主要职责内设机构和人员编制规定》文件规定，主要职责是在攀枝花市公安局领导下，负责治安行政管理和刑事执法工作以及攀枝花市公安局22项职责中涉及分局完成的工作职责。</w:t>
      </w:r>
    </w:p>
    <w:p w14:paraId="35B161B7">
      <w:pPr>
        <w:pStyle w:val="4"/>
        <w:rPr>
          <w:rStyle w:val="29"/>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14:paraId="22BD2739">
      <w:pPr>
        <w:pStyle w:val="6"/>
        <w:adjustRightInd w:val="0"/>
        <w:snapToGrid w:val="0"/>
        <w:spacing w:before="93" w:line="600" w:lineRule="exact"/>
        <w:ind w:firstLine="672" w:firstLineChars="210"/>
        <w:rPr>
          <w:rFonts w:ascii="Times New Roman" w:cs="仿宋_GB2312"/>
          <w:sz w:val="32"/>
          <w:szCs w:val="32"/>
        </w:rPr>
      </w:pPr>
      <w:r>
        <w:rPr>
          <w:rFonts w:hint="eastAsia" w:eastAsia="仿宋_GB2312" w:cs="仿宋_GB2312"/>
          <w:sz w:val="32"/>
          <w:szCs w:val="32"/>
        </w:rPr>
        <w:t>攀枝花市公安局仁和区分局为市级财政二级预算单位，现内设机构25个，下属二级预算单位0个，其中行政单位0个，参照公务员法管理的事业单位0个，其他事业单位0个。</w:t>
      </w:r>
    </w:p>
    <w:p w14:paraId="2A39820A">
      <w:pPr>
        <w:pStyle w:val="3"/>
        <w:jc w:val="center"/>
        <w:rPr>
          <w:rFonts w:hint="eastAsia" w:eastAsia="方正小标宋简体" w:cs="方正小标宋简体"/>
          <w:b w:val="0"/>
        </w:rPr>
      </w:pPr>
      <w:bookmarkStart w:id="16" w:name="_Toc15396602"/>
      <w:bookmarkStart w:id="17" w:name="_Toc15377204"/>
    </w:p>
    <w:p w14:paraId="1167043A">
      <w:pPr>
        <w:pStyle w:val="3"/>
        <w:jc w:val="center"/>
        <w:rPr>
          <w:rFonts w:hint="eastAsia" w:eastAsia="方正小标宋简体" w:cs="方正小标宋简体"/>
          <w:b w:val="0"/>
        </w:rPr>
      </w:pPr>
    </w:p>
    <w:p w14:paraId="12609EFC">
      <w:pPr>
        <w:pStyle w:val="3"/>
        <w:jc w:val="center"/>
        <w:rPr>
          <w:rFonts w:hint="eastAsia" w:eastAsia="方正小标宋简体" w:cs="方正小标宋简体"/>
          <w:b w:val="0"/>
        </w:rPr>
      </w:pPr>
    </w:p>
    <w:p w14:paraId="07CB404A">
      <w:pPr>
        <w:pStyle w:val="3"/>
        <w:jc w:val="center"/>
        <w:rPr>
          <w:rFonts w:eastAsia="方正小标宋简体" w:cs="方正小标宋简体"/>
          <w:b w:val="0"/>
        </w:rPr>
      </w:pPr>
      <w:r>
        <w:rPr>
          <w:rFonts w:hint="eastAsia" w:eastAsia="方正小标宋简体" w:cs="方正小标宋简体"/>
          <w:b w:val="0"/>
        </w:rPr>
        <w:t>第二部分  2025年度部门决算情况说明</w:t>
      </w:r>
      <w:bookmarkEnd w:id="16"/>
      <w:bookmarkEnd w:id="17"/>
    </w:p>
    <w:p w14:paraId="4BC0E9D0"/>
    <w:p w14:paraId="6E2DE501">
      <w:pPr>
        <w:pStyle w:val="27"/>
        <w:spacing w:line="600" w:lineRule="exact"/>
        <w:ind w:firstLine="640"/>
        <w:outlineLvl w:val="1"/>
        <w:rPr>
          <w:rStyle w:val="29"/>
          <w:rFonts w:ascii="Times New Roman" w:hAnsi="Times New Roman" w:eastAsia="黑体"/>
          <w:b w:val="0"/>
        </w:rPr>
      </w:pPr>
      <w:bookmarkStart w:id="18" w:name="_Toc15377205"/>
      <w:bookmarkStart w:id="19"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8"/>
      <w:bookmarkEnd w:id="19"/>
    </w:p>
    <w:p w14:paraId="7BC03BF4">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13068.44</w:t>
      </w:r>
      <w:r>
        <w:rPr>
          <w:rFonts w:hint="eastAsia" w:eastAsia="仿宋_GB2312" w:cs="仿宋_GB2312"/>
          <w:sz w:val="32"/>
          <w:szCs w:val="32"/>
        </w:rPr>
        <w:t>万元。与上年度相比，收入、支出总计各增加</w:t>
      </w:r>
      <w:r>
        <w:rPr>
          <w:rFonts w:hint="eastAsia" w:eastAsia="仿宋_GB2312" w:cs="仿宋_GB2312"/>
          <w:sz w:val="32"/>
          <w:szCs w:val="32"/>
          <w:lang w:val="en-US" w:eastAsia="zh-CN"/>
        </w:rPr>
        <w:t>1250.75</w:t>
      </w:r>
      <w:r>
        <w:rPr>
          <w:rFonts w:hint="eastAsia" w:eastAsia="仿宋_GB2312" w:cs="仿宋_GB2312"/>
          <w:sz w:val="32"/>
          <w:szCs w:val="32"/>
        </w:rPr>
        <w:t>万元，增长</w:t>
      </w:r>
      <w:r>
        <w:rPr>
          <w:rFonts w:hint="eastAsia" w:eastAsia="仿宋_GB2312" w:cs="仿宋_GB2312"/>
          <w:sz w:val="32"/>
          <w:szCs w:val="32"/>
          <w:lang w:val="en-US" w:eastAsia="zh-CN"/>
        </w:rPr>
        <w:t>11.6</w:t>
      </w:r>
      <w:r>
        <w:rPr>
          <w:rFonts w:hint="eastAsia" w:eastAsia="仿宋_GB2312" w:cs="仿宋_GB2312"/>
          <w:sz w:val="32"/>
          <w:szCs w:val="32"/>
        </w:rPr>
        <w:t>%。主要变动原因是</w:t>
      </w:r>
      <w:r>
        <w:rPr>
          <w:rFonts w:hint="eastAsia" w:eastAsia="仿宋_GB2312" w:cs="仿宋_GB2312"/>
          <w:sz w:val="32"/>
          <w:szCs w:val="32"/>
          <w:lang w:eastAsia="zh-CN"/>
        </w:rPr>
        <w:t>我局本年度在职人员较上年有增加，且区级财政资金支付了往年度的项目欠款，导致因此本年度总收支较上年有一定增加。</w:t>
      </w:r>
    </w:p>
    <w:p w14:paraId="77D51FC0">
      <w:pPr>
        <w:pStyle w:val="27"/>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1"/>
        <w:rPr>
          <w:rFonts w:hint="eastAsia" w:eastAsia="仿宋_GB2312" w:cs="仿宋_GB2312"/>
          <w:sz w:val="32"/>
          <w:szCs w:val="32"/>
          <w:lang w:eastAsia="zh-CN"/>
        </w:rPr>
      </w:pPr>
      <w:r>
        <w:drawing>
          <wp:inline distT="0" distB="0" distL="114300" distR="114300">
            <wp:extent cx="4826000" cy="2743200"/>
            <wp:effectExtent l="4445" t="4445" r="8255" b="14605"/>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26E472">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4799B6D6">
      <w:pPr>
        <w:ind w:firstLine="640" w:firstLineChars="200"/>
        <w:rPr>
          <w:rFonts w:eastAsia="仿宋_GB2312" w:cs="仿宋_GB2312"/>
          <w:sz w:val="32"/>
          <w:szCs w:val="32"/>
        </w:rPr>
      </w:pPr>
    </w:p>
    <w:p w14:paraId="466ECE9A">
      <w:pPr>
        <w:pStyle w:val="27"/>
        <w:spacing w:line="600" w:lineRule="exact"/>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14:paraId="3E8BBF50">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13068.44</w:t>
      </w:r>
      <w:r>
        <w:rPr>
          <w:rFonts w:hint="eastAsia" w:eastAsia="仿宋_GB2312" w:cs="仿宋_GB2312"/>
          <w:sz w:val="32"/>
          <w:szCs w:val="32"/>
        </w:rPr>
        <w:t>万元，其中：一般公共预算财政拨款收入10777.88万元，占</w:t>
      </w:r>
      <w:r>
        <w:rPr>
          <w:rFonts w:hint="eastAsia" w:eastAsia="仿宋_GB2312" w:cs="仿宋_GB2312"/>
          <w:sz w:val="32"/>
          <w:szCs w:val="32"/>
          <w:lang w:val="en-US" w:eastAsia="zh-CN"/>
        </w:rPr>
        <w:t>82.5</w:t>
      </w:r>
      <w:r>
        <w:rPr>
          <w:rFonts w:hint="eastAsia" w:eastAsia="仿宋_GB2312" w:cs="仿宋_GB2312"/>
          <w:sz w:val="32"/>
          <w:szCs w:val="32"/>
        </w:rPr>
        <w:t>%；其他收入2290.56万元，占</w:t>
      </w:r>
      <w:r>
        <w:rPr>
          <w:rFonts w:hint="eastAsia" w:eastAsia="仿宋_GB2312" w:cs="仿宋_GB2312"/>
          <w:sz w:val="32"/>
          <w:szCs w:val="32"/>
          <w:lang w:val="en-US" w:eastAsia="zh-CN"/>
        </w:rPr>
        <w:t>17.5</w:t>
      </w:r>
      <w:r>
        <w:rPr>
          <w:rFonts w:hint="eastAsia" w:eastAsia="仿宋_GB2312" w:cs="仿宋_GB2312"/>
          <w:sz w:val="32"/>
          <w:szCs w:val="32"/>
        </w:rPr>
        <w:t>%。</w:t>
      </w:r>
    </w:p>
    <w:p w14:paraId="16722397">
      <w:pPr>
        <w:pStyle w:val="27"/>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1"/>
        <w:rPr>
          <w:rFonts w:hint="eastAsia" w:eastAsia="仿宋_GB2312" w:cs="仿宋_GB2312"/>
          <w:sz w:val="32"/>
          <w:szCs w:val="32"/>
        </w:rPr>
      </w:pPr>
      <w:r>
        <w:drawing>
          <wp:inline distT="0" distB="0" distL="114300" distR="114300">
            <wp:extent cx="4826000" cy="2743200"/>
            <wp:effectExtent l="4445" t="4445" r="825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88FB35">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1525521C">
      <w:pPr>
        <w:ind w:firstLine="800" w:firstLineChars="250"/>
        <w:rPr>
          <w:rFonts w:eastAsia="仿宋_GB2312" w:cs="仿宋_GB2312"/>
          <w:sz w:val="32"/>
          <w:szCs w:val="32"/>
        </w:rPr>
      </w:pPr>
    </w:p>
    <w:p w14:paraId="6BE73496">
      <w:pPr>
        <w:pStyle w:val="27"/>
        <w:spacing w:line="600" w:lineRule="exact"/>
        <w:ind w:firstLine="640"/>
        <w:outlineLvl w:val="1"/>
        <w:rPr>
          <w:rStyle w:val="29"/>
          <w:rFonts w:ascii="Times New Roman" w:hAnsi="Times New Roman" w:eastAsia="黑体"/>
          <w:b w:val="0"/>
        </w:rPr>
      </w:pPr>
      <w:bookmarkStart w:id="22" w:name="_Toc15377207"/>
      <w:bookmarkStart w:id="23" w:name="_Toc15396605"/>
      <w:r>
        <w:rPr>
          <w:rFonts w:hint="eastAsia" w:eastAsia="黑体"/>
          <w:sz w:val="32"/>
          <w:szCs w:val="32"/>
        </w:rPr>
        <w:t>三、支</w:t>
      </w:r>
      <w:r>
        <w:rPr>
          <w:rStyle w:val="29"/>
          <w:rFonts w:hint="eastAsia" w:ascii="Times New Roman" w:hAnsi="Times New Roman" w:eastAsia="黑体"/>
          <w:b w:val="0"/>
        </w:rPr>
        <w:t>出决算情况说明</w:t>
      </w:r>
      <w:bookmarkEnd w:id="22"/>
      <w:bookmarkEnd w:id="23"/>
    </w:p>
    <w:p w14:paraId="1E148ABE">
      <w:pPr>
        <w:pStyle w:val="27"/>
        <w:spacing w:line="600" w:lineRule="exact"/>
        <w:ind w:firstLine="640"/>
        <w:outlineLvl w:val="1"/>
        <w:rPr>
          <w:rFonts w:hint="eastAsia" w:eastAsia="仿宋_GB2312" w:cs="仿宋_GB2312"/>
          <w:b/>
          <w:bCs/>
          <w:sz w:val="32"/>
          <w:szCs w:val="32"/>
          <w:lang w:eastAsia="zh-CN"/>
        </w:rPr>
      </w:pPr>
      <w:r>
        <w:rPr>
          <w:rFonts w:hint="eastAsia" w:eastAsia="仿宋_GB2312" w:cs="仿宋_GB2312"/>
          <w:sz w:val="32"/>
          <w:szCs w:val="32"/>
        </w:rPr>
        <w:t>2025年度本年支出合计</w:t>
      </w:r>
      <w:r>
        <w:rPr>
          <w:rFonts w:hint="eastAsia" w:eastAsia="仿宋_GB2312" w:cs="仿宋_GB2312"/>
          <w:sz w:val="32"/>
          <w:szCs w:val="32"/>
          <w:lang w:val="en-US" w:eastAsia="zh-CN"/>
        </w:rPr>
        <w:t>13068.44</w:t>
      </w:r>
      <w:r>
        <w:rPr>
          <w:rFonts w:hint="eastAsia" w:eastAsia="仿宋_GB2312" w:cs="仿宋_GB2312"/>
          <w:sz w:val="32"/>
          <w:szCs w:val="32"/>
        </w:rPr>
        <w:t>万元，其中：基本支出8867.53万元，占</w:t>
      </w:r>
      <w:r>
        <w:rPr>
          <w:rFonts w:hint="eastAsia" w:eastAsia="仿宋_GB2312" w:cs="仿宋_GB2312"/>
          <w:sz w:val="32"/>
          <w:szCs w:val="32"/>
          <w:lang w:val="en-US" w:eastAsia="zh-CN"/>
        </w:rPr>
        <w:t>67.9</w:t>
      </w:r>
      <w:r>
        <w:rPr>
          <w:rFonts w:hint="eastAsia" w:eastAsia="仿宋_GB2312" w:cs="仿宋_GB2312"/>
          <w:sz w:val="32"/>
          <w:szCs w:val="32"/>
        </w:rPr>
        <w:t>%；项目支出4200.91万元，占</w:t>
      </w:r>
      <w:r>
        <w:rPr>
          <w:rFonts w:hint="eastAsia" w:eastAsia="仿宋_GB2312" w:cs="仿宋_GB2312"/>
          <w:sz w:val="32"/>
          <w:szCs w:val="32"/>
          <w:lang w:val="en-US" w:eastAsia="zh-CN"/>
        </w:rPr>
        <w:t>32.1</w:t>
      </w:r>
      <w:r>
        <w:rPr>
          <w:rFonts w:hint="eastAsia" w:eastAsia="仿宋_GB2312" w:cs="仿宋_GB2312"/>
          <w:sz w:val="32"/>
          <w:szCs w:val="32"/>
        </w:rPr>
        <w:t>%</w:t>
      </w:r>
      <w:r>
        <w:rPr>
          <w:rFonts w:hint="eastAsia" w:eastAsia="仿宋_GB2312" w:cs="仿宋_GB2312"/>
          <w:sz w:val="32"/>
          <w:szCs w:val="32"/>
          <w:lang w:eastAsia="zh-CN"/>
        </w:rPr>
        <w:t>。</w:t>
      </w:r>
    </w:p>
    <w:p w14:paraId="70D4D243">
      <w:pPr>
        <w:pStyle w:val="27"/>
        <w:keepNext w:val="0"/>
        <w:keepLines w:val="0"/>
        <w:pageBreakBefore w:val="0"/>
        <w:widowControl w:val="0"/>
        <w:kinsoku/>
        <w:wordWrap/>
        <w:overflowPunct/>
        <w:topLinePunct w:val="0"/>
        <w:autoSpaceDE/>
        <w:autoSpaceDN/>
        <w:bidi w:val="0"/>
        <w:adjustRightInd/>
        <w:snapToGrid/>
        <w:spacing w:line="240" w:lineRule="auto"/>
        <w:ind w:firstLine="640"/>
        <w:textAlignment w:val="auto"/>
        <w:outlineLvl w:val="1"/>
        <w:rPr>
          <w:rFonts w:hint="eastAsia" w:eastAsia="仿宋_GB2312" w:cs="仿宋_GB2312"/>
          <w:sz w:val="32"/>
          <w:szCs w:val="32"/>
        </w:rPr>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7789E9">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14:paraId="0F506E9D">
      <w:pPr>
        <w:ind w:firstLine="800" w:firstLineChars="250"/>
        <w:rPr>
          <w:rFonts w:eastAsia="仿宋_GB2312" w:cs="仿宋_GB2312"/>
          <w:sz w:val="32"/>
          <w:szCs w:val="32"/>
        </w:rPr>
      </w:pPr>
    </w:p>
    <w:p w14:paraId="788D3009">
      <w:pPr>
        <w:spacing w:line="600" w:lineRule="exact"/>
        <w:ind w:firstLine="640" w:firstLineChars="200"/>
        <w:outlineLvl w:val="1"/>
        <w:rPr>
          <w:rStyle w:val="29"/>
          <w:rFonts w:ascii="Times New Roman" w:hAnsi="Times New Roman" w:eastAsia="黑体"/>
          <w:b w:val="0"/>
        </w:rPr>
      </w:pPr>
      <w:bookmarkStart w:id="24" w:name="_Toc15377208"/>
      <w:bookmarkStart w:id="25"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4"/>
      <w:bookmarkEnd w:id="25"/>
    </w:p>
    <w:p w14:paraId="4601695A">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13068.44</w:t>
      </w:r>
      <w:r>
        <w:rPr>
          <w:rFonts w:hint="eastAsia" w:eastAsia="仿宋_GB2312" w:cs="仿宋_GB2312"/>
          <w:sz w:val="32"/>
          <w:szCs w:val="32"/>
        </w:rPr>
        <w:t>万元。与上年度相比，财政拨款收入、支出总计各增加1250.75万元，增长</w:t>
      </w:r>
      <w:r>
        <w:rPr>
          <w:rFonts w:hint="eastAsia" w:eastAsia="仿宋_GB2312" w:cs="仿宋_GB2312"/>
          <w:sz w:val="32"/>
          <w:szCs w:val="32"/>
          <w:lang w:val="en-US" w:eastAsia="zh-CN"/>
        </w:rPr>
        <w:t>11.6</w:t>
      </w:r>
      <w:r>
        <w:rPr>
          <w:rFonts w:hint="eastAsia" w:eastAsia="仿宋_GB2312" w:cs="仿宋_GB2312"/>
          <w:sz w:val="32"/>
          <w:szCs w:val="32"/>
        </w:rPr>
        <w:t>%。主要变动原因是我局本年度在职人员较上年有增加，且区级财政资金支付了往年度的项目欠款，导致因此本年度总收支较上年有一定增加。</w:t>
      </w:r>
    </w:p>
    <w:p w14:paraId="70A35DDE">
      <w:pPr>
        <w:pStyle w:val="2"/>
      </w:pPr>
      <w:r>
        <w:rPr>
          <w:rFonts w:hint="eastAsia"/>
          <w:lang w:val="en-US" w:eastAsia="zh-CN"/>
        </w:rPr>
        <w:t xml:space="preserve">   </w:t>
      </w: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D618B4">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72CDDF94">
      <w:pPr>
        <w:spacing w:line="600" w:lineRule="exact"/>
        <w:ind w:firstLine="640"/>
        <w:rPr>
          <w:rFonts w:eastAsia="仿宋_GB2312" w:cs="仿宋_GB2312"/>
          <w:sz w:val="32"/>
          <w:szCs w:val="32"/>
        </w:rPr>
      </w:pPr>
    </w:p>
    <w:p w14:paraId="7306FBAD">
      <w:pPr>
        <w:spacing w:line="600" w:lineRule="exact"/>
        <w:ind w:firstLine="640" w:firstLineChars="200"/>
        <w:outlineLvl w:val="1"/>
        <w:rPr>
          <w:rStyle w:val="29"/>
          <w:rFonts w:ascii="Times New Roman" w:hAnsi="Times New Roman" w:eastAsia="黑体"/>
          <w:b w:val="0"/>
        </w:rPr>
      </w:pPr>
      <w:bookmarkStart w:id="26" w:name="_Toc15396607"/>
      <w:bookmarkStart w:id="27"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6"/>
      <w:bookmarkEnd w:id="27"/>
    </w:p>
    <w:p w14:paraId="158BDC6B">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110F1B0C">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2025年度一般公共预算财政拨款支出10777.88万元，占本年支出合计的</w:t>
      </w:r>
      <w:r>
        <w:rPr>
          <w:rFonts w:hint="eastAsia" w:eastAsia="仿宋_GB2312" w:cs="仿宋_GB2312"/>
          <w:sz w:val="32"/>
          <w:szCs w:val="32"/>
          <w:lang w:val="en-US" w:eastAsia="zh-CN"/>
        </w:rPr>
        <w:t>82.5</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849.9</w:t>
      </w:r>
      <w:r>
        <w:rPr>
          <w:rFonts w:hint="eastAsia" w:eastAsia="仿宋_GB2312" w:cs="仿宋_GB2312"/>
          <w:sz w:val="32"/>
          <w:szCs w:val="32"/>
        </w:rPr>
        <w:t>万元，增长</w:t>
      </w:r>
      <w:r>
        <w:rPr>
          <w:rFonts w:hint="eastAsia" w:eastAsia="仿宋_GB2312" w:cs="仿宋_GB2312"/>
          <w:sz w:val="32"/>
          <w:szCs w:val="32"/>
          <w:lang w:val="en-US" w:eastAsia="zh-CN"/>
        </w:rPr>
        <w:t>8.6</w:t>
      </w:r>
      <w:r>
        <w:rPr>
          <w:rFonts w:hint="eastAsia" w:eastAsia="仿宋_GB2312" w:cs="仿宋_GB2312"/>
          <w:sz w:val="32"/>
          <w:szCs w:val="32"/>
        </w:rPr>
        <w:t>%。主要变动原因是我局本年度在职人员较上年有增加，</w:t>
      </w:r>
      <w:r>
        <w:rPr>
          <w:rFonts w:hint="eastAsia" w:eastAsia="仿宋_GB2312" w:cs="仿宋_GB2312"/>
          <w:sz w:val="32"/>
          <w:szCs w:val="32"/>
          <w:lang w:eastAsia="zh-CN"/>
        </w:rPr>
        <w:t>人员及公用经费有一定增加</w:t>
      </w:r>
      <w:r>
        <w:rPr>
          <w:rFonts w:hint="eastAsia" w:eastAsia="仿宋_GB2312" w:cs="仿宋_GB2312"/>
          <w:sz w:val="32"/>
          <w:szCs w:val="32"/>
        </w:rPr>
        <w:t>，导致因此本年度总收支较上年有一定增加。</w:t>
      </w:r>
    </w:p>
    <w:p w14:paraId="1A3E16D8">
      <w:pPr>
        <w:pStyle w:val="2"/>
      </w:pPr>
      <w:r>
        <w:rPr>
          <w:rFonts w:hint="eastAsia"/>
          <w:lang w:val="en-US" w:eastAsia="zh-CN"/>
        </w:rPr>
        <w:t xml:space="preserve">   </w:t>
      </w:r>
      <w:r>
        <w:drawing>
          <wp:inline distT="0" distB="0" distL="114300" distR="114300">
            <wp:extent cx="4826000" cy="2743200"/>
            <wp:effectExtent l="4445" t="4445" r="825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D2F3AFA">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09342DF4">
      <w:pPr>
        <w:spacing w:line="600" w:lineRule="exact"/>
        <w:ind w:firstLine="640"/>
        <w:rPr>
          <w:rFonts w:eastAsia="仿宋_GB2312" w:cs="仿宋_GB2312"/>
          <w:sz w:val="32"/>
          <w:szCs w:val="32"/>
        </w:rPr>
      </w:pPr>
    </w:p>
    <w:p w14:paraId="4F07951D">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4EF0AAF8">
      <w:pPr>
        <w:spacing w:line="600" w:lineRule="exact"/>
        <w:ind w:firstLine="640"/>
        <w:rPr>
          <w:rFonts w:hint="eastAsia" w:eastAsia="仿宋_GB2312" w:cs="仿宋_GB2312"/>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10777.88</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380.78</w:t>
      </w:r>
      <w:r>
        <w:rPr>
          <w:rFonts w:hint="eastAsia" w:eastAsia="仿宋_GB2312" w:cs="仿宋_GB2312"/>
          <w:sz w:val="32"/>
          <w:szCs w:val="32"/>
        </w:rPr>
        <w:t>万元，占</w:t>
      </w:r>
      <w:r>
        <w:rPr>
          <w:rFonts w:hint="eastAsia" w:eastAsia="仿宋_GB2312" w:cs="仿宋_GB2312"/>
          <w:sz w:val="32"/>
          <w:szCs w:val="32"/>
          <w:lang w:val="en-US" w:eastAsia="zh-CN"/>
        </w:rPr>
        <w:t>3.5</w:t>
      </w:r>
      <w:r>
        <w:rPr>
          <w:rFonts w:hint="eastAsia" w:eastAsia="仿宋_GB2312" w:cs="仿宋_GB2312"/>
          <w:sz w:val="32"/>
          <w:szCs w:val="32"/>
        </w:rPr>
        <w:t>%；</w:t>
      </w:r>
      <w:r>
        <w:rPr>
          <w:rFonts w:hint="eastAsia" w:eastAsia="仿宋_GB2312" w:cs="仿宋_GB2312"/>
          <w:sz w:val="32"/>
          <w:szCs w:val="32"/>
          <w:lang w:eastAsia="zh-CN"/>
        </w:rPr>
        <w:t>公共安全</w:t>
      </w:r>
      <w:r>
        <w:rPr>
          <w:rFonts w:hint="eastAsia" w:eastAsia="仿宋_GB2312" w:cs="仿宋_GB2312"/>
          <w:sz w:val="32"/>
          <w:szCs w:val="32"/>
        </w:rPr>
        <w:t>支出</w:t>
      </w:r>
      <w:r>
        <w:rPr>
          <w:rFonts w:hint="eastAsia" w:eastAsia="仿宋_GB2312" w:cs="仿宋_GB2312"/>
          <w:sz w:val="32"/>
          <w:szCs w:val="32"/>
          <w:lang w:val="en-US" w:eastAsia="zh-CN"/>
        </w:rPr>
        <w:t>8285.62</w:t>
      </w:r>
      <w:r>
        <w:rPr>
          <w:rFonts w:hint="eastAsia" w:eastAsia="仿宋_GB2312" w:cs="仿宋_GB2312"/>
          <w:sz w:val="32"/>
          <w:szCs w:val="32"/>
        </w:rPr>
        <w:t>万元，占</w:t>
      </w:r>
      <w:r>
        <w:rPr>
          <w:rFonts w:hint="eastAsia" w:eastAsia="仿宋_GB2312" w:cs="仿宋_GB2312"/>
          <w:sz w:val="32"/>
          <w:szCs w:val="32"/>
          <w:lang w:val="en-US" w:eastAsia="zh-CN"/>
        </w:rPr>
        <w:t>76.9</w:t>
      </w:r>
      <w:r>
        <w:rPr>
          <w:rFonts w:hint="eastAsia" w:eastAsia="仿宋_GB2312" w:cs="仿宋_GB2312"/>
          <w:sz w:val="32"/>
          <w:szCs w:val="32"/>
        </w:rPr>
        <w:t>%；社会保障和就业支出</w:t>
      </w:r>
      <w:r>
        <w:rPr>
          <w:rFonts w:hint="eastAsia" w:eastAsia="仿宋_GB2312" w:cs="仿宋_GB2312"/>
          <w:sz w:val="32"/>
          <w:szCs w:val="32"/>
          <w:lang w:val="en-US" w:eastAsia="zh-CN"/>
        </w:rPr>
        <w:t>1085.93</w:t>
      </w:r>
      <w:r>
        <w:rPr>
          <w:rFonts w:hint="eastAsia" w:eastAsia="仿宋_GB2312" w:cs="仿宋_GB2312"/>
          <w:sz w:val="32"/>
          <w:szCs w:val="32"/>
        </w:rPr>
        <w:t>万元，占</w:t>
      </w:r>
      <w:r>
        <w:rPr>
          <w:rFonts w:hint="eastAsia" w:eastAsia="仿宋_GB2312" w:cs="仿宋_GB2312"/>
          <w:sz w:val="32"/>
          <w:szCs w:val="32"/>
          <w:lang w:val="en-US" w:eastAsia="zh-CN"/>
        </w:rPr>
        <w:t>10.1</w:t>
      </w:r>
      <w:r>
        <w:rPr>
          <w:rFonts w:hint="eastAsia" w:eastAsia="仿宋_GB2312" w:cs="仿宋_GB2312"/>
          <w:sz w:val="32"/>
          <w:szCs w:val="32"/>
        </w:rPr>
        <w:t>%；卫生健康支出</w:t>
      </w:r>
      <w:r>
        <w:rPr>
          <w:rFonts w:hint="eastAsia" w:eastAsia="仿宋_GB2312" w:cs="仿宋_GB2312"/>
          <w:sz w:val="32"/>
          <w:szCs w:val="32"/>
          <w:lang w:val="en-US" w:eastAsia="zh-CN"/>
        </w:rPr>
        <w:t>427.74</w:t>
      </w:r>
      <w:r>
        <w:rPr>
          <w:rFonts w:hint="eastAsia" w:eastAsia="仿宋_GB2312" w:cs="仿宋_GB2312"/>
          <w:sz w:val="32"/>
          <w:szCs w:val="32"/>
        </w:rPr>
        <w:t>万元，占</w:t>
      </w:r>
      <w:r>
        <w:rPr>
          <w:rFonts w:hint="eastAsia" w:eastAsia="仿宋_GB2312" w:cs="仿宋_GB2312"/>
          <w:sz w:val="32"/>
          <w:szCs w:val="32"/>
          <w:lang w:val="en-US" w:eastAsia="zh-CN"/>
        </w:rPr>
        <w:t>4</w:t>
      </w:r>
      <w:r>
        <w:rPr>
          <w:rFonts w:hint="eastAsia" w:eastAsia="仿宋_GB2312" w:cs="仿宋_GB2312"/>
          <w:sz w:val="32"/>
          <w:szCs w:val="32"/>
        </w:rPr>
        <w:t>%；住房保障支出</w:t>
      </w:r>
      <w:r>
        <w:rPr>
          <w:rFonts w:hint="eastAsia" w:eastAsia="仿宋_GB2312" w:cs="仿宋_GB2312"/>
          <w:sz w:val="32"/>
          <w:szCs w:val="32"/>
          <w:lang w:val="en-US" w:eastAsia="zh-CN"/>
        </w:rPr>
        <w:t>597.81</w:t>
      </w:r>
      <w:r>
        <w:rPr>
          <w:rFonts w:hint="eastAsia" w:eastAsia="仿宋_GB2312" w:cs="仿宋_GB2312"/>
          <w:sz w:val="32"/>
          <w:szCs w:val="32"/>
        </w:rPr>
        <w:t>万元，占</w:t>
      </w:r>
      <w:r>
        <w:rPr>
          <w:rFonts w:hint="eastAsia" w:eastAsia="仿宋_GB2312" w:cs="仿宋_GB2312"/>
          <w:sz w:val="32"/>
          <w:szCs w:val="32"/>
          <w:lang w:val="en-US" w:eastAsia="zh-CN"/>
        </w:rPr>
        <w:t>5.5</w:t>
      </w:r>
      <w:r>
        <w:rPr>
          <w:rFonts w:hint="eastAsia" w:eastAsia="仿宋_GB2312" w:cs="仿宋_GB2312"/>
          <w:sz w:val="32"/>
          <w:szCs w:val="32"/>
        </w:rPr>
        <w:t>%；</w:t>
      </w:r>
    </w:p>
    <w:p w14:paraId="7BC7E5EE">
      <w:pPr>
        <w:pStyle w:val="2"/>
      </w:pPr>
      <w:r>
        <w:rPr>
          <w:rFonts w:hint="eastAsia"/>
          <w:lang w:val="en-US" w:eastAsia="zh-CN"/>
        </w:rPr>
        <w:t xml:space="preserve">   </w:t>
      </w: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69D800">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5242D244">
      <w:pPr>
        <w:spacing w:line="600" w:lineRule="exact"/>
        <w:ind w:firstLine="640"/>
        <w:rPr>
          <w:rFonts w:eastAsia="仿宋_GB2312" w:cs="仿宋_GB2312"/>
          <w:sz w:val="32"/>
          <w:szCs w:val="32"/>
        </w:rPr>
      </w:pPr>
    </w:p>
    <w:p w14:paraId="118EA0B7">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344D32C3">
      <w:pPr>
        <w:spacing w:line="600" w:lineRule="exact"/>
        <w:ind w:firstLine="640"/>
        <w:rPr>
          <w:rFonts w:eastAsia="仿宋_GB2312" w:cs="仿宋_GB2312"/>
          <w:sz w:val="32"/>
          <w:szCs w:val="32"/>
        </w:rPr>
      </w:pPr>
      <w:bookmarkStart w:id="31" w:name="_Toc15377213"/>
      <w:bookmarkStart w:id="32" w:name="_Toc15378460"/>
      <w:bookmarkStart w:id="33" w:name="_Toc15377444"/>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10777.88万元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1"/>
      <w:bookmarkEnd w:id="32"/>
      <w:bookmarkEnd w:id="33"/>
    </w:p>
    <w:p w14:paraId="1EED4392">
      <w:pPr>
        <w:spacing w:line="600" w:lineRule="exact"/>
        <w:ind w:firstLine="640"/>
        <w:rPr>
          <w:rFonts w:eastAsia="仿宋_GB2312" w:cs="仿宋_GB2312"/>
          <w:sz w:val="32"/>
          <w:szCs w:val="32"/>
        </w:rPr>
      </w:pPr>
      <w:r>
        <w:rPr>
          <w:rFonts w:hint="eastAsia" w:eastAsia="仿宋_GB2312" w:cs="仿宋_GB2312"/>
          <w:sz w:val="32"/>
          <w:szCs w:val="32"/>
        </w:rPr>
        <w:t>1.一般公共服务支出（类）人大事务（款）行政运行（项）支出决算为</w:t>
      </w:r>
      <w:r>
        <w:rPr>
          <w:rFonts w:hint="eastAsia" w:eastAsia="仿宋_GB2312" w:cs="仿宋_GB2312"/>
          <w:sz w:val="32"/>
          <w:szCs w:val="32"/>
          <w:lang w:val="en-US" w:eastAsia="zh-CN"/>
        </w:rPr>
        <w:t>335</w:t>
      </w:r>
      <w:r>
        <w:rPr>
          <w:rFonts w:hint="eastAsia" w:eastAsia="仿宋_GB2312" w:cs="仿宋_GB2312"/>
          <w:sz w:val="32"/>
          <w:szCs w:val="32"/>
        </w:rPr>
        <w:t>万元，完成预算100%，决算数等于预算数。</w:t>
      </w:r>
    </w:p>
    <w:p w14:paraId="0DBD21E7">
      <w:pPr>
        <w:spacing w:line="600" w:lineRule="exact"/>
        <w:ind w:firstLine="640"/>
        <w:rPr>
          <w:rFonts w:eastAsia="仿宋_GB2312" w:cs="仿宋_GB2312"/>
          <w:sz w:val="32"/>
          <w:szCs w:val="32"/>
        </w:rPr>
      </w:pPr>
      <w:r>
        <w:rPr>
          <w:rFonts w:hint="eastAsia" w:eastAsia="仿宋_GB2312" w:cs="仿宋_GB2312"/>
          <w:sz w:val="32"/>
          <w:szCs w:val="32"/>
        </w:rPr>
        <w:t>2.一般公共服务支出（类）</w:t>
      </w:r>
      <w:r>
        <w:rPr>
          <w:rFonts w:hint="eastAsia" w:eastAsia="仿宋_GB2312" w:cs="仿宋_GB2312"/>
          <w:sz w:val="32"/>
          <w:szCs w:val="32"/>
          <w:lang w:eastAsia="zh-CN"/>
        </w:rPr>
        <w:t>政协</w:t>
      </w:r>
      <w:r>
        <w:rPr>
          <w:rFonts w:hint="eastAsia" w:eastAsia="仿宋_GB2312" w:cs="仿宋_GB2312"/>
          <w:sz w:val="32"/>
          <w:szCs w:val="32"/>
        </w:rPr>
        <w:t>事务（款）行政运行（项）支出决算为</w:t>
      </w:r>
      <w:r>
        <w:rPr>
          <w:rFonts w:hint="eastAsia" w:eastAsia="仿宋_GB2312" w:cs="仿宋_GB2312"/>
          <w:sz w:val="32"/>
          <w:szCs w:val="32"/>
          <w:lang w:val="en-US" w:eastAsia="zh-CN"/>
        </w:rPr>
        <w:t>43.66</w:t>
      </w:r>
      <w:r>
        <w:rPr>
          <w:rFonts w:hint="eastAsia" w:eastAsia="仿宋_GB2312" w:cs="仿宋_GB2312"/>
          <w:sz w:val="32"/>
          <w:szCs w:val="32"/>
        </w:rPr>
        <w:t>万元，完成预算100%，决算数等于预算数。</w:t>
      </w:r>
    </w:p>
    <w:p w14:paraId="5DB91535">
      <w:pPr>
        <w:numPr>
          <w:ilvl w:val="0"/>
          <w:numId w:val="0"/>
        </w:numPr>
        <w:spacing w:line="600" w:lineRule="exact"/>
        <w:ind w:firstLine="640" w:firstLineChars="200"/>
        <w:rPr>
          <w:rFonts w:hint="default" w:eastAsia="仿宋_GB2312" w:cs="仿宋_GB2312"/>
          <w:sz w:val="32"/>
          <w:szCs w:val="32"/>
          <w:lang w:val="en-US" w:eastAsia="zh-CN"/>
        </w:rPr>
      </w:pPr>
      <w:r>
        <w:rPr>
          <w:rFonts w:hint="eastAsia" w:eastAsia="仿宋_GB2312" w:cs="仿宋_GB2312"/>
          <w:sz w:val="32"/>
          <w:szCs w:val="32"/>
          <w:lang w:val="en-US" w:eastAsia="zh-CN"/>
        </w:rPr>
        <w:t>3.</w:t>
      </w:r>
      <w:r>
        <w:rPr>
          <w:rFonts w:hint="eastAsia" w:eastAsia="仿宋_GB2312" w:cs="仿宋_GB2312"/>
          <w:sz w:val="32"/>
          <w:szCs w:val="32"/>
        </w:rPr>
        <w:t>一般公共服务支出（类）</w:t>
      </w:r>
      <w:r>
        <w:rPr>
          <w:rFonts w:hint="eastAsia" w:eastAsia="仿宋_GB2312" w:cs="仿宋_GB2312"/>
          <w:sz w:val="32"/>
          <w:szCs w:val="32"/>
          <w:lang w:eastAsia="zh-CN"/>
        </w:rPr>
        <w:t>组织事务</w:t>
      </w:r>
      <w:r>
        <w:rPr>
          <w:rFonts w:hint="eastAsia" w:eastAsia="仿宋_GB2312" w:cs="仿宋_GB2312"/>
          <w:sz w:val="32"/>
          <w:szCs w:val="32"/>
        </w:rPr>
        <w:t>（款）其他组织事务支出（项）支出决算为</w:t>
      </w:r>
      <w:r>
        <w:rPr>
          <w:rFonts w:hint="eastAsia" w:eastAsia="仿宋_GB2312" w:cs="仿宋_GB2312"/>
          <w:sz w:val="32"/>
          <w:szCs w:val="32"/>
          <w:lang w:val="en-US" w:eastAsia="zh-CN"/>
        </w:rPr>
        <w:t>2.12</w:t>
      </w:r>
      <w:r>
        <w:rPr>
          <w:rFonts w:hint="eastAsia" w:eastAsia="仿宋_GB2312" w:cs="仿宋_GB2312"/>
          <w:sz w:val="32"/>
          <w:szCs w:val="32"/>
        </w:rPr>
        <w:t>万元，完成预算100%，决算数等于预算数。</w:t>
      </w:r>
    </w:p>
    <w:p w14:paraId="30F89BCC">
      <w:pPr>
        <w:numPr>
          <w:ilvl w:val="0"/>
          <w:numId w:val="0"/>
        </w:numPr>
        <w:spacing w:line="600" w:lineRule="exact"/>
        <w:ind w:firstLine="640" w:firstLineChars="200"/>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公共安全支出（类）公安（款）行政运行（项）: 支出决算为</w:t>
      </w:r>
      <w:r>
        <w:rPr>
          <w:rFonts w:hint="eastAsia" w:eastAsia="仿宋_GB2312" w:cs="仿宋_GB2312"/>
          <w:sz w:val="32"/>
          <w:szCs w:val="32"/>
          <w:lang w:val="en-US" w:eastAsia="zh-CN"/>
        </w:rPr>
        <w:t>6382.15</w:t>
      </w:r>
      <w:r>
        <w:rPr>
          <w:rFonts w:hint="eastAsia" w:eastAsia="仿宋_GB2312" w:cs="仿宋_GB2312"/>
          <w:sz w:val="32"/>
          <w:szCs w:val="32"/>
        </w:rPr>
        <w:t>万元，完成预算100%，决算数等于预算数。</w:t>
      </w:r>
    </w:p>
    <w:p w14:paraId="4252AE5A">
      <w:pPr>
        <w:spacing w:line="600" w:lineRule="exact"/>
        <w:ind w:firstLine="640"/>
        <w:rPr>
          <w:rFonts w:eastAsia="仿宋_GB2312" w:cs="仿宋_GB2312"/>
          <w:sz w:val="32"/>
          <w:szCs w:val="32"/>
        </w:rPr>
      </w:pPr>
      <w:r>
        <w:rPr>
          <w:rFonts w:hint="eastAsia" w:eastAsia="仿宋_GB2312" w:cs="仿宋_GB2312"/>
          <w:sz w:val="32"/>
          <w:szCs w:val="32"/>
        </w:rPr>
        <w:t>5.公共安全支出（类）公安（款）一般行政管理事务（项）: 支出决算为</w:t>
      </w:r>
      <w:r>
        <w:rPr>
          <w:rFonts w:hint="eastAsia" w:eastAsia="仿宋_GB2312" w:cs="仿宋_GB2312"/>
          <w:sz w:val="32"/>
          <w:szCs w:val="32"/>
          <w:lang w:val="en-US" w:eastAsia="zh-CN"/>
        </w:rPr>
        <w:t>366.17</w:t>
      </w:r>
      <w:r>
        <w:rPr>
          <w:rFonts w:hint="eastAsia" w:eastAsia="仿宋_GB2312" w:cs="仿宋_GB2312"/>
          <w:sz w:val="32"/>
          <w:szCs w:val="32"/>
        </w:rPr>
        <w:t>万元，完成预算100%，决算数等于预算数。</w:t>
      </w:r>
    </w:p>
    <w:p w14:paraId="2BA0D61D">
      <w:pPr>
        <w:spacing w:line="600" w:lineRule="exact"/>
        <w:ind w:firstLine="640"/>
        <w:rPr>
          <w:rFonts w:hint="eastAsia" w:eastAsia="仿宋_GB2312" w:cs="仿宋_GB2312"/>
          <w:sz w:val="32"/>
          <w:szCs w:val="32"/>
        </w:rPr>
      </w:pPr>
      <w:r>
        <w:rPr>
          <w:rFonts w:hint="eastAsia" w:eastAsia="仿宋_GB2312" w:cs="仿宋_GB2312"/>
          <w:sz w:val="32"/>
          <w:szCs w:val="32"/>
        </w:rPr>
        <w:t>6.公共安全支出（类）公安（款）其他公安支出（项）: 支出决算为</w:t>
      </w:r>
      <w:r>
        <w:rPr>
          <w:rFonts w:hint="eastAsia" w:eastAsia="仿宋_GB2312" w:cs="仿宋_GB2312"/>
          <w:sz w:val="32"/>
          <w:szCs w:val="32"/>
          <w:lang w:val="en-US" w:eastAsia="zh-CN"/>
        </w:rPr>
        <w:t>1537.29</w:t>
      </w:r>
      <w:r>
        <w:rPr>
          <w:rFonts w:hint="eastAsia" w:eastAsia="仿宋_GB2312" w:cs="仿宋_GB2312"/>
          <w:sz w:val="32"/>
          <w:szCs w:val="32"/>
        </w:rPr>
        <w:t>万元，完成预算100%，决算数等于预算数。</w:t>
      </w:r>
    </w:p>
    <w:p w14:paraId="030199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lang w:val="en-US" w:eastAsia="zh-CN"/>
        </w:rPr>
        <w:t>7.</w:t>
      </w:r>
      <w:r>
        <w:rPr>
          <w:rFonts w:hint="eastAsia" w:ascii="Times New Roman" w:hAnsi="Times New Roman" w:eastAsia="仿宋_GB2312" w:cs="仿宋_GB2312"/>
          <w:color w:val="auto"/>
          <w:kern w:val="2"/>
          <w:sz w:val="32"/>
          <w:szCs w:val="32"/>
          <w:highlight w:val="none"/>
          <w:lang w:val="en-US" w:eastAsia="zh-CN" w:bidi="ar-SA"/>
        </w:rPr>
        <w:t>社会保障和就业支出（类）人力资源和社会保障管理事务（款）其他人力资源和社会保障管理事务支出（项）: 支出决算为</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7C165A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社会保障和就业支出（类）行政事业单位养老（款）行政单位离退休（项）: 支出决算为</w:t>
      </w:r>
      <w:r>
        <w:rPr>
          <w:rFonts w:hint="eastAsia" w:eastAsia="仿宋_GB2312" w:cs="仿宋_GB2312"/>
          <w:color w:val="auto"/>
          <w:kern w:val="2"/>
          <w:sz w:val="32"/>
          <w:szCs w:val="32"/>
          <w:highlight w:val="none"/>
          <w:lang w:val="en-US" w:eastAsia="zh-CN" w:bidi="ar-SA"/>
        </w:rPr>
        <w:t>288.66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E12596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社会保障和就业支出（类）行政事业单位养老（款）机关事业单位基本养老保险缴费支出（项）: 支出决算为</w:t>
      </w:r>
      <w:r>
        <w:rPr>
          <w:rFonts w:hint="eastAsia" w:eastAsia="仿宋_GB2312" w:cs="仿宋_GB2312"/>
          <w:color w:val="auto"/>
          <w:kern w:val="2"/>
          <w:sz w:val="32"/>
          <w:szCs w:val="32"/>
          <w:highlight w:val="none"/>
          <w:lang w:val="en-US" w:eastAsia="zh-CN" w:bidi="ar-SA"/>
        </w:rPr>
        <w:t>740.54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8B85E4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10.社会保障和就业支出（类）行政事业单位养老（款）机关事业单位职业年金缴费支出（项）: 支出决算为48.74万元，完成预算100%，决算数等于预算数。</w:t>
      </w:r>
    </w:p>
    <w:p w14:paraId="052A34F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11.卫生健康支出（类）行政事业单位医疗（款）行政单位医疗（项）: 支出决算为387.45万元，完成预算100%，决算数等于预算数。</w:t>
      </w:r>
    </w:p>
    <w:p w14:paraId="6B77F425">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12.卫生健康支出（类）行政事业单位医疗（款）公务员医疗补助（项）: 支出决算为40.29万元，完成预算100%。决算数等于预算数。</w:t>
      </w:r>
    </w:p>
    <w:p w14:paraId="3FADB6E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13.住房保障支出（类）住房改革支出（款）住房公积金（项）:支出决算为597.81万元，完成预算100%，决算数等于预算数。</w:t>
      </w:r>
    </w:p>
    <w:p w14:paraId="7B7C4D3F">
      <w:pPr>
        <w:spacing w:line="600" w:lineRule="exact"/>
        <w:ind w:firstLine="640"/>
        <w:rPr>
          <w:rFonts w:eastAsia="仿宋_GB2312" w:cs="仿宋_GB2312"/>
          <w:sz w:val="32"/>
          <w:szCs w:val="32"/>
        </w:rPr>
      </w:pPr>
    </w:p>
    <w:p w14:paraId="59C1B1AB">
      <w:pPr>
        <w:tabs>
          <w:tab w:val="right" w:pos="8306"/>
        </w:tabs>
        <w:spacing w:line="600" w:lineRule="exact"/>
        <w:ind w:firstLine="640"/>
        <w:outlineLvl w:val="1"/>
        <w:rPr>
          <w:rStyle w:val="29"/>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4"/>
      <w:bookmarkEnd w:id="35"/>
      <w:r>
        <w:rPr>
          <w:rStyle w:val="29"/>
          <w:rFonts w:ascii="Times New Roman" w:hAnsi="Times New Roman" w:eastAsia="黑体"/>
          <w:b w:val="0"/>
        </w:rPr>
        <w:tab/>
      </w:r>
    </w:p>
    <w:p w14:paraId="535B5155">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8867.53</w:t>
      </w:r>
      <w:r>
        <w:rPr>
          <w:rFonts w:hint="eastAsia" w:eastAsia="仿宋_GB2312" w:cs="仿宋_GB2312"/>
          <w:sz w:val="32"/>
          <w:szCs w:val="32"/>
        </w:rPr>
        <w:t>万元，其中：</w:t>
      </w:r>
    </w:p>
    <w:p w14:paraId="6A84F0C5">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8144.88</w:t>
      </w:r>
      <w:r>
        <w:rPr>
          <w:rFonts w:hint="eastAsia" w:eastAsia="仿宋_GB2312" w:cs="仿宋_GB2312"/>
          <w:sz w:val="32"/>
          <w:szCs w:val="32"/>
        </w:rPr>
        <w:t>万元，主要包括：基本工资</w:t>
      </w:r>
      <w:r>
        <w:rPr>
          <w:rFonts w:hint="eastAsia" w:eastAsia="仿宋_GB2312" w:cs="仿宋_GB2312"/>
          <w:sz w:val="32"/>
          <w:szCs w:val="32"/>
          <w:lang w:val="en-US" w:eastAsia="zh-CN"/>
        </w:rPr>
        <w:t>1542.51</w:t>
      </w:r>
      <w:r>
        <w:rPr>
          <w:rFonts w:hint="eastAsia" w:eastAsia="仿宋_GB2312" w:cs="仿宋_GB2312"/>
          <w:sz w:val="32"/>
          <w:szCs w:val="32"/>
        </w:rPr>
        <w:t>万元、津贴补贴</w:t>
      </w:r>
      <w:r>
        <w:rPr>
          <w:rFonts w:hint="eastAsia" w:eastAsia="仿宋_GB2312" w:cs="仿宋_GB2312"/>
          <w:sz w:val="32"/>
          <w:szCs w:val="32"/>
          <w:lang w:val="en-US" w:eastAsia="zh-CN"/>
        </w:rPr>
        <w:t>1943.12</w:t>
      </w:r>
      <w:r>
        <w:rPr>
          <w:rFonts w:hint="eastAsia" w:eastAsia="仿宋_GB2312" w:cs="仿宋_GB2312"/>
          <w:sz w:val="32"/>
          <w:szCs w:val="32"/>
        </w:rPr>
        <w:t>万元、奖金</w:t>
      </w:r>
      <w:r>
        <w:rPr>
          <w:rFonts w:hint="eastAsia" w:eastAsia="仿宋_GB2312" w:cs="仿宋_GB2312"/>
          <w:sz w:val="32"/>
          <w:szCs w:val="32"/>
          <w:lang w:val="en-US" w:eastAsia="zh-CN"/>
        </w:rPr>
        <w:t>1762.87</w:t>
      </w:r>
      <w:r>
        <w:rPr>
          <w:rFonts w:hint="eastAsia" w:eastAsia="仿宋_GB2312" w:cs="仿宋_GB2312"/>
          <w:sz w:val="32"/>
          <w:szCs w:val="32"/>
        </w:rPr>
        <w:t>万元、机关事业单位基本养老保险缴费</w:t>
      </w:r>
      <w:r>
        <w:rPr>
          <w:rFonts w:hint="eastAsia" w:eastAsia="仿宋_GB2312" w:cs="仿宋_GB2312"/>
          <w:sz w:val="32"/>
          <w:szCs w:val="32"/>
          <w:lang w:val="en-US" w:eastAsia="zh-CN"/>
        </w:rPr>
        <w:t>740.54</w:t>
      </w:r>
      <w:r>
        <w:rPr>
          <w:rFonts w:hint="eastAsia" w:eastAsia="仿宋_GB2312" w:cs="仿宋_GB2312"/>
          <w:sz w:val="32"/>
          <w:szCs w:val="32"/>
        </w:rPr>
        <w:t>万元、职业年金缴费</w:t>
      </w:r>
      <w:r>
        <w:rPr>
          <w:rFonts w:hint="eastAsia" w:eastAsia="仿宋_GB2312" w:cs="仿宋_GB2312"/>
          <w:sz w:val="32"/>
          <w:szCs w:val="32"/>
          <w:lang w:val="en-US" w:eastAsia="zh-CN"/>
        </w:rPr>
        <w:t>48.74</w:t>
      </w:r>
      <w:r>
        <w:rPr>
          <w:rFonts w:hint="eastAsia" w:eastAsia="仿宋_GB2312" w:cs="仿宋_GB2312"/>
          <w:sz w:val="32"/>
          <w:szCs w:val="32"/>
        </w:rPr>
        <w:t>万元、职工基本医疗保险缴费</w:t>
      </w:r>
      <w:r>
        <w:rPr>
          <w:rFonts w:hint="eastAsia" w:eastAsia="仿宋_GB2312" w:cs="仿宋_GB2312"/>
          <w:sz w:val="32"/>
          <w:szCs w:val="32"/>
          <w:lang w:val="en-US" w:eastAsia="zh-CN"/>
        </w:rPr>
        <w:t>387.45</w:t>
      </w:r>
      <w:r>
        <w:rPr>
          <w:rFonts w:hint="eastAsia" w:eastAsia="仿宋_GB2312" w:cs="仿宋_GB2312"/>
          <w:sz w:val="32"/>
          <w:szCs w:val="32"/>
        </w:rPr>
        <w:t>万元、公务员医疗补助缴费</w:t>
      </w:r>
      <w:r>
        <w:rPr>
          <w:rFonts w:hint="eastAsia" w:eastAsia="仿宋_GB2312" w:cs="仿宋_GB2312"/>
          <w:sz w:val="32"/>
          <w:szCs w:val="32"/>
          <w:lang w:val="en-US" w:eastAsia="zh-CN"/>
        </w:rPr>
        <w:t>89.12</w:t>
      </w:r>
      <w:r>
        <w:rPr>
          <w:rFonts w:hint="eastAsia" w:eastAsia="仿宋_GB2312" w:cs="仿宋_GB2312"/>
          <w:sz w:val="32"/>
          <w:szCs w:val="32"/>
        </w:rPr>
        <w:t>万元、其他社会保障缴费</w:t>
      </w:r>
      <w:r>
        <w:rPr>
          <w:rFonts w:hint="eastAsia" w:eastAsia="仿宋_GB2312" w:cs="仿宋_GB2312"/>
          <w:sz w:val="32"/>
          <w:szCs w:val="32"/>
          <w:lang w:val="en-US" w:eastAsia="zh-CN"/>
        </w:rPr>
        <w:t>13.99</w:t>
      </w:r>
      <w:r>
        <w:rPr>
          <w:rFonts w:hint="eastAsia" w:eastAsia="仿宋_GB2312" w:cs="仿宋_GB2312"/>
          <w:sz w:val="32"/>
          <w:szCs w:val="32"/>
        </w:rPr>
        <w:t>万元、住房公积金</w:t>
      </w:r>
      <w:r>
        <w:rPr>
          <w:rFonts w:hint="eastAsia" w:eastAsia="仿宋_GB2312" w:cs="仿宋_GB2312"/>
          <w:sz w:val="32"/>
          <w:szCs w:val="32"/>
          <w:lang w:val="en-US" w:eastAsia="zh-CN"/>
        </w:rPr>
        <w:t>597.81</w:t>
      </w:r>
      <w:r>
        <w:rPr>
          <w:rFonts w:hint="eastAsia" w:eastAsia="仿宋_GB2312" w:cs="仿宋_GB2312"/>
          <w:sz w:val="32"/>
          <w:szCs w:val="32"/>
        </w:rPr>
        <w:t>万元、其他工资福利支出</w:t>
      </w:r>
      <w:r>
        <w:rPr>
          <w:rFonts w:hint="eastAsia" w:eastAsia="仿宋_GB2312" w:cs="仿宋_GB2312"/>
          <w:sz w:val="32"/>
          <w:szCs w:val="32"/>
          <w:lang w:val="en-US" w:eastAsia="zh-CN"/>
        </w:rPr>
        <w:t>726.36</w:t>
      </w:r>
      <w:r>
        <w:rPr>
          <w:rFonts w:hint="eastAsia" w:eastAsia="仿宋_GB2312" w:cs="仿宋_GB2312"/>
          <w:sz w:val="32"/>
          <w:szCs w:val="32"/>
        </w:rPr>
        <w:t>万元、生活补助</w:t>
      </w:r>
      <w:r>
        <w:rPr>
          <w:rFonts w:hint="eastAsia" w:eastAsia="仿宋_GB2312" w:cs="仿宋_GB2312"/>
          <w:sz w:val="32"/>
          <w:szCs w:val="32"/>
          <w:lang w:val="en-US" w:eastAsia="zh-CN"/>
        </w:rPr>
        <w:t>262.82</w:t>
      </w:r>
      <w:r>
        <w:rPr>
          <w:rFonts w:hint="eastAsia" w:eastAsia="仿宋_GB2312" w:cs="仿宋_GB2312"/>
          <w:sz w:val="32"/>
          <w:szCs w:val="32"/>
        </w:rPr>
        <w:t>万元、医疗费补助</w:t>
      </w:r>
      <w:r>
        <w:rPr>
          <w:rFonts w:hint="eastAsia" w:eastAsia="仿宋_GB2312" w:cs="仿宋_GB2312"/>
          <w:sz w:val="32"/>
          <w:szCs w:val="32"/>
          <w:lang w:val="en-US" w:eastAsia="zh-CN"/>
        </w:rPr>
        <w:t>21.37</w:t>
      </w:r>
      <w:r>
        <w:rPr>
          <w:rFonts w:hint="eastAsia" w:eastAsia="仿宋_GB2312" w:cs="仿宋_GB2312"/>
          <w:sz w:val="32"/>
          <w:szCs w:val="32"/>
        </w:rPr>
        <w:t>万元、奖励金0.</w:t>
      </w:r>
      <w:r>
        <w:rPr>
          <w:rFonts w:hint="eastAsia" w:eastAsia="仿宋_GB2312" w:cs="仿宋_GB2312"/>
          <w:sz w:val="32"/>
          <w:szCs w:val="32"/>
          <w:lang w:val="en-US" w:eastAsia="zh-CN"/>
        </w:rPr>
        <w:t>18</w:t>
      </w:r>
      <w:r>
        <w:rPr>
          <w:rFonts w:hint="eastAsia"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rPr>
        <w:t>其他对个人和家庭的补助</w:t>
      </w:r>
      <w:r>
        <w:rPr>
          <w:rFonts w:hint="eastAsia" w:eastAsia="仿宋_GB2312" w:cs="仿宋_GB2312"/>
          <w:sz w:val="32"/>
          <w:szCs w:val="32"/>
          <w:lang w:val="en-US" w:eastAsia="zh-CN"/>
        </w:rPr>
        <w:t>8万元</w:t>
      </w:r>
      <w:r>
        <w:rPr>
          <w:rFonts w:hint="eastAsia" w:eastAsia="仿宋_GB2312" w:cs="仿宋_GB2312"/>
          <w:sz w:val="32"/>
          <w:szCs w:val="32"/>
        </w:rPr>
        <w:t>。</w:t>
      </w:r>
    </w:p>
    <w:p w14:paraId="09B8389B">
      <w:pPr>
        <w:spacing w:line="600" w:lineRule="exact"/>
        <w:ind w:firstLine="640"/>
        <w:rPr>
          <w:rFonts w:eastAsia="仿宋_GB2312" w:cs="仿宋_GB2312"/>
          <w:sz w:val="32"/>
          <w:szCs w:val="32"/>
        </w:rPr>
      </w:pPr>
      <w:r>
        <w:rPr>
          <w:rFonts w:hint="eastAsia" w:eastAsia="仿宋_GB2312" w:cs="仿宋_GB2312"/>
          <w:sz w:val="32"/>
          <w:szCs w:val="32"/>
        </w:rPr>
        <w:t>公用经费</w:t>
      </w:r>
      <w:r>
        <w:rPr>
          <w:rFonts w:hint="eastAsia" w:eastAsia="仿宋_GB2312" w:cs="仿宋_GB2312"/>
          <w:sz w:val="32"/>
          <w:szCs w:val="32"/>
          <w:lang w:val="en-US" w:eastAsia="zh-CN"/>
        </w:rPr>
        <w:t>722.65</w:t>
      </w:r>
      <w:r>
        <w:rPr>
          <w:rFonts w:hint="eastAsia" w:eastAsia="仿宋_GB2312" w:cs="仿宋_GB2312"/>
          <w:sz w:val="32"/>
          <w:szCs w:val="32"/>
        </w:rPr>
        <w:t>万元，主要包括：办公费</w:t>
      </w:r>
      <w:r>
        <w:rPr>
          <w:rFonts w:hint="eastAsia" w:eastAsia="仿宋_GB2312" w:cs="仿宋_GB2312"/>
          <w:sz w:val="32"/>
          <w:szCs w:val="32"/>
          <w:lang w:val="en-US" w:eastAsia="zh-CN"/>
        </w:rPr>
        <w:t>17.17</w:t>
      </w:r>
      <w:r>
        <w:rPr>
          <w:rFonts w:hint="eastAsia" w:eastAsia="仿宋_GB2312" w:cs="仿宋_GB2312"/>
          <w:sz w:val="32"/>
          <w:szCs w:val="32"/>
        </w:rPr>
        <w:t>万元、水费</w:t>
      </w:r>
      <w:r>
        <w:rPr>
          <w:rFonts w:hint="eastAsia" w:eastAsia="仿宋_GB2312" w:cs="仿宋_GB2312"/>
          <w:sz w:val="32"/>
          <w:szCs w:val="32"/>
          <w:lang w:val="en-US" w:eastAsia="zh-CN"/>
        </w:rPr>
        <w:t>8.2</w:t>
      </w:r>
      <w:r>
        <w:rPr>
          <w:rFonts w:hint="eastAsia" w:eastAsia="仿宋_GB2312" w:cs="仿宋_GB2312"/>
          <w:sz w:val="32"/>
          <w:szCs w:val="32"/>
        </w:rPr>
        <w:t>万元、电费</w:t>
      </w:r>
      <w:r>
        <w:rPr>
          <w:rFonts w:hint="eastAsia" w:eastAsia="仿宋_GB2312" w:cs="仿宋_GB2312"/>
          <w:sz w:val="32"/>
          <w:szCs w:val="32"/>
          <w:lang w:val="en-US" w:eastAsia="zh-CN"/>
        </w:rPr>
        <w:t>66.53</w:t>
      </w:r>
      <w:r>
        <w:rPr>
          <w:rFonts w:hint="eastAsia" w:eastAsia="仿宋_GB2312" w:cs="仿宋_GB2312"/>
          <w:sz w:val="32"/>
          <w:szCs w:val="32"/>
        </w:rPr>
        <w:t>万元、邮电费</w:t>
      </w:r>
      <w:r>
        <w:rPr>
          <w:rFonts w:hint="eastAsia" w:eastAsia="仿宋_GB2312" w:cs="仿宋_GB2312"/>
          <w:sz w:val="32"/>
          <w:szCs w:val="32"/>
          <w:lang w:val="en-US" w:eastAsia="zh-CN"/>
        </w:rPr>
        <w:t>7.26</w:t>
      </w:r>
      <w:r>
        <w:rPr>
          <w:rFonts w:hint="eastAsia" w:eastAsia="仿宋_GB2312" w:cs="仿宋_GB2312"/>
          <w:sz w:val="32"/>
          <w:szCs w:val="32"/>
        </w:rPr>
        <w:t>万元、差旅费</w:t>
      </w:r>
      <w:r>
        <w:rPr>
          <w:rFonts w:hint="eastAsia" w:eastAsia="仿宋_GB2312" w:cs="仿宋_GB2312"/>
          <w:sz w:val="32"/>
          <w:szCs w:val="32"/>
          <w:lang w:val="en-US" w:eastAsia="zh-CN"/>
        </w:rPr>
        <w:t>40</w:t>
      </w:r>
      <w:r>
        <w:rPr>
          <w:rFonts w:hint="eastAsia" w:eastAsia="仿宋_GB2312" w:cs="仿宋_GB2312"/>
          <w:sz w:val="32"/>
          <w:szCs w:val="32"/>
        </w:rPr>
        <w:t>万元、 维修（护）费</w:t>
      </w:r>
      <w:r>
        <w:rPr>
          <w:rFonts w:hint="eastAsia" w:eastAsia="仿宋_GB2312" w:cs="仿宋_GB2312"/>
          <w:sz w:val="32"/>
          <w:szCs w:val="32"/>
          <w:lang w:val="en-US" w:eastAsia="zh-CN"/>
        </w:rPr>
        <w:t>5.9</w:t>
      </w:r>
      <w:r>
        <w:rPr>
          <w:rFonts w:hint="eastAsia" w:eastAsia="仿宋_GB2312" w:cs="仿宋_GB2312"/>
          <w:sz w:val="32"/>
          <w:szCs w:val="32"/>
        </w:rPr>
        <w:t>万元、公务接待费</w:t>
      </w:r>
      <w:r>
        <w:rPr>
          <w:rFonts w:hint="eastAsia" w:eastAsia="仿宋_GB2312" w:cs="仿宋_GB2312"/>
          <w:sz w:val="32"/>
          <w:szCs w:val="32"/>
          <w:lang w:val="en-US" w:eastAsia="zh-CN"/>
        </w:rPr>
        <w:t>0.21</w:t>
      </w:r>
      <w:r>
        <w:rPr>
          <w:rFonts w:hint="eastAsia" w:eastAsia="仿宋_GB2312" w:cs="仿宋_GB2312"/>
          <w:sz w:val="32"/>
          <w:szCs w:val="32"/>
        </w:rPr>
        <w:t>万元、</w:t>
      </w:r>
      <w:r>
        <w:rPr>
          <w:rFonts w:hint="eastAsia" w:eastAsia="仿宋_GB2312" w:cs="仿宋_GB2312"/>
          <w:sz w:val="32"/>
          <w:szCs w:val="32"/>
          <w:lang w:eastAsia="zh-CN"/>
        </w:rPr>
        <w:t>劳务费</w:t>
      </w:r>
      <w:r>
        <w:rPr>
          <w:rFonts w:hint="eastAsia" w:eastAsia="仿宋_GB2312" w:cs="仿宋_GB2312"/>
          <w:sz w:val="32"/>
          <w:szCs w:val="32"/>
          <w:lang w:val="en-US" w:eastAsia="zh-CN"/>
        </w:rPr>
        <w:t>11.95万元、</w:t>
      </w:r>
      <w:r>
        <w:rPr>
          <w:rFonts w:hint="eastAsia" w:eastAsia="仿宋_GB2312" w:cs="仿宋_GB2312"/>
          <w:sz w:val="32"/>
          <w:szCs w:val="32"/>
        </w:rPr>
        <w:t>委托业务费</w:t>
      </w:r>
      <w:r>
        <w:rPr>
          <w:rFonts w:hint="eastAsia" w:eastAsia="仿宋_GB2312" w:cs="仿宋_GB2312"/>
          <w:sz w:val="32"/>
          <w:szCs w:val="32"/>
          <w:lang w:val="en-US" w:eastAsia="zh-CN"/>
        </w:rPr>
        <w:t>61.54</w:t>
      </w:r>
      <w:r>
        <w:rPr>
          <w:rFonts w:hint="eastAsia" w:eastAsia="仿宋_GB2312" w:cs="仿宋_GB2312"/>
          <w:sz w:val="32"/>
          <w:szCs w:val="32"/>
        </w:rPr>
        <w:t>万元、工会经费</w:t>
      </w:r>
      <w:r>
        <w:rPr>
          <w:rFonts w:hint="eastAsia" w:eastAsia="仿宋_GB2312" w:cs="仿宋_GB2312"/>
          <w:sz w:val="32"/>
          <w:szCs w:val="32"/>
          <w:lang w:val="en-US" w:eastAsia="zh-CN"/>
        </w:rPr>
        <w:t>58.6</w:t>
      </w:r>
      <w:r>
        <w:rPr>
          <w:rFonts w:hint="eastAsia" w:eastAsia="仿宋_GB2312" w:cs="仿宋_GB2312"/>
          <w:sz w:val="32"/>
          <w:szCs w:val="32"/>
        </w:rPr>
        <w:t>万元、福利费</w:t>
      </w:r>
      <w:r>
        <w:rPr>
          <w:rFonts w:hint="eastAsia" w:eastAsia="仿宋_GB2312" w:cs="仿宋_GB2312"/>
          <w:sz w:val="32"/>
          <w:szCs w:val="32"/>
          <w:lang w:val="en-US" w:eastAsia="zh-CN"/>
        </w:rPr>
        <w:t>35.12</w:t>
      </w:r>
      <w:r>
        <w:rPr>
          <w:rFonts w:hint="eastAsia" w:eastAsia="仿宋_GB2312" w:cs="仿宋_GB2312"/>
          <w:sz w:val="32"/>
          <w:szCs w:val="32"/>
        </w:rPr>
        <w:t>万元、公务用车运行维护费</w:t>
      </w:r>
      <w:r>
        <w:rPr>
          <w:rFonts w:hint="eastAsia" w:eastAsia="仿宋_GB2312" w:cs="仿宋_GB2312"/>
          <w:sz w:val="32"/>
          <w:szCs w:val="32"/>
          <w:lang w:val="en-US" w:eastAsia="zh-CN"/>
        </w:rPr>
        <w:t>92.72</w:t>
      </w:r>
      <w:r>
        <w:rPr>
          <w:rFonts w:hint="eastAsia" w:eastAsia="仿宋_GB2312" w:cs="仿宋_GB2312"/>
          <w:sz w:val="32"/>
          <w:szCs w:val="32"/>
        </w:rPr>
        <w:t>万元、其他交通费用</w:t>
      </w:r>
      <w:r>
        <w:rPr>
          <w:rFonts w:hint="eastAsia" w:eastAsia="仿宋_GB2312" w:cs="仿宋_GB2312"/>
          <w:sz w:val="32"/>
          <w:szCs w:val="32"/>
          <w:lang w:val="en-US" w:eastAsia="zh-CN"/>
        </w:rPr>
        <w:t>310.97</w:t>
      </w:r>
      <w:r>
        <w:rPr>
          <w:rFonts w:hint="eastAsia" w:eastAsia="仿宋_GB2312" w:cs="仿宋_GB2312"/>
          <w:sz w:val="32"/>
          <w:szCs w:val="32"/>
        </w:rPr>
        <w:t>万元、其他商品和服务支出</w:t>
      </w:r>
      <w:r>
        <w:rPr>
          <w:rFonts w:hint="eastAsia" w:eastAsia="仿宋_GB2312" w:cs="仿宋_GB2312"/>
          <w:sz w:val="32"/>
          <w:szCs w:val="32"/>
          <w:lang w:val="en-US" w:eastAsia="zh-CN"/>
        </w:rPr>
        <w:t>6.48</w:t>
      </w:r>
      <w:r>
        <w:rPr>
          <w:rFonts w:hint="eastAsia" w:eastAsia="仿宋_GB2312" w:cs="仿宋_GB2312"/>
          <w:sz w:val="32"/>
          <w:szCs w:val="32"/>
        </w:rPr>
        <w:t>万元。</w:t>
      </w:r>
    </w:p>
    <w:p w14:paraId="47D9B02B">
      <w:pPr>
        <w:spacing w:line="600" w:lineRule="exact"/>
        <w:ind w:firstLine="640"/>
        <w:rPr>
          <w:rFonts w:eastAsia="仿宋_GB2312" w:cs="仿宋_GB2312"/>
          <w:sz w:val="32"/>
          <w:szCs w:val="32"/>
        </w:rPr>
      </w:pPr>
    </w:p>
    <w:p w14:paraId="0DA8CA7F">
      <w:pPr>
        <w:spacing w:line="600" w:lineRule="exact"/>
        <w:ind w:firstLine="640"/>
        <w:outlineLvl w:val="1"/>
        <w:rPr>
          <w:rStyle w:val="29"/>
          <w:rFonts w:ascii="Times New Roman" w:hAnsi="Times New Roman" w:eastAsia="黑体"/>
          <w:b w:val="0"/>
        </w:rPr>
      </w:pPr>
      <w:bookmarkStart w:id="36" w:name="_Toc15377215"/>
      <w:bookmarkStart w:id="37"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6"/>
      <w:bookmarkEnd w:id="37"/>
    </w:p>
    <w:p w14:paraId="0B6A84C4">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（一）财政拨款“三公”经费支出决算总体情况说明</w:t>
      </w:r>
      <w:bookmarkEnd w:id="38"/>
    </w:p>
    <w:p w14:paraId="01560382">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92.93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5.65</w:t>
      </w:r>
      <w:r>
        <w:rPr>
          <w:rFonts w:hint="eastAsia" w:eastAsia="仿宋_GB2312" w:cs="仿宋_GB2312"/>
          <w:sz w:val="32"/>
          <w:szCs w:val="32"/>
        </w:rPr>
        <w:t>万元，下降</w:t>
      </w:r>
      <w:r>
        <w:rPr>
          <w:rFonts w:hint="eastAsia" w:eastAsia="仿宋_GB2312" w:cs="仿宋_GB2312"/>
          <w:sz w:val="32"/>
          <w:szCs w:val="32"/>
          <w:lang w:val="en-US" w:eastAsia="zh-CN"/>
        </w:rPr>
        <w:t>5.7</w:t>
      </w:r>
      <w:r>
        <w:rPr>
          <w:rFonts w:hint="eastAsia" w:eastAsia="仿宋_GB2312" w:cs="仿宋_GB2312"/>
          <w:sz w:val="32"/>
          <w:szCs w:val="32"/>
        </w:rPr>
        <w:t>%。决算数与预算数持平</w:t>
      </w:r>
      <w:r>
        <w:rPr>
          <w:rFonts w:hint="eastAsia" w:ascii="Times New Roman" w:hAnsi="Times New Roman" w:eastAsia="仿宋_GB2312" w:cs="仿宋_GB2312"/>
          <w:color w:val="auto"/>
          <w:kern w:val="2"/>
          <w:sz w:val="32"/>
          <w:szCs w:val="32"/>
          <w:highlight w:val="none"/>
          <w:lang w:val="en-US" w:eastAsia="zh-CN" w:bidi="ar-SA"/>
        </w:rPr>
        <w:t>的主要原因是</w:t>
      </w:r>
      <w:r>
        <w:rPr>
          <w:rFonts w:hint="eastAsia" w:eastAsia="仿宋_GB2312" w:cs="仿宋_GB2312"/>
          <w:color w:val="auto"/>
          <w:kern w:val="2"/>
          <w:sz w:val="32"/>
          <w:szCs w:val="32"/>
          <w:highlight w:val="none"/>
          <w:lang w:val="en-US" w:eastAsia="zh-CN" w:bidi="ar-SA"/>
        </w:rPr>
        <w:t>本年度我局严格落实财政下达关于过“紧日子”要求，厉行节约，缩减三公经费支出</w:t>
      </w:r>
      <w:r>
        <w:rPr>
          <w:rFonts w:hint="eastAsia" w:eastAsia="仿宋_GB2312" w:cs="仿宋_GB2312"/>
          <w:sz w:val="32"/>
          <w:szCs w:val="32"/>
          <w:lang w:eastAsia="zh-CN"/>
        </w:rPr>
        <w:t>。</w:t>
      </w:r>
    </w:p>
    <w:p w14:paraId="70B65D29">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（二）财政拨款“三公”经费支出决算具体情况说明</w:t>
      </w:r>
      <w:bookmarkEnd w:id="39"/>
    </w:p>
    <w:p w14:paraId="6FC075F2">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万元；公务用车购置及运行维护费支出决算</w:t>
      </w:r>
      <w:r>
        <w:rPr>
          <w:rFonts w:hint="eastAsia" w:eastAsia="仿宋_GB2312" w:cs="仿宋_GB2312"/>
          <w:sz w:val="32"/>
          <w:szCs w:val="32"/>
          <w:lang w:val="en-US" w:eastAsia="zh-CN"/>
        </w:rPr>
        <w:t>0</w:t>
      </w:r>
      <w:r>
        <w:rPr>
          <w:rFonts w:hint="eastAsia" w:eastAsia="仿宋_GB2312" w:cs="仿宋_GB2312"/>
          <w:sz w:val="32"/>
          <w:szCs w:val="32"/>
        </w:rPr>
        <w:t>万元；公务接待费支出决算</w:t>
      </w:r>
      <w:r>
        <w:rPr>
          <w:rFonts w:hint="eastAsia" w:eastAsia="仿宋_GB2312" w:cs="仿宋_GB2312"/>
          <w:sz w:val="32"/>
          <w:szCs w:val="32"/>
          <w:lang w:val="en-US" w:eastAsia="zh-CN"/>
        </w:rPr>
        <w:t>0.21</w:t>
      </w:r>
      <w:r>
        <w:rPr>
          <w:rFonts w:hint="eastAsia" w:eastAsia="仿宋_GB2312" w:cs="仿宋_GB2312"/>
          <w:sz w:val="32"/>
          <w:szCs w:val="32"/>
        </w:rPr>
        <w:t>万元，占</w:t>
      </w:r>
      <w:r>
        <w:rPr>
          <w:rFonts w:hint="eastAsia" w:eastAsia="仿宋_GB2312" w:cs="仿宋_GB2312"/>
          <w:sz w:val="32"/>
          <w:szCs w:val="32"/>
          <w:lang w:val="en-US" w:eastAsia="zh-CN"/>
        </w:rPr>
        <w:t>0.2</w:t>
      </w:r>
      <w:r>
        <w:rPr>
          <w:rFonts w:hint="eastAsia" w:eastAsia="仿宋_GB2312" w:cs="仿宋_GB2312"/>
          <w:sz w:val="32"/>
          <w:szCs w:val="32"/>
        </w:rPr>
        <w:t>%。具体情况如下：</w:t>
      </w:r>
    </w:p>
    <w:p w14:paraId="39F6CB86">
      <w:pPr>
        <w:pStyle w:val="2"/>
      </w:pPr>
      <w:r>
        <w:rPr>
          <w:rFonts w:hint="eastAsia"/>
          <w:lang w:val="en-US" w:eastAsia="zh-CN"/>
        </w:rPr>
        <w:t xml:space="preserve">   </w:t>
      </w: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F686D03">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452DDFAF">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eastAsia="zh-CN"/>
        </w:rPr>
        <w:t>与</w:t>
      </w:r>
      <w:r>
        <w:rPr>
          <w:rFonts w:hint="eastAsia" w:eastAsia="仿宋_GB2312" w:cs="仿宋_GB2312"/>
          <w:sz w:val="32"/>
          <w:szCs w:val="32"/>
        </w:rPr>
        <w:t>上年度</w:t>
      </w:r>
      <w:r>
        <w:rPr>
          <w:rFonts w:hint="eastAsia" w:eastAsia="仿宋_GB2312" w:cs="仿宋_GB2312"/>
          <w:sz w:val="32"/>
          <w:szCs w:val="32"/>
          <w:lang w:eastAsia="zh-CN"/>
        </w:rPr>
        <w:t>持平。</w:t>
      </w:r>
    </w:p>
    <w:p w14:paraId="7D6D0520">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92.72</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5.73</w:t>
      </w:r>
      <w:r>
        <w:rPr>
          <w:rFonts w:hint="eastAsia" w:eastAsia="仿宋_GB2312" w:cs="仿宋_GB2312"/>
          <w:sz w:val="32"/>
          <w:szCs w:val="32"/>
        </w:rPr>
        <w:t>万元，下降</w:t>
      </w:r>
      <w:r>
        <w:rPr>
          <w:rFonts w:hint="eastAsia" w:eastAsia="仿宋_GB2312" w:cs="仿宋_GB2312"/>
          <w:sz w:val="32"/>
          <w:szCs w:val="32"/>
          <w:lang w:val="en-US" w:eastAsia="zh-CN"/>
        </w:rPr>
        <w:t>5.8</w:t>
      </w:r>
      <w:r>
        <w:rPr>
          <w:rFonts w:hint="eastAsia" w:eastAsia="仿宋_GB2312" w:cs="仿宋_GB2312"/>
          <w:sz w:val="32"/>
          <w:szCs w:val="32"/>
        </w:rPr>
        <w:t>%。主要原因是</w:t>
      </w:r>
      <w:r>
        <w:rPr>
          <w:rFonts w:hint="eastAsia" w:ascii="Times New Roman" w:hAnsi="Times New Roman" w:eastAsia="仿宋_GB2312" w:cs="仿宋_GB2312"/>
          <w:color w:val="auto"/>
          <w:kern w:val="2"/>
          <w:sz w:val="32"/>
          <w:szCs w:val="32"/>
          <w:highlight w:val="none"/>
          <w:lang w:val="en-US" w:eastAsia="zh-CN" w:bidi="ar-SA"/>
        </w:rPr>
        <w:t>是</w:t>
      </w:r>
      <w:r>
        <w:rPr>
          <w:rFonts w:hint="eastAsia" w:eastAsia="仿宋_GB2312" w:cs="仿宋_GB2312"/>
          <w:color w:val="auto"/>
          <w:kern w:val="2"/>
          <w:sz w:val="32"/>
          <w:szCs w:val="32"/>
          <w:highlight w:val="none"/>
          <w:lang w:val="en-US" w:eastAsia="zh-CN" w:bidi="ar-SA"/>
        </w:rPr>
        <w:t>本年度我局严格落实财政下达关于过“紧日子”要求，厉行节约，缩减三公经费支出</w:t>
      </w:r>
      <w:r>
        <w:rPr>
          <w:rFonts w:hint="eastAsia" w:eastAsia="仿宋_GB2312" w:cs="仿宋_GB2312"/>
          <w:sz w:val="32"/>
          <w:szCs w:val="32"/>
          <w:lang w:eastAsia="zh-CN"/>
        </w:rPr>
        <w:t>。</w:t>
      </w:r>
    </w:p>
    <w:p w14:paraId="19961BC9">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万元。截至2025年12月31日，单位共有公务用车60辆，</w:t>
      </w:r>
      <w:r>
        <w:rPr>
          <w:rFonts w:hint="eastAsia" w:eastAsia="仿宋_GB2312" w:cs="仿宋_GB2312"/>
          <w:sz w:val="32"/>
          <w:szCs w:val="32"/>
          <w:lang w:eastAsia="zh-CN"/>
        </w:rPr>
        <w:t>全部为执法执勤用车，</w:t>
      </w:r>
      <w:r>
        <w:rPr>
          <w:rFonts w:hint="eastAsia" w:eastAsia="仿宋_GB2312" w:cs="仿宋_GB2312"/>
          <w:sz w:val="32"/>
          <w:szCs w:val="32"/>
        </w:rPr>
        <w:t>其中：轿车</w:t>
      </w:r>
      <w:r>
        <w:rPr>
          <w:rFonts w:hint="eastAsia" w:eastAsia="仿宋_GB2312" w:cs="仿宋_GB2312"/>
          <w:sz w:val="32"/>
          <w:szCs w:val="32"/>
          <w:lang w:val="en-US" w:eastAsia="zh-CN"/>
        </w:rPr>
        <w:t>13</w:t>
      </w:r>
      <w:r>
        <w:rPr>
          <w:rFonts w:hint="eastAsia" w:eastAsia="仿宋_GB2312" w:cs="仿宋_GB2312"/>
          <w:sz w:val="32"/>
          <w:szCs w:val="32"/>
        </w:rPr>
        <w:t>辆、越野车</w:t>
      </w:r>
      <w:r>
        <w:rPr>
          <w:rFonts w:hint="eastAsia" w:eastAsia="仿宋_GB2312" w:cs="仿宋_GB2312"/>
          <w:sz w:val="32"/>
          <w:szCs w:val="32"/>
          <w:lang w:val="en-US" w:eastAsia="zh-CN"/>
        </w:rPr>
        <w:t>2</w:t>
      </w:r>
      <w:r>
        <w:rPr>
          <w:rFonts w:hint="eastAsia" w:eastAsia="仿宋_GB2312" w:cs="仿宋_GB2312"/>
          <w:sz w:val="32"/>
          <w:szCs w:val="32"/>
        </w:rPr>
        <w:t>辆、载客汽车</w:t>
      </w:r>
      <w:r>
        <w:rPr>
          <w:rFonts w:hint="eastAsia" w:eastAsia="仿宋_GB2312" w:cs="仿宋_GB2312"/>
          <w:sz w:val="32"/>
          <w:szCs w:val="32"/>
          <w:lang w:val="en-US" w:eastAsia="zh-CN"/>
        </w:rPr>
        <w:t>45</w:t>
      </w:r>
      <w:r>
        <w:rPr>
          <w:rFonts w:hint="eastAsia" w:eastAsia="仿宋_GB2312" w:cs="仿宋_GB2312"/>
          <w:sz w:val="32"/>
          <w:szCs w:val="32"/>
        </w:rPr>
        <w:t>辆。公务用车运行维护费支出</w:t>
      </w:r>
      <w:r>
        <w:rPr>
          <w:rFonts w:hint="eastAsia" w:eastAsia="仿宋_GB2312" w:cs="仿宋_GB2312"/>
          <w:sz w:val="32"/>
          <w:szCs w:val="32"/>
          <w:lang w:val="en-US" w:eastAsia="zh-CN"/>
        </w:rPr>
        <w:t>92.72</w:t>
      </w:r>
      <w:r>
        <w:rPr>
          <w:rFonts w:hint="eastAsia" w:eastAsia="仿宋_GB2312" w:cs="仿宋_GB2312"/>
          <w:sz w:val="32"/>
          <w:szCs w:val="32"/>
        </w:rPr>
        <w:t>万元。主要用于我局办案业务、执法执勤等工作所需的公务用车燃料费、维修费、过路过桥费、保险费等支出。</w:t>
      </w:r>
    </w:p>
    <w:p w14:paraId="0BE61E4C">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0.21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0.08</w:t>
      </w:r>
      <w:r>
        <w:rPr>
          <w:rFonts w:hint="eastAsia" w:eastAsia="仿宋_GB2312" w:cs="仿宋_GB2312"/>
          <w:sz w:val="32"/>
          <w:szCs w:val="32"/>
        </w:rPr>
        <w:t>万元，增长</w:t>
      </w:r>
      <w:r>
        <w:rPr>
          <w:rFonts w:hint="eastAsia" w:eastAsia="仿宋_GB2312" w:cs="仿宋_GB2312"/>
          <w:sz w:val="32"/>
          <w:szCs w:val="32"/>
          <w:lang w:val="en-US" w:eastAsia="zh-CN"/>
        </w:rPr>
        <w:t>61.5</w:t>
      </w:r>
      <w:r>
        <w:rPr>
          <w:rFonts w:hint="eastAsia" w:eastAsia="仿宋_GB2312" w:cs="仿宋_GB2312"/>
          <w:sz w:val="32"/>
          <w:szCs w:val="32"/>
        </w:rPr>
        <w:t>%。主要原因是</w:t>
      </w:r>
      <w:r>
        <w:rPr>
          <w:rFonts w:hint="eastAsia" w:eastAsia="仿宋_GB2312" w:cs="仿宋_GB2312"/>
          <w:sz w:val="32"/>
          <w:szCs w:val="32"/>
          <w:lang w:eastAsia="zh-CN"/>
        </w:rPr>
        <w:t>本年度公务接待人员及批次较上年增加</w:t>
      </w:r>
      <w:r>
        <w:rPr>
          <w:rFonts w:hint="eastAsia" w:eastAsia="仿宋_GB2312" w:cs="仿宋_GB2312"/>
          <w:sz w:val="32"/>
          <w:szCs w:val="32"/>
        </w:rPr>
        <w:t>。其中：</w:t>
      </w:r>
    </w:p>
    <w:p w14:paraId="4EBE3985">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0.21</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2</w:t>
      </w:r>
      <w:r>
        <w:rPr>
          <w:rFonts w:hint="eastAsia" w:eastAsia="仿宋_GB2312" w:cs="仿宋_GB2312"/>
          <w:sz w:val="32"/>
          <w:szCs w:val="32"/>
        </w:rPr>
        <w:t>批次，</w:t>
      </w:r>
      <w:r>
        <w:rPr>
          <w:rFonts w:hint="eastAsia" w:eastAsia="仿宋_GB2312" w:cs="仿宋_GB2312"/>
          <w:sz w:val="32"/>
          <w:szCs w:val="32"/>
          <w:lang w:val="en-US" w:eastAsia="zh-CN"/>
        </w:rPr>
        <w:t>10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0.21</w:t>
      </w:r>
      <w:r>
        <w:rPr>
          <w:rFonts w:hint="eastAsia" w:eastAsia="仿宋_GB2312" w:cs="仿宋_GB2312"/>
          <w:sz w:val="32"/>
          <w:szCs w:val="32"/>
        </w:rPr>
        <w:t>万元，具体内容包括：</w:t>
      </w:r>
      <w:r>
        <w:rPr>
          <w:rFonts w:hint="eastAsia" w:eastAsia="仿宋_GB2312" w:cs="仿宋_GB2312"/>
          <w:sz w:val="32"/>
          <w:szCs w:val="32"/>
          <w:lang w:val="en-US" w:eastAsia="zh-CN"/>
        </w:rPr>
        <w:t>2025年5月30日云南永仁县公安局到我局开展交流学习，</w:t>
      </w:r>
      <w:r>
        <w:rPr>
          <w:rFonts w:hint="eastAsia" w:eastAsia="仿宋_GB2312" w:cs="仿宋_GB2312"/>
          <w:sz w:val="32"/>
          <w:szCs w:val="32"/>
        </w:rPr>
        <w:t>公务</w:t>
      </w:r>
      <w:r>
        <w:rPr>
          <w:rFonts w:hint="eastAsia" w:eastAsia="仿宋_GB2312" w:cs="仿宋_GB2312"/>
          <w:sz w:val="32"/>
          <w:szCs w:val="32"/>
          <w:lang w:eastAsia="zh-CN"/>
        </w:rPr>
        <w:t>接待</w:t>
      </w:r>
      <w:r>
        <w:rPr>
          <w:rFonts w:hint="eastAsia" w:eastAsia="仿宋_GB2312" w:cs="仿宋_GB2312"/>
          <w:sz w:val="32"/>
          <w:szCs w:val="32"/>
          <w:lang w:val="en-US" w:eastAsia="zh-CN"/>
        </w:rPr>
        <w:t>1次，晚餐金额0.11万元</w:t>
      </w:r>
      <w:r>
        <w:rPr>
          <w:rFonts w:hint="eastAsia" w:eastAsia="仿宋_GB2312" w:cs="仿宋_GB2312"/>
          <w:sz w:val="32"/>
          <w:szCs w:val="32"/>
          <w:lang w:eastAsia="zh-CN"/>
        </w:rPr>
        <w:t>；</w:t>
      </w:r>
      <w:r>
        <w:rPr>
          <w:rFonts w:hint="eastAsia" w:eastAsia="仿宋_GB2312" w:cs="仿宋_GB2312"/>
          <w:sz w:val="32"/>
          <w:szCs w:val="32"/>
          <w:lang w:val="en-US" w:eastAsia="zh-CN"/>
        </w:rPr>
        <w:t>2025年8月13日</w:t>
      </w:r>
      <w:r>
        <w:rPr>
          <w:rFonts w:hint="eastAsia" w:eastAsia="仿宋_GB2312" w:cs="仿宋_GB2312"/>
          <w:sz w:val="32"/>
          <w:szCs w:val="32"/>
        </w:rPr>
        <w:t>巴中市公安局食药环支队</w:t>
      </w:r>
      <w:r>
        <w:rPr>
          <w:rFonts w:hint="eastAsia" w:eastAsia="仿宋_GB2312" w:cs="仿宋_GB2312"/>
          <w:sz w:val="32"/>
          <w:szCs w:val="32"/>
          <w:lang w:val="en-US" w:eastAsia="zh-CN"/>
        </w:rPr>
        <w:t>下午到攀枝花市公安局仁和区分局交流学习，</w:t>
      </w:r>
      <w:r>
        <w:rPr>
          <w:rFonts w:hint="eastAsia" w:eastAsia="仿宋_GB2312" w:cs="仿宋_GB2312"/>
          <w:sz w:val="32"/>
          <w:szCs w:val="32"/>
        </w:rPr>
        <w:t>公务</w:t>
      </w:r>
      <w:r>
        <w:rPr>
          <w:rFonts w:hint="eastAsia" w:eastAsia="仿宋_GB2312" w:cs="仿宋_GB2312"/>
          <w:sz w:val="32"/>
          <w:szCs w:val="32"/>
          <w:lang w:eastAsia="zh-CN"/>
        </w:rPr>
        <w:t>接待</w:t>
      </w:r>
      <w:r>
        <w:rPr>
          <w:rFonts w:hint="eastAsia" w:eastAsia="仿宋_GB2312" w:cs="仿宋_GB2312"/>
          <w:sz w:val="32"/>
          <w:szCs w:val="32"/>
          <w:lang w:val="en-US" w:eastAsia="zh-CN"/>
        </w:rPr>
        <w:t>1次，晚餐金额0.1万元。</w:t>
      </w:r>
    </w:p>
    <w:p w14:paraId="5C21DB8C">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5796FA01">
      <w:pPr>
        <w:spacing w:line="600" w:lineRule="exact"/>
        <w:ind w:firstLine="640"/>
        <w:rPr>
          <w:rFonts w:eastAsia="仿宋_GB2312" w:cs="仿宋_GB2312"/>
          <w:sz w:val="32"/>
          <w:szCs w:val="32"/>
        </w:rPr>
      </w:pPr>
      <w:bookmarkStart w:id="40" w:name="_Toc15377218"/>
      <w:bookmarkStart w:id="41" w:name="_Toc15396610"/>
    </w:p>
    <w:p w14:paraId="4E6B05E9">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0"/>
      <w:bookmarkEnd w:id="41"/>
    </w:p>
    <w:p w14:paraId="1ECC7896">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万元，与上年度相比，政府性基金预算财政拨款支出</w:t>
      </w:r>
      <w:r>
        <w:rPr>
          <w:rFonts w:hint="eastAsia" w:eastAsia="仿宋_GB2312" w:cs="仿宋_GB2312"/>
          <w:sz w:val="32"/>
          <w:szCs w:val="32"/>
          <w:lang w:eastAsia="zh-CN"/>
        </w:rPr>
        <w:t>持平</w:t>
      </w:r>
      <w:r>
        <w:rPr>
          <w:rFonts w:hint="eastAsia" w:eastAsia="仿宋_GB2312" w:cs="仿宋_GB2312"/>
          <w:sz w:val="32"/>
          <w:szCs w:val="32"/>
        </w:rPr>
        <w:t>。</w:t>
      </w:r>
    </w:p>
    <w:p w14:paraId="214CA6CC">
      <w:pPr>
        <w:spacing w:line="600" w:lineRule="exact"/>
        <w:ind w:firstLine="640"/>
        <w:rPr>
          <w:rFonts w:eastAsia="仿宋_GB2312" w:cs="仿宋_GB2312"/>
          <w:sz w:val="32"/>
          <w:szCs w:val="32"/>
        </w:rPr>
      </w:pPr>
    </w:p>
    <w:p w14:paraId="6A50BD69">
      <w:pPr>
        <w:spacing w:line="600" w:lineRule="exact"/>
        <w:ind w:left="630"/>
        <w:outlineLvl w:val="1"/>
        <w:rPr>
          <w:rStyle w:val="29"/>
          <w:rFonts w:ascii="Times New Roman" w:hAnsi="Times New Roman" w:eastAsia="黑体"/>
          <w:b w:val="0"/>
        </w:rPr>
      </w:pPr>
      <w:bookmarkStart w:id="42" w:name="_Toc15377219"/>
      <w:bookmarkStart w:id="43" w:name="_Toc15396611"/>
      <w:r>
        <w:rPr>
          <w:rStyle w:val="29"/>
          <w:rFonts w:hint="eastAsia" w:ascii="Times New Roman" w:hAnsi="Times New Roman" w:eastAsia="黑体"/>
          <w:b w:val="0"/>
        </w:rPr>
        <w:t>九、国有资本经营预算支出决算情况说明</w:t>
      </w:r>
      <w:bookmarkEnd w:id="42"/>
      <w:bookmarkEnd w:id="43"/>
    </w:p>
    <w:p w14:paraId="62272C47">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万元，与上年度相比，国有资本经营预算财政拨款支出</w:t>
      </w:r>
      <w:r>
        <w:rPr>
          <w:rFonts w:hint="eastAsia" w:eastAsia="仿宋_GB2312" w:cs="仿宋_GB2312"/>
          <w:sz w:val="32"/>
          <w:szCs w:val="32"/>
          <w:lang w:eastAsia="zh-CN"/>
        </w:rPr>
        <w:t>持平。</w:t>
      </w:r>
    </w:p>
    <w:p w14:paraId="2D5A9C5D">
      <w:pPr>
        <w:spacing w:line="600" w:lineRule="exact"/>
        <w:ind w:left="630"/>
        <w:outlineLvl w:val="1"/>
        <w:rPr>
          <w:rStyle w:val="29"/>
          <w:rFonts w:ascii="Times New Roman" w:hAnsi="Times New Roman" w:eastAsia="黑体"/>
          <w:b w:val="0"/>
        </w:rPr>
      </w:pPr>
      <w:bookmarkStart w:id="44" w:name="_Toc15377221"/>
      <w:bookmarkStart w:id="45" w:name="_Toc15396612"/>
      <w:r>
        <w:rPr>
          <w:rStyle w:val="29"/>
          <w:rFonts w:hint="eastAsia" w:ascii="Times New Roman" w:hAnsi="Times New Roman" w:eastAsia="黑体"/>
          <w:b w:val="0"/>
        </w:rPr>
        <w:t>十、其他重要事项的情况说明</w:t>
      </w:r>
      <w:bookmarkEnd w:id="44"/>
      <w:bookmarkEnd w:id="45"/>
    </w:p>
    <w:p w14:paraId="21AAE7BB">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6E09D37B">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w:t>
      </w:r>
      <w:r>
        <w:rPr>
          <w:rFonts w:hint="eastAsia" w:eastAsia="仿宋_GB2312" w:cs="仿宋_GB2312"/>
          <w:sz w:val="32"/>
          <w:szCs w:val="32"/>
          <w:lang w:eastAsia="zh-CN"/>
        </w:rPr>
        <w:t>攀枝花市公安局仁和区分局</w:t>
      </w:r>
      <w:r>
        <w:rPr>
          <w:rFonts w:hint="eastAsia" w:eastAsia="仿宋_GB2312" w:cs="仿宋_GB2312"/>
          <w:sz w:val="32"/>
          <w:szCs w:val="32"/>
        </w:rPr>
        <w:t>机关运行经费支出</w:t>
      </w:r>
      <w:r>
        <w:rPr>
          <w:rFonts w:hint="eastAsia" w:eastAsia="仿宋_GB2312" w:cs="仿宋_GB2312"/>
          <w:sz w:val="32"/>
          <w:szCs w:val="32"/>
          <w:lang w:val="en-US" w:eastAsia="zh-CN"/>
        </w:rPr>
        <w:t>722.65</w:t>
      </w:r>
      <w:r>
        <w:rPr>
          <w:rFonts w:hint="eastAsia" w:eastAsia="仿宋_GB2312" w:cs="仿宋_GB2312"/>
          <w:sz w:val="32"/>
          <w:szCs w:val="32"/>
        </w:rPr>
        <w:t>万元，比上年度减少</w:t>
      </w:r>
      <w:r>
        <w:rPr>
          <w:rFonts w:hint="eastAsia" w:eastAsia="仿宋_GB2312" w:cs="仿宋_GB2312"/>
          <w:sz w:val="32"/>
          <w:szCs w:val="32"/>
          <w:lang w:val="en-US" w:eastAsia="zh-CN"/>
        </w:rPr>
        <w:t>353.81</w:t>
      </w:r>
      <w:r>
        <w:rPr>
          <w:rFonts w:hint="eastAsia" w:eastAsia="仿宋_GB2312" w:cs="仿宋_GB2312"/>
          <w:sz w:val="32"/>
          <w:szCs w:val="32"/>
        </w:rPr>
        <w:t>万元，下降</w:t>
      </w:r>
      <w:r>
        <w:rPr>
          <w:rFonts w:hint="eastAsia" w:eastAsia="仿宋_GB2312" w:cs="仿宋_GB2312"/>
          <w:sz w:val="32"/>
          <w:szCs w:val="32"/>
          <w:lang w:val="en-US" w:eastAsia="zh-CN"/>
        </w:rPr>
        <w:t>32.9</w:t>
      </w:r>
      <w:r>
        <w:rPr>
          <w:rFonts w:hint="eastAsia" w:eastAsia="仿宋_GB2312" w:cs="仿宋_GB2312"/>
          <w:sz w:val="32"/>
          <w:szCs w:val="32"/>
        </w:rPr>
        <w:t>%。主要原因是</w:t>
      </w:r>
      <w:r>
        <w:rPr>
          <w:rFonts w:hint="eastAsia" w:eastAsia="仿宋_GB2312" w:cs="仿宋_GB2312"/>
          <w:sz w:val="32"/>
          <w:szCs w:val="32"/>
          <w:lang w:eastAsia="zh-CN"/>
        </w:rPr>
        <w:t>本年度我局按财政节约经费要求，厉行节俭，保运转优先，压缩非必要支出，全局整体公用经费下降。</w:t>
      </w:r>
    </w:p>
    <w:p w14:paraId="7AF75152">
      <w:pPr>
        <w:spacing w:line="600" w:lineRule="exact"/>
        <w:ind w:firstLine="640"/>
        <w:rPr>
          <w:rFonts w:eastAsia="仿宋_GB2312" w:cs="仿宋_GB2312"/>
          <w:sz w:val="32"/>
          <w:szCs w:val="32"/>
        </w:rPr>
      </w:pPr>
    </w:p>
    <w:p w14:paraId="4BCF6FAE">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37524DDB">
      <w:pPr>
        <w:spacing w:line="600" w:lineRule="exact"/>
        <w:ind w:firstLine="640"/>
        <w:rPr>
          <w:rFonts w:eastAsia="仿宋_GB2312" w:cs="仿宋_GB2312"/>
          <w:sz w:val="32"/>
          <w:szCs w:val="32"/>
        </w:rPr>
      </w:pPr>
      <w:r>
        <w:rPr>
          <w:rFonts w:hint="eastAsia" w:eastAsia="仿宋_GB2312" w:cs="仿宋_GB2312"/>
          <w:sz w:val="32"/>
          <w:szCs w:val="32"/>
        </w:rPr>
        <w:t>2025年度，攀枝花市公安局仁和区分局政府采购支出总额</w:t>
      </w:r>
      <w:r>
        <w:rPr>
          <w:rFonts w:hint="eastAsia" w:eastAsia="仿宋_GB2312" w:cs="仿宋_GB2312"/>
          <w:sz w:val="32"/>
          <w:szCs w:val="32"/>
          <w:lang w:val="en-US" w:eastAsia="zh-CN"/>
        </w:rPr>
        <w:t>303.85</w:t>
      </w:r>
      <w:r>
        <w:rPr>
          <w:rFonts w:hint="eastAsia" w:eastAsia="仿宋_GB2312" w:cs="仿宋_GB2312"/>
          <w:sz w:val="32"/>
          <w:szCs w:val="32"/>
        </w:rPr>
        <w:t>万元，其中：政府采购货物支出</w:t>
      </w:r>
      <w:r>
        <w:rPr>
          <w:rFonts w:hint="eastAsia" w:eastAsia="仿宋_GB2312" w:cs="仿宋_GB2312"/>
          <w:sz w:val="32"/>
          <w:szCs w:val="32"/>
          <w:lang w:val="en-US" w:eastAsia="zh-CN"/>
        </w:rPr>
        <w:t>184.78</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119.06</w:t>
      </w:r>
      <w:r>
        <w:rPr>
          <w:rFonts w:hint="eastAsia" w:eastAsia="仿宋_GB2312" w:cs="仿宋_GB2312"/>
          <w:sz w:val="32"/>
          <w:szCs w:val="32"/>
        </w:rPr>
        <w:t>万元。主要用于</w:t>
      </w:r>
      <w:r>
        <w:rPr>
          <w:rFonts w:hint="eastAsia" w:eastAsia="仿宋_GB2312" w:cs="仿宋_GB2312"/>
          <w:sz w:val="32"/>
          <w:szCs w:val="32"/>
          <w:lang w:eastAsia="zh-CN"/>
        </w:rPr>
        <w:t>采购机关食堂、绿化保洁等服务支出</w:t>
      </w:r>
      <w:r>
        <w:rPr>
          <w:rFonts w:hint="eastAsia" w:eastAsia="仿宋_GB2312" w:cs="仿宋_GB2312"/>
          <w:sz w:val="32"/>
          <w:szCs w:val="32"/>
        </w:rPr>
        <w:t>。授予中小企业合同金额</w:t>
      </w:r>
      <w:r>
        <w:rPr>
          <w:rFonts w:hint="eastAsia" w:eastAsia="仿宋_GB2312" w:cs="仿宋_GB2312"/>
          <w:sz w:val="32"/>
          <w:szCs w:val="32"/>
          <w:lang w:val="en-US" w:eastAsia="zh-CN"/>
        </w:rPr>
        <w:t>162.23</w:t>
      </w:r>
      <w:r>
        <w:rPr>
          <w:rFonts w:hint="eastAsia" w:eastAsia="仿宋_GB2312" w:cs="仿宋_GB2312"/>
          <w:sz w:val="32"/>
          <w:szCs w:val="32"/>
        </w:rPr>
        <w:t>万元，占政府采购支出总额的</w:t>
      </w:r>
      <w:r>
        <w:rPr>
          <w:rFonts w:hint="eastAsia" w:eastAsia="仿宋_GB2312" w:cs="仿宋_GB2312"/>
          <w:sz w:val="32"/>
          <w:szCs w:val="32"/>
          <w:lang w:val="en-US" w:eastAsia="zh-CN"/>
        </w:rPr>
        <w:t>53.4</w:t>
      </w:r>
      <w:r>
        <w:rPr>
          <w:rFonts w:hint="eastAsia" w:eastAsia="仿宋_GB2312" w:cs="仿宋_GB2312"/>
          <w:sz w:val="32"/>
          <w:szCs w:val="32"/>
        </w:rPr>
        <w:t>%，其中：授予小微企业合同金额</w:t>
      </w:r>
      <w:r>
        <w:rPr>
          <w:rFonts w:hint="eastAsia" w:eastAsia="仿宋_GB2312" w:cs="仿宋_GB2312"/>
          <w:sz w:val="32"/>
          <w:szCs w:val="32"/>
          <w:lang w:val="en-US" w:eastAsia="zh-CN"/>
        </w:rPr>
        <w:t>130.01</w:t>
      </w:r>
      <w:r>
        <w:rPr>
          <w:rFonts w:hint="eastAsia" w:eastAsia="仿宋_GB2312" w:cs="仿宋_GB2312"/>
          <w:sz w:val="32"/>
          <w:szCs w:val="32"/>
        </w:rPr>
        <w:t>万元，占政府采购支出总额的</w:t>
      </w:r>
      <w:r>
        <w:rPr>
          <w:rFonts w:hint="eastAsia" w:eastAsia="仿宋_GB2312" w:cs="仿宋_GB2312"/>
          <w:sz w:val="32"/>
          <w:szCs w:val="32"/>
          <w:lang w:val="en-US" w:eastAsia="zh-CN"/>
        </w:rPr>
        <w:t>42.8</w:t>
      </w:r>
      <w:r>
        <w:rPr>
          <w:rFonts w:hint="eastAsia" w:eastAsia="仿宋_GB2312" w:cs="仿宋_GB2312"/>
          <w:sz w:val="32"/>
          <w:szCs w:val="32"/>
        </w:rPr>
        <w:t>%。</w:t>
      </w:r>
    </w:p>
    <w:p w14:paraId="0BCA1864">
      <w:pPr>
        <w:spacing w:line="600" w:lineRule="exact"/>
        <w:ind w:firstLine="640"/>
        <w:rPr>
          <w:rFonts w:eastAsia="仿宋_GB2312" w:cs="仿宋_GB2312"/>
          <w:sz w:val="32"/>
          <w:szCs w:val="32"/>
        </w:rPr>
      </w:pPr>
    </w:p>
    <w:p w14:paraId="52F574F0">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72725EDE">
      <w:pPr>
        <w:spacing w:line="600" w:lineRule="exact"/>
        <w:ind w:firstLine="640"/>
        <w:rPr>
          <w:rFonts w:eastAsia="仿宋_GB2312" w:cs="仿宋_GB2312"/>
          <w:sz w:val="32"/>
          <w:szCs w:val="32"/>
        </w:rPr>
      </w:pPr>
      <w:r>
        <w:rPr>
          <w:rFonts w:hint="eastAsia" w:eastAsia="仿宋_GB2312" w:cs="仿宋_GB2312"/>
          <w:sz w:val="32"/>
          <w:szCs w:val="32"/>
        </w:rPr>
        <w:t>截至2025年12月31日，攀枝花市公安局仁和区分局共有车辆</w:t>
      </w:r>
      <w:r>
        <w:rPr>
          <w:rFonts w:hint="eastAsia" w:eastAsia="仿宋_GB2312" w:cs="仿宋_GB2312"/>
          <w:sz w:val="32"/>
          <w:szCs w:val="32"/>
          <w:lang w:val="en-US" w:eastAsia="zh-CN"/>
        </w:rPr>
        <w:t>60</w:t>
      </w:r>
      <w:r>
        <w:rPr>
          <w:rFonts w:hint="eastAsia" w:eastAsia="仿宋_GB2312" w:cs="仿宋_GB2312"/>
          <w:sz w:val="32"/>
          <w:szCs w:val="32"/>
        </w:rPr>
        <w:t>辆，其中：主要负责人用车0辆、机要通信用车0辆、应急保障用车0辆、执法执勤用车</w:t>
      </w:r>
      <w:r>
        <w:rPr>
          <w:rFonts w:hint="eastAsia" w:eastAsia="仿宋_GB2312" w:cs="仿宋_GB2312"/>
          <w:sz w:val="32"/>
          <w:szCs w:val="32"/>
          <w:lang w:val="en-US" w:eastAsia="zh-CN"/>
        </w:rPr>
        <w:t>57</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特种专业技术用车</w:t>
      </w:r>
      <w:r>
        <w:rPr>
          <w:rFonts w:hint="eastAsia" w:eastAsia="仿宋_GB2312" w:cs="仿宋_GB2312"/>
          <w:sz w:val="32"/>
          <w:szCs w:val="32"/>
          <w:lang w:val="en-US" w:eastAsia="zh-CN"/>
        </w:rPr>
        <w:t>3辆</w:t>
      </w:r>
      <w:r>
        <w:rPr>
          <w:rFonts w:hint="eastAsia" w:eastAsia="仿宋_GB2312" w:cs="仿宋_GB2312"/>
          <w:sz w:val="32"/>
          <w:szCs w:val="32"/>
        </w:rPr>
        <w:t>，用于执法办案工作需要。单价100万元（含）以上设备（不含车辆）2台（套）。</w:t>
      </w:r>
    </w:p>
    <w:p w14:paraId="70044E90">
      <w:pPr>
        <w:spacing w:line="600" w:lineRule="exact"/>
        <w:ind w:firstLine="640"/>
        <w:rPr>
          <w:rFonts w:eastAsia="仿宋_GB2312" w:cs="仿宋_GB2312"/>
          <w:sz w:val="32"/>
          <w:szCs w:val="32"/>
        </w:rPr>
      </w:pPr>
    </w:p>
    <w:p w14:paraId="08E0FEE9">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643A888D">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根据预算绩效管理要求，攀枝花市公安局仁和区分局在202</w:t>
      </w:r>
      <w:r>
        <w:rPr>
          <w:rFonts w:hint="eastAsia" w:eastAsia="仿宋_GB2312" w:cs="仿宋_GB2312"/>
          <w:sz w:val="32"/>
          <w:szCs w:val="32"/>
          <w:lang w:val="en-US" w:eastAsia="zh-CN"/>
        </w:rPr>
        <w:t>5</w:t>
      </w:r>
      <w:r>
        <w:rPr>
          <w:rFonts w:hint="eastAsia" w:eastAsia="仿宋_GB2312" w:cs="仿宋_GB2312"/>
          <w:sz w:val="32"/>
          <w:szCs w:val="32"/>
        </w:rPr>
        <w:t>年度，组织对特别业务费、</w:t>
      </w:r>
      <w:r>
        <w:rPr>
          <w:rFonts w:hint="eastAsia" w:eastAsia="仿宋_GB2312" w:cs="仿宋_GB2312"/>
          <w:sz w:val="32"/>
          <w:szCs w:val="32"/>
          <w:lang w:eastAsia="zh-CN"/>
        </w:rPr>
        <w:t>市级挂职干部补助等</w:t>
      </w:r>
      <w:r>
        <w:rPr>
          <w:rFonts w:hint="eastAsia" w:eastAsia="仿宋_GB2312" w:cs="仿宋_GB2312"/>
          <w:sz w:val="32"/>
          <w:szCs w:val="32"/>
          <w:lang w:val="en-US" w:eastAsia="zh-CN"/>
        </w:rPr>
        <w:t>14</w:t>
      </w:r>
      <w:r>
        <w:rPr>
          <w:rFonts w:hint="eastAsia" w:eastAsia="仿宋_GB2312" w:cs="仿宋_GB2312"/>
          <w:sz w:val="32"/>
          <w:szCs w:val="32"/>
        </w:rPr>
        <w:t>个项目涉及金额</w:t>
      </w:r>
      <w:r>
        <w:rPr>
          <w:rFonts w:hint="eastAsia" w:eastAsia="仿宋_GB2312" w:cs="仿宋_GB2312"/>
          <w:sz w:val="32"/>
          <w:szCs w:val="32"/>
          <w:lang w:val="en-US" w:eastAsia="zh-CN"/>
        </w:rPr>
        <w:t>1910.35</w:t>
      </w:r>
      <w:bookmarkStart w:id="67" w:name="_GoBack"/>
      <w:bookmarkEnd w:id="67"/>
      <w:r>
        <w:rPr>
          <w:rFonts w:hint="eastAsia" w:eastAsia="仿宋_GB2312" w:cs="仿宋_GB2312"/>
          <w:sz w:val="32"/>
          <w:szCs w:val="32"/>
        </w:rPr>
        <w:t>万元开展了预算事前绩效评估，对</w:t>
      </w:r>
      <w:r>
        <w:rPr>
          <w:rFonts w:hint="eastAsia" w:eastAsia="仿宋_GB2312" w:cs="仿宋_GB2312"/>
          <w:sz w:val="32"/>
          <w:szCs w:val="32"/>
          <w:lang w:val="en-US" w:eastAsia="zh-CN"/>
        </w:rPr>
        <w:t>11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20</w:t>
      </w:r>
      <w:r>
        <w:rPr>
          <w:rFonts w:hint="eastAsia" w:eastAsia="仿宋_GB2312" w:cs="仿宋_GB2312"/>
          <w:sz w:val="32"/>
          <w:szCs w:val="32"/>
        </w:rPr>
        <w:t>个项目开展绩效监控。项目自评数与项目数不一致的原因是：我局未公开项目自评监控的项目里包含政法转移支付资金项目（因涉密未公开）3个。绩效自评表详见第四部分附件。</w:t>
      </w:r>
    </w:p>
    <w:p w14:paraId="164E0CBA">
      <w:pPr>
        <w:spacing w:line="600" w:lineRule="exact"/>
        <w:ind w:firstLine="640"/>
        <w:rPr>
          <w:rFonts w:eastAsia="仿宋_GB2312" w:cs="仿宋_GB2312"/>
          <w:sz w:val="32"/>
          <w:szCs w:val="32"/>
        </w:rPr>
      </w:pPr>
    </w:p>
    <w:p w14:paraId="31B69129">
      <w:pPr>
        <w:pStyle w:val="2"/>
        <w:rPr>
          <w:rFonts w:eastAsia="仿宋_GB2312" w:cs="仿宋_GB2312"/>
          <w:sz w:val="32"/>
          <w:szCs w:val="32"/>
        </w:rPr>
      </w:pPr>
    </w:p>
    <w:p w14:paraId="2E45CFB3">
      <w:pPr>
        <w:rPr>
          <w:rFonts w:eastAsia="仿宋_GB2312" w:cs="仿宋_GB2312"/>
          <w:sz w:val="32"/>
          <w:szCs w:val="32"/>
        </w:rPr>
      </w:pPr>
    </w:p>
    <w:p w14:paraId="5332DB1B">
      <w:pPr>
        <w:pStyle w:val="2"/>
      </w:pPr>
    </w:p>
    <w:p w14:paraId="3CA56800">
      <w:pPr>
        <w:spacing w:line="600" w:lineRule="exact"/>
        <w:jc w:val="center"/>
        <w:outlineLvl w:val="0"/>
        <w:rPr>
          <w:rFonts w:eastAsia="黑体"/>
          <w:sz w:val="44"/>
          <w:szCs w:val="44"/>
        </w:rPr>
      </w:pPr>
      <w:bookmarkStart w:id="49" w:name="_Toc15377225"/>
      <w:bookmarkStart w:id="50" w:name="_Toc15396613"/>
      <w:r>
        <w:rPr>
          <w:rFonts w:hint="eastAsia" w:eastAsia="黑体"/>
          <w:sz w:val="44"/>
          <w:szCs w:val="44"/>
        </w:rPr>
        <w:t>第三部分  名词解释</w:t>
      </w:r>
      <w:bookmarkEnd w:id="49"/>
      <w:bookmarkEnd w:id="50"/>
    </w:p>
    <w:p w14:paraId="5B44D6DE">
      <w:pPr>
        <w:spacing w:line="600" w:lineRule="exact"/>
        <w:jc w:val="left"/>
        <w:rPr>
          <w:b/>
          <w:sz w:val="44"/>
          <w:szCs w:val="44"/>
        </w:rPr>
      </w:pPr>
    </w:p>
    <w:p w14:paraId="53A4C399">
      <w:pPr>
        <w:spacing w:line="600" w:lineRule="exact"/>
        <w:ind w:firstLine="640"/>
        <w:rPr>
          <w:rFonts w:hint="eastAsia" w:eastAsia="仿宋_GB2312" w:cs="仿宋_GB2312"/>
          <w:sz w:val="32"/>
          <w:szCs w:val="32"/>
        </w:rPr>
      </w:pPr>
      <w:r>
        <w:rPr>
          <w:rFonts w:hint="eastAsia" w:eastAsia="仿宋_GB2312" w:cs="仿宋_GB2312"/>
          <w:sz w:val="32"/>
          <w:szCs w:val="32"/>
        </w:rPr>
        <w:t>1.财政拨款收入：指单位从同级财政部门取得的财政预算资金。</w:t>
      </w:r>
    </w:p>
    <w:p w14:paraId="2D930107">
      <w:pPr>
        <w:spacing w:line="600" w:lineRule="exact"/>
        <w:ind w:firstLine="640"/>
        <w:rPr>
          <w:rFonts w:hint="eastAsia" w:eastAsia="仿宋_GB2312" w:cs="仿宋_GB2312"/>
          <w:sz w:val="32"/>
          <w:szCs w:val="32"/>
        </w:rPr>
      </w:pPr>
      <w:r>
        <w:rPr>
          <w:rFonts w:hint="eastAsia" w:eastAsia="仿宋_GB2312" w:cs="仿宋_GB2312"/>
          <w:sz w:val="32"/>
          <w:szCs w:val="32"/>
        </w:rPr>
        <w:t>2.其他收入：指单位取得的除上述收入以外的各项收入。</w:t>
      </w:r>
    </w:p>
    <w:p w14:paraId="1EE0AD2E">
      <w:pPr>
        <w:spacing w:line="600" w:lineRule="exact"/>
        <w:ind w:firstLine="640"/>
        <w:rPr>
          <w:rFonts w:hint="eastAsia" w:eastAsia="仿宋_GB2312" w:cs="仿宋_GB2312"/>
          <w:sz w:val="32"/>
          <w:szCs w:val="32"/>
        </w:rPr>
      </w:pPr>
      <w:r>
        <w:rPr>
          <w:rFonts w:hint="eastAsia" w:eastAsia="仿宋_GB2312" w:cs="仿宋_GB2312"/>
          <w:sz w:val="32"/>
          <w:szCs w:val="32"/>
        </w:rPr>
        <w:t>3.一般公共服务支出（类）人大事务（款）行政运行（项）:反映行政单位（包括实行公务员管理的事业单位）的基本支出。</w:t>
      </w:r>
    </w:p>
    <w:p w14:paraId="1E73C130">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4.一般公共服务支出（类）政协事务（款）行政运行（项）</w:t>
      </w:r>
      <w:r>
        <w:rPr>
          <w:rFonts w:hint="eastAsia" w:eastAsia="仿宋_GB2312" w:cs="仿宋_GB2312"/>
          <w:sz w:val="32"/>
          <w:szCs w:val="32"/>
        </w:rPr>
        <w:t>反映行政单位（包括实行公务员管理的事业单位）的基本支出。</w:t>
      </w:r>
    </w:p>
    <w:p w14:paraId="67CEC0C2">
      <w:pPr>
        <w:spacing w:line="600" w:lineRule="exact"/>
        <w:ind w:firstLine="640"/>
        <w:rPr>
          <w:rFonts w:hint="eastAsia" w:eastAsia="仿宋_GB2312"/>
          <w:lang w:val="en-US" w:eastAsia="zh-CN"/>
        </w:rPr>
      </w:pPr>
      <w:r>
        <w:rPr>
          <w:rFonts w:hint="eastAsia" w:eastAsia="仿宋_GB2312" w:cs="仿宋_GB2312"/>
          <w:sz w:val="32"/>
          <w:szCs w:val="32"/>
          <w:lang w:val="en-US" w:eastAsia="zh-CN"/>
        </w:rPr>
        <w:t>5.</w:t>
      </w:r>
      <w:r>
        <w:rPr>
          <w:rFonts w:hint="eastAsia" w:eastAsia="仿宋_GB2312" w:cs="仿宋_GB2312"/>
          <w:sz w:val="32"/>
          <w:szCs w:val="32"/>
        </w:rPr>
        <w:t>一般公共服务支出（类）</w:t>
      </w:r>
      <w:r>
        <w:rPr>
          <w:rFonts w:hint="eastAsia" w:eastAsia="仿宋_GB2312" w:cs="仿宋_GB2312"/>
          <w:sz w:val="32"/>
          <w:szCs w:val="32"/>
          <w:lang w:eastAsia="zh-CN"/>
        </w:rPr>
        <w:t>组织事务</w:t>
      </w:r>
      <w:r>
        <w:rPr>
          <w:rFonts w:hint="eastAsia" w:eastAsia="仿宋_GB2312" w:cs="仿宋_GB2312"/>
          <w:sz w:val="32"/>
          <w:szCs w:val="32"/>
        </w:rPr>
        <w:t>（款）其他组织事务支出（项）</w:t>
      </w:r>
      <w:r>
        <w:rPr>
          <w:rFonts w:hint="eastAsia" w:eastAsia="仿宋_GB2312" w:cs="仿宋_GB2312"/>
          <w:sz w:val="32"/>
          <w:szCs w:val="32"/>
          <w:lang w:eastAsia="zh-CN"/>
        </w:rPr>
        <w:t>：反映除上述项目意外其他用于中国共产党组织部门的事务支出。</w:t>
      </w:r>
    </w:p>
    <w:p w14:paraId="7032836D">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6.</w:t>
      </w:r>
      <w:r>
        <w:rPr>
          <w:rFonts w:hint="eastAsia" w:eastAsia="仿宋_GB2312" w:cs="仿宋_GB2312"/>
          <w:sz w:val="32"/>
          <w:szCs w:val="32"/>
        </w:rPr>
        <w:t>公共安全支出（类）公安（款）行政运行（项）:反映行政单位（包括实行公务员管理的事业单位）的基本支出。</w:t>
      </w:r>
    </w:p>
    <w:p w14:paraId="74B88019">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7.</w:t>
      </w:r>
      <w:r>
        <w:rPr>
          <w:rFonts w:hint="eastAsia" w:eastAsia="仿宋_GB2312" w:cs="仿宋_GB2312"/>
          <w:sz w:val="32"/>
          <w:szCs w:val="32"/>
        </w:rPr>
        <w:t>公共安全支出（类）公安（款）一般行政管理事务（项）: 反映行政单位（包括实行公务员管理的事业单位）未单独设置项级科目的其他项目支出。</w:t>
      </w:r>
    </w:p>
    <w:p w14:paraId="7140B2E4">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公共安全支出（类）公安（款）其他公安支出（项）: 反映公安事务及管理支出其他用于公安方面的支出。</w:t>
      </w:r>
    </w:p>
    <w:p w14:paraId="19C8F13A">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 xml:space="preserve">社会保障和就业支出（类）人力资源和社会保障管理事务（款）其他人力资源和社会保障管理事务支出（项）: </w:t>
      </w:r>
      <w:r>
        <w:rPr>
          <w:rFonts w:hint="eastAsia" w:eastAsia="仿宋_GB2312" w:cs="仿宋_GB2312"/>
          <w:color w:val="auto"/>
          <w:kern w:val="2"/>
          <w:sz w:val="32"/>
          <w:szCs w:val="32"/>
          <w:highlight w:val="none"/>
          <w:lang w:val="en-US" w:eastAsia="zh-CN" w:bidi="ar-SA"/>
        </w:rPr>
        <w:t>反映除上述项目以外其他用于人力资源和社会保障管理事务方面的支出。</w:t>
      </w:r>
    </w:p>
    <w:p w14:paraId="5731CB44">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10.</w:t>
      </w:r>
      <w:r>
        <w:rPr>
          <w:rFonts w:hint="eastAsia" w:eastAsia="仿宋_GB2312" w:cs="仿宋_GB2312"/>
          <w:sz w:val="32"/>
          <w:szCs w:val="32"/>
        </w:rPr>
        <w:t>社会保障和就业支出（类）行政事业单位养老支出（款）行政单位离退休（项）: 反映行政单位（包括实行公务员管理的事业单位）开支的离退休经费。</w:t>
      </w:r>
    </w:p>
    <w:p w14:paraId="4558668B">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11</w:t>
      </w:r>
      <w:r>
        <w:rPr>
          <w:rFonts w:hint="eastAsia" w:eastAsia="仿宋_GB2312" w:cs="仿宋_GB2312"/>
          <w:sz w:val="32"/>
          <w:szCs w:val="32"/>
        </w:rPr>
        <w:t>.社会保障和就业支出（类）行政事业单位养老支出（款）机关事业单位基本养老保险缴费支出（项）:反映机关事业单位实施养老保险制度由单位缴纳的基本养老保险费支出。</w:t>
      </w:r>
    </w:p>
    <w:p w14:paraId="382CC500">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.社会保障和就业支出（类）行政事业单位养老（款）机关事业单位职业年金缴费支出（项）:反映机关事业单位实施养老保险制度由单位实际缴纳的职业年金支出。</w:t>
      </w:r>
    </w:p>
    <w:p w14:paraId="04041065">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3</w:t>
      </w:r>
      <w:r>
        <w:rPr>
          <w:rFonts w:hint="eastAsia" w:eastAsia="仿宋_GB2312" w:cs="仿宋_GB2312"/>
          <w:sz w:val="32"/>
          <w:szCs w:val="32"/>
        </w:rPr>
        <w:t>.卫生健康支出（类）行政事业单位医疗（款）行政单位医疗（项）: 反映财政部门安排的行政单位（包括实行公务员管理的事业单位）基本医疗保险缴费经费，未参加医疗保险的行政单位的公费医疗经费，按国家规定享受离休人员、红军老战士待遇人员的医疗经费。</w:t>
      </w:r>
    </w:p>
    <w:p w14:paraId="07BFF13D">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4</w:t>
      </w:r>
      <w:r>
        <w:rPr>
          <w:rFonts w:hint="eastAsia" w:eastAsia="仿宋_GB2312" w:cs="仿宋_GB2312"/>
          <w:sz w:val="32"/>
          <w:szCs w:val="32"/>
        </w:rPr>
        <w:t>.卫生健康支出（类）行政事业单位医疗（款）公务员医疗补助（项）: 反映财政部门安排的公务员医疗补助经费。</w:t>
      </w:r>
    </w:p>
    <w:p w14:paraId="001E053C">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.住房保障支出（类）住房改革支出（款）住房公积金（项）:反映行政事业单位按人力资源和社会保障部、财政部规定的基本工资何津贴补贴以及规定比例为职工缴纳的住房公积金。</w:t>
      </w:r>
    </w:p>
    <w:p w14:paraId="5245BFF2">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6</w:t>
      </w:r>
      <w:r>
        <w:rPr>
          <w:rFonts w:hint="eastAsia" w:eastAsia="仿宋_GB2312" w:cs="仿宋_GB2312"/>
          <w:sz w:val="32"/>
          <w:szCs w:val="32"/>
        </w:rPr>
        <w:t>.基本支出：指为保障机构正常运转、完成日常工作任务而发生的人员支出和公用支出。</w:t>
      </w:r>
    </w:p>
    <w:p w14:paraId="39B6A504">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7</w:t>
      </w:r>
      <w:r>
        <w:rPr>
          <w:rFonts w:hint="eastAsia" w:eastAsia="仿宋_GB2312" w:cs="仿宋_GB2312"/>
          <w:sz w:val="32"/>
          <w:szCs w:val="32"/>
        </w:rPr>
        <w:t xml:space="preserve">.项目支出：指在基本支出之外为完成特定行政任务和事业发展目标所发生的支出。 </w:t>
      </w:r>
    </w:p>
    <w:p w14:paraId="09587366">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8</w:t>
      </w:r>
      <w:r>
        <w:rPr>
          <w:rFonts w:hint="eastAsia" w:eastAsia="仿宋_GB2312" w:cs="仿宋_GB2312"/>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C24F9A6">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14:paraId="6FB2B30E">
      <w:pPr>
        <w:spacing w:line="600" w:lineRule="exact"/>
        <w:ind w:firstLine="640"/>
        <w:rPr>
          <w:rFonts w:hint="eastAsia" w:eastAsia="黑体"/>
          <w:sz w:val="44"/>
          <w:szCs w:val="44"/>
        </w:rPr>
      </w:pPr>
      <w:bookmarkStart w:id="51" w:name="_Toc15396614"/>
      <w:bookmarkStart w:id="52" w:name="_Toc15377226"/>
    </w:p>
    <w:p w14:paraId="1C7B91C5">
      <w:pPr>
        <w:spacing w:line="600" w:lineRule="exact"/>
        <w:ind w:firstLine="640"/>
        <w:rPr>
          <w:rFonts w:hint="eastAsia" w:eastAsia="黑体"/>
          <w:sz w:val="44"/>
          <w:szCs w:val="44"/>
        </w:rPr>
      </w:pPr>
    </w:p>
    <w:p w14:paraId="1B5A6F8D">
      <w:pPr>
        <w:spacing w:line="600" w:lineRule="exact"/>
        <w:ind w:firstLine="640"/>
        <w:rPr>
          <w:rFonts w:hint="eastAsia" w:eastAsia="黑体"/>
          <w:sz w:val="44"/>
          <w:szCs w:val="44"/>
        </w:rPr>
      </w:pPr>
    </w:p>
    <w:p w14:paraId="58C1D7A1">
      <w:pPr>
        <w:spacing w:line="600" w:lineRule="exact"/>
        <w:ind w:firstLine="640"/>
        <w:rPr>
          <w:rFonts w:hint="eastAsia" w:eastAsia="黑体"/>
          <w:sz w:val="44"/>
          <w:szCs w:val="44"/>
        </w:rPr>
      </w:pPr>
    </w:p>
    <w:p w14:paraId="28131EE2">
      <w:pPr>
        <w:spacing w:line="600" w:lineRule="exact"/>
        <w:ind w:firstLine="640"/>
        <w:rPr>
          <w:rFonts w:hint="eastAsia" w:eastAsia="黑体"/>
          <w:sz w:val="44"/>
          <w:szCs w:val="44"/>
        </w:rPr>
      </w:pPr>
    </w:p>
    <w:p w14:paraId="60F969A4">
      <w:pPr>
        <w:spacing w:line="600" w:lineRule="exact"/>
        <w:ind w:firstLine="640"/>
        <w:rPr>
          <w:rFonts w:hint="eastAsia" w:eastAsia="黑体"/>
          <w:sz w:val="44"/>
          <w:szCs w:val="44"/>
        </w:rPr>
      </w:pPr>
    </w:p>
    <w:p w14:paraId="2B8FF1B8">
      <w:pPr>
        <w:numPr>
          <w:ilvl w:val="0"/>
          <w:numId w:val="2"/>
        </w:numPr>
        <w:spacing w:line="600" w:lineRule="exact"/>
        <w:ind w:firstLine="640"/>
        <w:jc w:val="center"/>
        <w:rPr>
          <w:rFonts w:hint="eastAsia" w:eastAsia="黑体"/>
          <w:sz w:val="44"/>
          <w:szCs w:val="44"/>
        </w:rPr>
      </w:pPr>
      <w:r>
        <w:rPr>
          <w:rFonts w:hint="eastAsia" w:eastAsia="黑体"/>
          <w:sz w:val="44"/>
          <w:szCs w:val="44"/>
        </w:rPr>
        <w:t xml:space="preserve"> 附件</w:t>
      </w:r>
      <w:bookmarkEnd w:id="51"/>
    </w:p>
    <w:p w14:paraId="41C9722A">
      <w:pPr>
        <w:pStyle w:val="2"/>
        <w:numPr>
          <w:ilvl w:val="0"/>
          <w:numId w:val="0"/>
        </w:numPr>
      </w:pPr>
    </w:p>
    <w:p w14:paraId="6E614025">
      <w:pPr>
        <w:pStyle w:val="8"/>
        <w:spacing w:line="560" w:lineRule="exact"/>
        <w:ind w:left="0" w:leftChars="0" w:firstLine="643"/>
        <w:rPr>
          <w:rFonts w:ascii="Times New Roman" w:eastAsia="仿宋_GB2312" w:cs="仿宋_GB2312"/>
          <w:kern w:val="0"/>
          <w:sz w:val="32"/>
          <w:lang w:val="zh-CN"/>
        </w:rPr>
      </w:pPr>
      <w:r>
        <w:rPr>
          <w:rFonts w:hint="eastAsia" w:ascii="Times New Roman" w:eastAsia="仿宋_GB2312" w:cs="仿宋_GB2312"/>
          <w:kern w:val="0"/>
          <w:sz w:val="32"/>
        </w:rPr>
        <w:t>部门预算项目支出绩效自评表（202</w:t>
      </w:r>
      <w:r>
        <w:rPr>
          <w:rFonts w:hint="eastAsia" w:ascii="Times New Roman" w:eastAsia="仿宋_GB2312" w:cs="仿宋_GB2312"/>
          <w:kern w:val="0"/>
          <w:sz w:val="32"/>
          <w:lang w:val="en-US" w:eastAsia="zh-CN"/>
        </w:rPr>
        <w:t>5</w:t>
      </w:r>
      <w:r>
        <w:rPr>
          <w:rFonts w:hint="eastAsia" w:ascii="Times New Roman" w:eastAsia="仿宋_GB2312" w:cs="仿宋_GB2312"/>
          <w:kern w:val="0"/>
          <w:sz w:val="32"/>
        </w:rPr>
        <w:t>年度）见附件3。</w:t>
      </w:r>
    </w:p>
    <w:p w14:paraId="38C909B8">
      <w:pPr>
        <w:spacing w:line="572" w:lineRule="exact"/>
        <w:jc w:val="left"/>
        <w:outlineLvl w:val="0"/>
        <w:rPr>
          <w:rFonts w:eastAsia="黑体" w:cs="黑体"/>
          <w:color w:val="FF0000"/>
          <w:sz w:val="32"/>
          <w:szCs w:val="32"/>
        </w:rPr>
      </w:pPr>
    </w:p>
    <w:p w14:paraId="3855D209">
      <w:pPr>
        <w:pStyle w:val="14"/>
      </w:pPr>
    </w:p>
    <w:p w14:paraId="260D6D22">
      <w:pPr>
        <w:spacing w:line="578" w:lineRule="exact"/>
        <w:ind w:firstLine="640"/>
        <w:rPr>
          <w:rFonts w:eastAsia="仿宋_GB2312" w:cs="仿宋_GB2312"/>
          <w:kern w:val="0"/>
          <w:sz w:val="32"/>
          <w:szCs w:val="32"/>
        </w:rPr>
      </w:pPr>
    </w:p>
    <w:p w14:paraId="6B7CA51C">
      <w:pPr>
        <w:spacing w:line="578" w:lineRule="exact"/>
        <w:ind w:firstLine="640"/>
        <w:rPr>
          <w:rFonts w:eastAsia="仿宋_GB2312" w:cs="仿宋_GB2312"/>
          <w:kern w:val="0"/>
          <w:sz w:val="32"/>
          <w:szCs w:val="32"/>
        </w:rPr>
      </w:pPr>
    </w:p>
    <w:p w14:paraId="3CE2CA81">
      <w:pPr>
        <w:spacing w:line="578" w:lineRule="exact"/>
        <w:ind w:firstLine="640"/>
        <w:rPr>
          <w:rFonts w:eastAsia="仿宋_GB2312" w:cs="仿宋_GB2312"/>
          <w:kern w:val="0"/>
          <w:sz w:val="32"/>
          <w:szCs w:val="32"/>
        </w:rPr>
      </w:pPr>
      <w:bookmarkStart w:id="53" w:name="_Toc15396618"/>
      <w:r>
        <w:rPr>
          <w:rFonts w:hint="eastAsia" w:eastAsia="仿宋_GB2312" w:cs="仿宋_GB2312"/>
          <w:kern w:val="0"/>
          <w:sz w:val="32"/>
          <w:szCs w:val="32"/>
        </w:rPr>
        <w:br w:type="page"/>
      </w:r>
    </w:p>
    <w:p w14:paraId="1B009846">
      <w:pPr>
        <w:widowControl/>
        <w:jc w:val="center"/>
        <w:rPr>
          <w:rFonts w:eastAsia="仿宋"/>
        </w:rPr>
      </w:pPr>
      <w:r>
        <w:rPr>
          <w:rFonts w:hint="eastAsia" w:eastAsia="黑体"/>
          <w:sz w:val="44"/>
          <w:szCs w:val="44"/>
        </w:rPr>
        <w:t>第</w:t>
      </w:r>
      <w:r>
        <w:rPr>
          <w:rStyle w:val="28"/>
          <w:rFonts w:hint="eastAsia" w:eastAsia="黑体"/>
          <w:b w:val="0"/>
        </w:rPr>
        <w:t>五部分 附表</w:t>
      </w:r>
      <w:bookmarkEnd w:id="52"/>
      <w:bookmarkEnd w:id="53"/>
      <w:bookmarkStart w:id="54" w:name="_Toc15396619"/>
    </w:p>
    <w:p w14:paraId="029BD5A5">
      <w:pPr>
        <w:pStyle w:val="15"/>
        <w:adjustRightInd w:val="0"/>
        <w:snapToGrid w:val="0"/>
        <w:spacing w:line="560" w:lineRule="exact"/>
        <w:jc w:val="left"/>
        <w:rPr>
          <w:rFonts w:eastAsia="仿宋_GB2312" w:cs="仿宋_GB2312"/>
          <w:sz w:val="32"/>
          <w:szCs w:val="32"/>
        </w:rPr>
      </w:pPr>
    </w:p>
    <w:p w14:paraId="27F32D88">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4"/>
    </w:p>
    <w:p w14:paraId="3E09EF31">
      <w:pPr>
        <w:pStyle w:val="15"/>
        <w:adjustRightInd w:val="0"/>
        <w:snapToGrid w:val="0"/>
        <w:spacing w:line="560" w:lineRule="exact"/>
        <w:jc w:val="left"/>
        <w:rPr>
          <w:rFonts w:eastAsia="仿宋_GB2312" w:cs="仿宋_GB2312"/>
          <w:sz w:val="32"/>
          <w:szCs w:val="32"/>
        </w:rPr>
      </w:pPr>
      <w:bookmarkStart w:id="55" w:name="_Toc15396620"/>
      <w:r>
        <w:rPr>
          <w:rFonts w:hint="eastAsia" w:eastAsia="仿宋_GB2312" w:cs="仿宋_GB2312"/>
          <w:sz w:val="32"/>
          <w:szCs w:val="32"/>
        </w:rPr>
        <w:t>二、收入决算表</w:t>
      </w:r>
      <w:bookmarkEnd w:id="55"/>
    </w:p>
    <w:p w14:paraId="39843CAB">
      <w:pPr>
        <w:pStyle w:val="15"/>
        <w:adjustRightInd w:val="0"/>
        <w:snapToGrid w:val="0"/>
        <w:spacing w:line="560" w:lineRule="exact"/>
        <w:jc w:val="left"/>
        <w:rPr>
          <w:rFonts w:eastAsia="仿宋_GB2312" w:cs="仿宋_GB2312"/>
          <w:sz w:val="32"/>
          <w:szCs w:val="32"/>
        </w:rPr>
      </w:pPr>
      <w:bookmarkStart w:id="56" w:name="_Toc15396621"/>
      <w:r>
        <w:rPr>
          <w:rFonts w:hint="eastAsia" w:eastAsia="仿宋_GB2312" w:cs="仿宋_GB2312"/>
          <w:sz w:val="32"/>
          <w:szCs w:val="32"/>
        </w:rPr>
        <w:t>三、支出决算表</w:t>
      </w:r>
      <w:bookmarkEnd w:id="56"/>
    </w:p>
    <w:p w14:paraId="102268E2">
      <w:pPr>
        <w:pStyle w:val="15"/>
        <w:adjustRightInd w:val="0"/>
        <w:snapToGrid w:val="0"/>
        <w:spacing w:line="560" w:lineRule="exact"/>
        <w:jc w:val="lef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14:paraId="12865647">
      <w:pPr>
        <w:pStyle w:val="15"/>
        <w:adjustRightInd w:val="0"/>
        <w:snapToGrid w:val="0"/>
        <w:spacing w:line="560" w:lineRule="exact"/>
        <w:jc w:val="lef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14:paraId="22B65882">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9"/>
    </w:p>
    <w:p w14:paraId="72EBE2B7">
      <w:pPr>
        <w:pStyle w:val="15"/>
        <w:adjustRightInd w:val="0"/>
        <w:snapToGrid w:val="0"/>
        <w:spacing w:line="560" w:lineRule="exact"/>
        <w:jc w:val="lef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14:paraId="3630C05B">
      <w:pPr>
        <w:pStyle w:val="15"/>
        <w:adjustRightInd w:val="0"/>
        <w:snapToGrid w:val="0"/>
        <w:spacing w:line="560" w:lineRule="exact"/>
        <w:jc w:val="lef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14:paraId="15336C52">
      <w:pPr>
        <w:pStyle w:val="15"/>
        <w:adjustRightInd w:val="0"/>
        <w:snapToGrid w:val="0"/>
        <w:spacing w:line="560" w:lineRule="exact"/>
        <w:jc w:val="lef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14:paraId="5FBAA17E">
      <w:pPr>
        <w:pStyle w:val="15"/>
        <w:adjustRightInd w:val="0"/>
        <w:snapToGrid w:val="0"/>
        <w:spacing w:line="560" w:lineRule="exact"/>
        <w:jc w:val="lef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14:paraId="4CFADFEE">
      <w:pPr>
        <w:pStyle w:val="15"/>
        <w:adjustRightInd w:val="0"/>
        <w:snapToGrid w:val="0"/>
        <w:spacing w:line="560" w:lineRule="exact"/>
        <w:jc w:val="lef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14:paraId="021EF437">
      <w:pPr>
        <w:pStyle w:val="15"/>
        <w:adjustRightInd w:val="0"/>
        <w:snapToGrid w:val="0"/>
        <w:spacing w:line="560" w:lineRule="exact"/>
        <w:jc w:val="lef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14:paraId="5E1E9CDB">
      <w:pPr>
        <w:pStyle w:val="15"/>
        <w:adjustRightInd w:val="0"/>
        <w:snapToGrid w:val="0"/>
        <w:spacing w:line="560" w:lineRule="exact"/>
        <w:jc w:val="lef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p w14:paraId="68D45A3E"/>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A3380">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DA1C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6DA1C6">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D72E59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9ADC">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0E16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3F0E16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6AC6F">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76D6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7976D61">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190EA088">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7837B">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4E282">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354E282">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4F16">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E8FD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B4E8FD8">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330F2EF">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7549">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13EFC">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AD13EFC">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6461F">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D967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CDD9673">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283ECA8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F064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D3CBB8"/>
    <w:multiLevelType w:val="singleLevel"/>
    <w:tmpl w:val="36D3CBB8"/>
    <w:lvl w:ilvl="0" w:tentative="0">
      <w:start w:val="4"/>
      <w:numFmt w:val="chineseCounting"/>
      <w:suff w:val="space"/>
      <w:lvlText w:val="第%1部分"/>
      <w:lvlJc w:val="left"/>
      <w:rPr>
        <w:rFonts w:hint="eastAsia"/>
      </w:rPr>
    </w:lvl>
  </w:abstractNum>
  <w:abstractNum w:abstractNumId="1">
    <w:nsid w:val="37CBB598"/>
    <w:multiLevelType w:val="singleLevel"/>
    <w:tmpl w:val="37CBB59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409A9"/>
    <w:rsid w:val="015975B8"/>
    <w:rsid w:val="02317B1B"/>
    <w:rsid w:val="02FEBE30"/>
    <w:rsid w:val="035A7ECA"/>
    <w:rsid w:val="03A97EC8"/>
    <w:rsid w:val="03FE6319"/>
    <w:rsid w:val="046C6D2D"/>
    <w:rsid w:val="061E35DE"/>
    <w:rsid w:val="066E0107"/>
    <w:rsid w:val="07243642"/>
    <w:rsid w:val="07996F6E"/>
    <w:rsid w:val="07DFD8BA"/>
    <w:rsid w:val="084F3130"/>
    <w:rsid w:val="08DB07E4"/>
    <w:rsid w:val="0904195A"/>
    <w:rsid w:val="09095DE2"/>
    <w:rsid w:val="095D7A6A"/>
    <w:rsid w:val="09867E8F"/>
    <w:rsid w:val="0A2032A3"/>
    <w:rsid w:val="0A2F6476"/>
    <w:rsid w:val="0A911A78"/>
    <w:rsid w:val="0B6039B7"/>
    <w:rsid w:val="0BE53C10"/>
    <w:rsid w:val="0C3F0E27"/>
    <w:rsid w:val="0C6C4794"/>
    <w:rsid w:val="0CA8290A"/>
    <w:rsid w:val="0D35B1ED"/>
    <w:rsid w:val="0D6D5A73"/>
    <w:rsid w:val="0DE07E2B"/>
    <w:rsid w:val="0DE51158"/>
    <w:rsid w:val="0F98263C"/>
    <w:rsid w:val="101860EC"/>
    <w:rsid w:val="10481241"/>
    <w:rsid w:val="10C055FF"/>
    <w:rsid w:val="11772AA4"/>
    <w:rsid w:val="118107EC"/>
    <w:rsid w:val="11892D25"/>
    <w:rsid w:val="122B7BDE"/>
    <w:rsid w:val="13D50BC4"/>
    <w:rsid w:val="14022904"/>
    <w:rsid w:val="1447741D"/>
    <w:rsid w:val="14B33D84"/>
    <w:rsid w:val="152F2A07"/>
    <w:rsid w:val="1537655C"/>
    <w:rsid w:val="15491CF9"/>
    <w:rsid w:val="165E0673"/>
    <w:rsid w:val="16837567"/>
    <w:rsid w:val="16BB723D"/>
    <w:rsid w:val="16E00CBA"/>
    <w:rsid w:val="186504BB"/>
    <w:rsid w:val="1938089F"/>
    <w:rsid w:val="19A445FC"/>
    <w:rsid w:val="1A6E1127"/>
    <w:rsid w:val="1B7D550C"/>
    <w:rsid w:val="1BC11999"/>
    <w:rsid w:val="1BE8440E"/>
    <w:rsid w:val="1BF02D9C"/>
    <w:rsid w:val="1C460188"/>
    <w:rsid w:val="1C5503E6"/>
    <w:rsid w:val="1C752741"/>
    <w:rsid w:val="1C7836C6"/>
    <w:rsid w:val="1CDA2465"/>
    <w:rsid w:val="1D155CEE"/>
    <w:rsid w:val="1D18213E"/>
    <w:rsid w:val="1DC17502"/>
    <w:rsid w:val="1E740ACF"/>
    <w:rsid w:val="1EA33C4F"/>
    <w:rsid w:val="1F707B20"/>
    <w:rsid w:val="1FEE015C"/>
    <w:rsid w:val="1FF35744"/>
    <w:rsid w:val="1FF6BC77"/>
    <w:rsid w:val="206F5570"/>
    <w:rsid w:val="21962A9E"/>
    <w:rsid w:val="21AE7C77"/>
    <w:rsid w:val="220F716F"/>
    <w:rsid w:val="22BC3C41"/>
    <w:rsid w:val="230C0829"/>
    <w:rsid w:val="23860B96"/>
    <w:rsid w:val="240371BF"/>
    <w:rsid w:val="24264F03"/>
    <w:rsid w:val="260F557C"/>
    <w:rsid w:val="26174684"/>
    <w:rsid w:val="26862B41"/>
    <w:rsid w:val="27006E52"/>
    <w:rsid w:val="27F30B19"/>
    <w:rsid w:val="281408E2"/>
    <w:rsid w:val="282A34FA"/>
    <w:rsid w:val="28E450A6"/>
    <w:rsid w:val="29D60CAE"/>
    <w:rsid w:val="29FD04D3"/>
    <w:rsid w:val="2BFF7BC6"/>
    <w:rsid w:val="2C8A61B5"/>
    <w:rsid w:val="2D2E01CF"/>
    <w:rsid w:val="2D5B6BC9"/>
    <w:rsid w:val="2DF04E50"/>
    <w:rsid w:val="2E2E50D0"/>
    <w:rsid w:val="2E2F7CFA"/>
    <w:rsid w:val="2E9545B0"/>
    <w:rsid w:val="2ECA65D4"/>
    <w:rsid w:val="2ED21461"/>
    <w:rsid w:val="2F040D46"/>
    <w:rsid w:val="2FAE5751"/>
    <w:rsid w:val="2FB1A395"/>
    <w:rsid w:val="2FD9A7D8"/>
    <w:rsid w:val="319F7F4E"/>
    <w:rsid w:val="320A12CE"/>
    <w:rsid w:val="321B2544"/>
    <w:rsid w:val="32537D9E"/>
    <w:rsid w:val="32AE62E3"/>
    <w:rsid w:val="3304709D"/>
    <w:rsid w:val="34281836"/>
    <w:rsid w:val="349D6851"/>
    <w:rsid w:val="35947BB2"/>
    <w:rsid w:val="35B2559C"/>
    <w:rsid w:val="35BA6CAF"/>
    <w:rsid w:val="364D14C1"/>
    <w:rsid w:val="3650732A"/>
    <w:rsid w:val="36AA5135"/>
    <w:rsid w:val="36BB1C5E"/>
    <w:rsid w:val="36BE0DA7"/>
    <w:rsid w:val="36C83AF0"/>
    <w:rsid w:val="36D50D26"/>
    <w:rsid w:val="376B6AA6"/>
    <w:rsid w:val="376C2F79"/>
    <w:rsid w:val="376D39B2"/>
    <w:rsid w:val="37E16F03"/>
    <w:rsid w:val="37F53A3B"/>
    <w:rsid w:val="385B6485"/>
    <w:rsid w:val="389771E3"/>
    <w:rsid w:val="389B6C89"/>
    <w:rsid w:val="38D469F0"/>
    <w:rsid w:val="38DA30A4"/>
    <w:rsid w:val="39562756"/>
    <w:rsid w:val="39627CCD"/>
    <w:rsid w:val="397BAF1F"/>
    <w:rsid w:val="3AB79AF3"/>
    <w:rsid w:val="3B7EF35A"/>
    <w:rsid w:val="3B9FDB6C"/>
    <w:rsid w:val="3BF5BC2F"/>
    <w:rsid w:val="3C812E4B"/>
    <w:rsid w:val="3CC75CC4"/>
    <w:rsid w:val="3CEBA265"/>
    <w:rsid w:val="3D98207C"/>
    <w:rsid w:val="3D9B0D99"/>
    <w:rsid w:val="3DEE7CF3"/>
    <w:rsid w:val="3DF02244"/>
    <w:rsid w:val="3E0D3DDD"/>
    <w:rsid w:val="3E5F384B"/>
    <w:rsid w:val="3E78745D"/>
    <w:rsid w:val="3F2B67B3"/>
    <w:rsid w:val="3FEB7AEB"/>
    <w:rsid w:val="3FF4CAE0"/>
    <w:rsid w:val="3FF7B227"/>
    <w:rsid w:val="40E54C45"/>
    <w:rsid w:val="41636052"/>
    <w:rsid w:val="41653AC2"/>
    <w:rsid w:val="41EC7313"/>
    <w:rsid w:val="42D17133"/>
    <w:rsid w:val="43A407DF"/>
    <w:rsid w:val="43B60E25"/>
    <w:rsid w:val="441F1503"/>
    <w:rsid w:val="442E3F67"/>
    <w:rsid w:val="44515BEA"/>
    <w:rsid w:val="44E268DA"/>
    <w:rsid w:val="44F71432"/>
    <w:rsid w:val="44FD333B"/>
    <w:rsid w:val="453F7E5B"/>
    <w:rsid w:val="455347A7"/>
    <w:rsid w:val="48167B5F"/>
    <w:rsid w:val="486A6C7A"/>
    <w:rsid w:val="48B60ED8"/>
    <w:rsid w:val="49176D9B"/>
    <w:rsid w:val="498B2C40"/>
    <w:rsid w:val="4A45195C"/>
    <w:rsid w:val="4A627F82"/>
    <w:rsid w:val="4B0E749A"/>
    <w:rsid w:val="4B4F25DA"/>
    <w:rsid w:val="4B585C28"/>
    <w:rsid w:val="4BDA0CFB"/>
    <w:rsid w:val="4BE068DB"/>
    <w:rsid w:val="4BEB0A1B"/>
    <w:rsid w:val="4C812213"/>
    <w:rsid w:val="4D3C0CCC"/>
    <w:rsid w:val="4D577224"/>
    <w:rsid w:val="4DBF1CEB"/>
    <w:rsid w:val="4EAB630A"/>
    <w:rsid w:val="4ECE2238"/>
    <w:rsid w:val="4F26628D"/>
    <w:rsid w:val="4F7C475B"/>
    <w:rsid w:val="4F833267"/>
    <w:rsid w:val="4FE9BD67"/>
    <w:rsid w:val="4FFB052F"/>
    <w:rsid w:val="500A6E00"/>
    <w:rsid w:val="50BF0009"/>
    <w:rsid w:val="510D2307"/>
    <w:rsid w:val="52165333"/>
    <w:rsid w:val="52495D4A"/>
    <w:rsid w:val="53083A92"/>
    <w:rsid w:val="537D468A"/>
    <w:rsid w:val="537E6D0A"/>
    <w:rsid w:val="53AF27A2"/>
    <w:rsid w:val="53F74C96"/>
    <w:rsid w:val="55D13ECA"/>
    <w:rsid w:val="56E47B74"/>
    <w:rsid w:val="57033C4E"/>
    <w:rsid w:val="57BD3DD4"/>
    <w:rsid w:val="58021570"/>
    <w:rsid w:val="5AC40FFA"/>
    <w:rsid w:val="5AF92295"/>
    <w:rsid w:val="5B6466FE"/>
    <w:rsid w:val="5BDD79E6"/>
    <w:rsid w:val="5BF561CA"/>
    <w:rsid w:val="5BFF5DFC"/>
    <w:rsid w:val="5C573A7C"/>
    <w:rsid w:val="5CD71FC4"/>
    <w:rsid w:val="5D1F11B5"/>
    <w:rsid w:val="5D943CE4"/>
    <w:rsid w:val="5DAE1B18"/>
    <w:rsid w:val="5DD21CFB"/>
    <w:rsid w:val="5DE7D9E5"/>
    <w:rsid w:val="5EB635F2"/>
    <w:rsid w:val="5ECEC941"/>
    <w:rsid w:val="5F493CB7"/>
    <w:rsid w:val="5FBF9FF3"/>
    <w:rsid w:val="5FCD4E2C"/>
    <w:rsid w:val="5FD15F49"/>
    <w:rsid w:val="5FEF394A"/>
    <w:rsid w:val="5FF67715"/>
    <w:rsid w:val="6009519E"/>
    <w:rsid w:val="60B7403D"/>
    <w:rsid w:val="60C47ACF"/>
    <w:rsid w:val="611046CB"/>
    <w:rsid w:val="611F0149"/>
    <w:rsid w:val="614A57AA"/>
    <w:rsid w:val="61A74C68"/>
    <w:rsid w:val="625E2039"/>
    <w:rsid w:val="62BF3928"/>
    <w:rsid w:val="634B2557"/>
    <w:rsid w:val="63BA6ABF"/>
    <w:rsid w:val="63CA2346"/>
    <w:rsid w:val="64693149"/>
    <w:rsid w:val="647F5392"/>
    <w:rsid w:val="648379D1"/>
    <w:rsid w:val="6547404A"/>
    <w:rsid w:val="65A818D7"/>
    <w:rsid w:val="664B1D71"/>
    <w:rsid w:val="67AA3209"/>
    <w:rsid w:val="681C4F0D"/>
    <w:rsid w:val="685933BE"/>
    <w:rsid w:val="68783BDD"/>
    <w:rsid w:val="69046D0F"/>
    <w:rsid w:val="698D0931"/>
    <w:rsid w:val="69DD01E3"/>
    <w:rsid w:val="6A711AAF"/>
    <w:rsid w:val="6A993CED"/>
    <w:rsid w:val="6AD45CD0"/>
    <w:rsid w:val="6B053271"/>
    <w:rsid w:val="6BCE6674"/>
    <w:rsid w:val="6BF306A7"/>
    <w:rsid w:val="6C4A05C8"/>
    <w:rsid w:val="6C8742B8"/>
    <w:rsid w:val="6C8A170F"/>
    <w:rsid w:val="6CB54609"/>
    <w:rsid w:val="6CD4043B"/>
    <w:rsid w:val="6DBF5E93"/>
    <w:rsid w:val="6DFF077E"/>
    <w:rsid w:val="6E5F680C"/>
    <w:rsid w:val="6E6252EE"/>
    <w:rsid w:val="6E7E3605"/>
    <w:rsid w:val="6E7FDCC7"/>
    <w:rsid w:val="6EC434AB"/>
    <w:rsid w:val="6ED6A62E"/>
    <w:rsid w:val="6EE00B15"/>
    <w:rsid w:val="6F544B20"/>
    <w:rsid w:val="6F633050"/>
    <w:rsid w:val="6F6FB3EB"/>
    <w:rsid w:val="6F784160"/>
    <w:rsid w:val="6F8731EA"/>
    <w:rsid w:val="6F8C742A"/>
    <w:rsid w:val="6FCE6052"/>
    <w:rsid w:val="6FD57C00"/>
    <w:rsid w:val="6FEFFFD8"/>
    <w:rsid w:val="6FF5CC65"/>
    <w:rsid w:val="6FFB47EC"/>
    <w:rsid w:val="6FFF034A"/>
    <w:rsid w:val="70394BAE"/>
    <w:rsid w:val="70496804"/>
    <w:rsid w:val="71165496"/>
    <w:rsid w:val="712A28F1"/>
    <w:rsid w:val="7130303B"/>
    <w:rsid w:val="715C0E4B"/>
    <w:rsid w:val="71C86630"/>
    <w:rsid w:val="72036676"/>
    <w:rsid w:val="7203779F"/>
    <w:rsid w:val="72233669"/>
    <w:rsid w:val="72734D90"/>
    <w:rsid w:val="72F80286"/>
    <w:rsid w:val="732D6598"/>
    <w:rsid w:val="7332FE48"/>
    <w:rsid w:val="7343381E"/>
    <w:rsid w:val="73AB61DA"/>
    <w:rsid w:val="73AD73D5"/>
    <w:rsid w:val="73B6EB34"/>
    <w:rsid w:val="73FA497D"/>
    <w:rsid w:val="744731E5"/>
    <w:rsid w:val="74504CE3"/>
    <w:rsid w:val="74527205"/>
    <w:rsid w:val="74BBD01D"/>
    <w:rsid w:val="74D835BF"/>
    <w:rsid w:val="74ED5379"/>
    <w:rsid w:val="74FC2395"/>
    <w:rsid w:val="75024B07"/>
    <w:rsid w:val="752746A2"/>
    <w:rsid w:val="752B4646"/>
    <w:rsid w:val="75DEEEC2"/>
    <w:rsid w:val="76E3355F"/>
    <w:rsid w:val="76FF5125"/>
    <w:rsid w:val="776F6FFA"/>
    <w:rsid w:val="778769C8"/>
    <w:rsid w:val="77B34070"/>
    <w:rsid w:val="77DC22F5"/>
    <w:rsid w:val="78661915"/>
    <w:rsid w:val="78E73168"/>
    <w:rsid w:val="79086DAD"/>
    <w:rsid w:val="79820DE8"/>
    <w:rsid w:val="79974F09"/>
    <w:rsid w:val="79D7FD79"/>
    <w:rsid w:val="79EE5BA4"/>
    <w:rsid w:val="7A03263B"/>
    <w:rsid w:val="7A2A6E84"/>
    <w:rsid w:val="7A894339"/>
    <w:rsid w:val="7AA92200"/>
    <w:rsid w:val="7AFF7572"/>
    <w:rsid w:val="7B174702"/>
    <w:rsid w:val="7B4C6745"/>
    <w:rsid w:val="7B6C7DFB"/>
    <w:rsid w:val="7BBFBED0"/>
    <w:rsid w:val="7BC3E394"/>
    <w:rsid w:val="7BEF6963"/>
    <w:rsid w:val="7C1F3737"/>
    <w:rsid w:val="7C452E58"/>
    <w:rsid w:val="7CBFC87B"/>
    <w:rsid w:val="7CF10644"/>
    <w:rsid w:val="7CFE0F48"/>
    <w:rsid w:val="7D093D88"/>
    <w:rsid w:val="7D172435"/>
    <w:rsid w:val="7D2D58D3"/>
    <w:rsid w:val="7D7EC23E"/>
    <w:rsid w:val="7D83464C"/>
    <w:rsid w:val="7D916348"/>
    <w:rsid w:val="7E404BAE"/>
    <w:rsid w:val="7E5C2369"/>
    <w:rsid w:val="7E8ADEBF"/>
    <w:rsid w:val="7E9E4F48"/>
    <w:rsid w:val="7EEF11D3"/>
    <w:rsid w:val="7EF533D8"/>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5"/>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7"/>
    <w:link w:val="8"/>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2"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2"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2"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2"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2"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4037;&#20316;&#31807;2.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4037;&#20316;&#318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收入、支出总计变动情况</a:t>
            </a:r>
          </a:p>
        </c:rich>
      </c:tx>
      <c:layout/>
      <c:overlay val="0"/>
      <c:spPr>
        <a:noFill/>
        <a:ln>
          <a:noFill/>
        </a:ln>
        <a:effectLst/>
      </c:spPr>
    </c:title>
    <c:autoTitleDeleted val="0"/>
    <c:plotArea>
      <c:layout/>
      <c:barChart>
        <c:barDir val="col"/>
        <c:grouping val="stacked"/>
        <c:varyColors val="0"/>
        <c:ser>
          <c:idx val="0"/>
          <c:order val="0"/>
          <c:spPr>
            <a:solidFill>
              <a:schemeClr val="accent1"/>
            </a:solidFill>
            <a:ln>
              <a:solidFill>
                <a:schemeClr val="bg1"/>
              </a:solidFill>
            </a:ln>
            <a:effectLst/>
          </c:spPr>
          <c:invertIfNegative val="0"/>
          <c:dLbls>
            <c:dLbl>
              <c:idx val="0"/>
              <c:layout>
                <c:manualLayout>
                  <c:x val="0.00394736842105263"/>
                  <c:y val="-0.1562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89473684210526"/>
                  <c:y val="-0.38194444444444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[工作簿2]Sheet1!$B$3:$C$3</c:f>
              <c:strCache>
                <c:ptCount val="2"/>
                <c:pt idx="0">
                  <c:v>2024年</c:v>
                </c:pt>
                <c:pt idx="1">
                  <c:v>2025年</c:v>
                </c:pt>
              </c:strCache>
            </c:strRef>
          </c:cat>
          <c:val>
            <c:numRef>
              <c:f>[工作簿2]Sheet1!$B$4:$C$4</c:f>
              <c:numCache>
                <c:formatCode>General</c:formatCode>
                <c:ptCount val="2"/>
                <c:pt idx="0">
                  <c:v>11817.69</c:v>
                </c:pt>
                <c:pt idx="1">
                  <c:v>13068.44</c:v>
                </c:pt>
              </c:numCache>
            </c:numRef>
          </c:val>
        </c:ser>
        <c:dLbls>
          <c:showLegendKey val="0"/>
          <c:showVal val="1"/>
          <c:showCatName val="0"/>
          <c:showSerName val="0"/>
          <c:showPercent val="0"/>
          <c:showBubbleSize val="0"/>
        </c:dLbls>
        <c:gapWidth val="246"/>
        <c:overlap val="100"/>
        <c:axId val="934585111"/>
        <c:axId val="404784905"/>
      </c:barChart>
      <c:catAx>
        <c:axId val="9345851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784905"/>
        <c:crosses val="autoZero"/>
        <c:auto val="1"/>
        <c:lblAlgn val="ctr"/>
        <c:lblOffset val="100"/>
        <c:noMultiLvlLbl val="0"/>
      </c:catAx>
      <c:valAx>
        <c:axId val="40478490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5851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10777.88, 82</a:t>
                    </a:r>
                    <a:r>
                      <a:rPr lang="en-US" altLang="zh-CN"/>
                      <a:t>.5</a:t>
                    </a:r>
                    <a:r>
                      <a:t>%</a:t>
                    </a:r>
                  </a:p>
                </c:rich>
              </c:tx>
              <c:dLblPos val="outEnd"/>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2290.56, 1</a:t>
                    </a:r>
                    <a:r>
                      <a:rPr lang="en-US" altLang="zh-CN"/>
                      <a:t>7.5</a:t>
                    </a:r>
                    <a:r>
                      <a:t>%</a:t>
                    </a:r>
                  </a:p>
                </c:rich>
              </c:tx>
              <c:dLblPos val="out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[工作簿2]Sheet1!$B$9:$C$9</c:f>
              <c:strCache>
                <c:ptCount val="2"/>
                <c:pt idx="0">
                  <c:v>一般公共预算财政拨款收入</c:v>
                </c:pt>
                <c:pt idx="1">
                  <c:v>其他收入</c:v>
                </c:pt>
              </c:strCache>
            </c:strRef>
          </c:cat>
          <c:val>
            <c:numRef>
              <c:f>[工作簿2]Sheet1!$B$10:$C$10</c:f>
              <c:numCache>
                <c:formatCode>General</c:formatCode>
                <c:ptCount val="2"/>
                <c:pt idx="0">
                  <c:v>10777.88</c:v>
                </c:pt>
                <c:pt idx="1">
                  <c:v>2290.56</c:v>
                </c:pt>
              </c:numCache>
            </c:numRef>
          </c:val>
        </c:ser>
        <c:dLbls>
          <c:showLegendKey val="0"/>
          <c:showVal val="1"/>
          <c:showCatName val="0"/>
          <c:showSerName val="0"/>
          <c:showPercent val="1"/>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8867.53, 6</a:t>
                    </a:r>
                    <a:r>
                      <a:rPr lang="en-US" altLang="zh-CN"/>
                      <a:t>7.9</a:t>
                    </a:r>
                    <a:r>
                      <a:t>%</a:t>
                    </a:r>
                  </a:p>
                </c:rich>
              </c:tx>
              <c:dLblPos val="outEnd"/>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4200.91, 32</a:t>
                    </a:r>
                    <a:r>
                      <a:rPr lang="en-US" altLang="zh-CN"/>
                      <a:t>.1</a:t>
                    </a:r>
                    <a:r>
                      <a:t>%</a:t>
                    </a:r>
                  </a:p>
                </c:rich>
              </c:tx>
              <c:dLblPos val="out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[工作簿2]Sheet1!$B$13:$C$13</c:f>
              <c:strCache>
                <c:ptCount val="2"/>
                <c:pt idx="0">
                  <c:v>基本支出</c:v>
                </c:pt>
                <c:pt idx="1">
                  <c:v>项目支出</c:v>
                </c:pt>
              </c:strCache>
            </c:strRef>
          </c:cat>
          <c:val>
            <c:numRef>
              <c:f>[工作簿2]Sheet1!$B$14:$C$14</c:f>
              <c:numCache>
                <c:formatCode>General</c:formatCode>
                <c:ptCount val="2"/>
                <c:pt idx="0">
                  <c:v>8867.53</c:v>
                </c:pt>
                <c:pt idx="1">
                  <c:v>4200.91</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stacked"/>
        <c:varyColors val="0"/>
        <c:ser>
          <c:idx val="0"/>
          <c:order val="0"/>
          <c:spPr>
            <a:solidFill>
              <a:schemeClr val="accent1"/>
            </a:solidFill>
            <a:ln>
              <a:solidFill>
                <a:schemeClr val="bg1"/>
              </a:solidFill>
            </a:ln>
            <a:effectLst/>
          </c:spPr>
          <c:invertIfNegative val="0"/>
          <c:dLbls>
            <c:dLbl>
              <c:idx val="0"/>
              <c:layout>
                <c:manualLayout>
                  <c:x val="0.00197368421052632"/>
                  <c:y val="-0.104166666666667"/>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92105263157895"/>
                  <c:y val="-0.100694444444444"/>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[工作簿2]Sheet1!$B$3:$C$3</c:f>
              <c:strCache>
                <c:ptCount val="2"/>
                <c:pt idx="0">
                  <c:v>2024年</c:v>
                </c:pt>
                <c:pt idx="1">
                  <c:v>2025年</c:v>
                </c:pt>
              </c:strCache>
            </c:strRef>
          </c:cat>
          <c:val>
            <c:numRef>
              <c:f>[工作簿2]Sheet1!$B$4:$C$4</c:f>
              <c:numCache>
                <c:formatCode>General</c:formatCode>
                <c:ptCount val="2"/>
                <c:pt idx="0">
                  <c:v>11817.69</c:v>
                </c:pt>
                <c:pt idx="1">
                  <c:v>13068.44</c:v>
                </c:pt>
              </c:numCache>
            </c:numRef>
          </c:val>
        </c:ser>
        <c:dLbls>
          <c:showLegendKey val="0"/>
          <c:showVal val="1"/>
          <c:showCatName val="0"/>
          <c:showSerName val="0"/>
          <c:showPercent val="0"/>
          <c:showBubbleSize val="0"/>
        </c:dLbls>
        <c:gapWidth val="246"/>
        <c:overlap val="100"/>
        <c:axId val="768900899"/>
        <c:axId val="229522214"/>
      </c:barChart>
      <c:catAx>
        <c:axId val="7689008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522214"/>
        <c:crosses val="autoZero"/>
        <c:auto val="1"/>
        <c:lblAlgn val="ctr"/>
        <c:lblOffset val="100"/>
        <c:noMultiLvlLbl val="0"/>
      </c:catAx>
      <c:valAx>
        <c:axId val="22952221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89008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[工作簿2]Sheet1!$B$16:$C$16</c:f>
              <c:strCache>
                <c:ptCount val="2"/>
                <c:pt idx="0">
                  <c:v>2024年</c:v>
                </c:pt>
                <c:pt idx="1">
                  <c:v>2025年</c:v>
                </c:pt>
              </c:strCache>
            </c:strRef>
          </c:cat>
          <c:val>
            <c:numRef>
              <c:f>[工作簿2]Sheet1!$B$17:$C$17</c:f>
              <c:numCache>
                <c:formatCode>General</c:formatCode>
                <c:ptCount val="2"/>
                <c:pt idx="0">
                  <c:v>9927.98</c:v>
                </c:pt>
                <c:pt idx="1">
                  <c:v>10777.88</c:v>
                </c:pt>
              </c:numCache>
            </c:numRef>
          </c:val>
        </c:ser>
        <c:dLbls>
          <c:showLegendKey val="0"/>
          <c:showVal val="1"/>
          <c:showCatName val="0"/>
          <c:showSerName val="0"/>
          <c:showPercent val="0"/>
          <c:showBubbleSize val="0"/>
        </c:dLbls>
        <c:gapWidth val="246"/>
        <c:overlap val="-28"/>
        <c:axId val="238529708"/>
        <c:axId val="270180625"/>
      </c:barChart>
      <c:catAx>
        <c:axId val="2385297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0180625"/>
        <c:crosses val="autoZero"/>
        <c:auto val="1"/>
        <c:lblAlgn val="ctr"/>
        <c:lblOffset val="100"/>
        <c:noMultiLvlLbl val="0"/>
      </c:catAx>
      <c:valAx>
        <c:axId val="2701806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85297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193815789473684"/>
          <c:y val="0.03125"/>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Pt>
            <c:idx val="2"/>
            <c:bubble3D val="0"/>
            <c:spPr>
              <a:solidFill>
                <a:schemeClr val="accent3"/>
              </a:solidFill>
              <a:ln w="25400">
                <a:solidFill>
                  <a:schemeClr val="lt1"/>
                </a:solidFill>
              </a:ln>
              <a:effectLst/>
            </c:spPr>
          </c:dPt>
          <c:dPt>
            <c:idx val="3"/>
            <c:bubble3D val="0"/>
            <c:spPr>
              <a:solidFill>
                <a:schemeClr val="accent4"/>
              </a:solidFill>
              <a:ln w="25400">
                <a:solidFill>
                  <a:schemeClr val="lt1"/>
                </a:solidFill>
              </a:ln>
              <a:effectLst/>
            </c:spPr>
          </c:dPt>
          <c:dPt>
            <c:idx val="4"/>
            <c:bubble3D val="0"/>
            <c:spPr>
              <a:solidFill>
                <a:schemeClr val="accent5"/>
              </a:solidFill>
              <a:ln w="25400">
                <a:solidFill>
                  <a:schemeClr val="lt1"/>
                </a:solidFill>
              </a:ln>
              <a:effectLst/>
            </c:spPr>
          </c:dPt>
          <c:dLbls>
            <c:dLbl>
              <c:idx val="0"/>
              <c:layout>
                <c:manualLayout>
                  <c:x val="0.209210526315789"/>
                  <c:y val="0.024305555555555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380.78, 3</a:t>
                    </a:r>
                    <a:r>
                      <a:rPr lang="en-US" altLang="zh-CN"/>
                      <a:t>.5</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8285.62, 7</a:t>
                    </a:r>
                    <a:r>
                      <a:rPr lang="en-US" altLang="zh-CN"/>
                      <a:t>6.9</a:t>
                    </a:r>
                    <a:r>
                      <a:t>%</a:t>
                    </a:r>
                  </a:p>
                </c:rich>
              </c:tx>
              <c:dLblPos val="outEnd"/>
              <c:showLegendKey val="0"/>
              <c:showVal val="1"/>
              <c:showCatName val="0"/>
              <c:showSerName val="0"/>
              <c:showPercent val="1"/>
              <c:showBubbleSize val="0"/>
              <c:extLst>
                <c:ext xmlns:c15="http://schemas.microsoft.com/office/drawing/2012/chart" uri="{CE6537A1-D6FC-4f65-9D91-7224C49458BB}"/>
              </c:extLst>
            </c:dLbl>
            <c:dLbl>
              <c:idx val="2"/>
              <c:layout>
                <c:manualLayout>
                  <c:x val="-0.138157894736842"/>
                  <c:y val="0.048611111111111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1085.93, 10</a:t>
                    </a:r>
                    <a:r>
                      <a:rPr lang="en-US" altLang="zh-CN"/>
                      <a:t>.1</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69736842105263"/>
                  <c:y val="-0.076388888888888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0592105263157895"/>
                  <c:y val="-0.048611111111111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597.81, </a:t>
                    </a:r>
                    <a:r>
                      <a:rPr lang="en-US" altLang="zh-CN"/>
                      <a:t>5.5</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[工作簿2.xlsx]Sheet1!$B$20:$B$24</c:f>
              <c:strCache>
                <c:ptCount val="5"/>
                <c:pt idx="0">
                  <c:v>一般公共服务支出</c:v>
                </c:pt>
                <c:pt idx="1">
                  <c:v>公共安全支出</c:v>
                </c:pt>
                <c:pt idx="2">
                  <c:v>社会保障和就业支出</c:v>
                </c:pt>
                <c:pt idx="3">
                  <c:v>卫生健康支出</c:v>
                </c:pt>
                <c:pt idx="4">
                  <c:v>住房保障支出</c:v>
                </c:pt>
              </c:strCache>
            </c:strRef>
          </c:cat>
          <c:val>
            <c:numRef>
              <c:f>[工作簿2.xlsx]Sheet1!$C$20:$C$24</c:f>
              <c:numCache>
                <c:formatCode>General</c:formatCode>
                <c:ptCount val="5"/>
                <c:pt idx="0">
                  <c:v>380.78</c:v>
                </c:pt>
                <c:pt idx="1">
                  <c:v>8285.62</c:v>
                </c:pt>
                <c:pt idx="2">
                  <c:v>1085.93</c:v>
                </c:pt>
                <c:pt idx="3">
                  <c:v>427.74</c:v>
                </c:pt>
                <c:pt idx="4">
                  <c:v>597.81</c:v>
                </c:pt>
              </c:numCache>
            </c:numRef>
          </c:val>
        </c:ser>
        <c:dLbls>
          <c:showLegendKey val="0"/>
          <c:showVal val="1"/>
          <c:showCatName val="0"/>
          <c:showSerName val="0"/>
          <c:showPercent val="1"/>
          <c:showBubbleSize val="0"/>
        </c:dLbls>
      </c:pie3DChart>
      <c:spPr>
        <a:noFill/>
        <a:ln>
          <a:noFill/>
        </a:ln>
        <a:effectLst/>
      </c:spPr>
    </c:plotArea>
    <c:legend>
      <c:legendPos val="t"/>
      <c:layout>
        <c:manualLayout>
          <c:xMode val="edge"/>
          <c:yMode val="edge"/>
          <c:x val="0.131973684210526"/>
          <c:y val="0.15324074074074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250657894736842"/>
                  <c:y val="-0.02777777777777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92.72, </a:t>
                    </a:r>
                    <a:r>
                      <a:rPr lang="en-US" altLang="zh-CN"/>
                      <a:t>99.8</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24342105263158"/>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0.21, 0</a:t>
                    </a:r>
                    <a:r>
                      <a:rPr lang="en-US" altLang="zh-CN"/>
                      <a:t>.2</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[工作簿2.xlsx]Sheet1!$B$26:$B$27</c:f>
              <c:strCache>
                <c:ptCount val="2"/>
                <c:pt idx="0">
                  <c:v>公务用车运行维护费</c:v>
                </c:pt>
                <c:pt idx="1">
                  <c:v>公务接待费</c:v>
                </c:pt>
              </c:strCache>
            </c:strRef>
          </c:cat>
          <c:val>
            <c:numRef>
              <c:f>[工作簿2.xlsx]Sheet1!$C$26:$C$27</c:f>
              <c:numCache>
                <c:formatCode>General</c:formatCode>
                <c:ptCount val="2"/>
                <c:pt idx="0">
                  <c:v>92.72</c:v>
                </c:pt>
                <c:pt idx="1">
                  <c:v>0.21</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1334</Words>
  <Characters>7606</Characters>
  <Lines>63</Lines>
  <Paragraphs>17</Paragraphs>
  <TotalTime>2</TotalTime>
  <ScaleCrop>false</ScaleCrop>
  <LinksUpToDate>false</LinksUpToDate>
  <CharactersWithSpaces>8923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2026-09-01T03:50:05Z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3BF536824C220DA3E40E8B68BA118B1C_42</vt:lpwstr>
  </property>
</Properties>
</file>