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5CC59">
      <w:pPr>
        <w:pStyle w:val="8"/>
        <w:spacing w:before="93"/>
        <w:ind w:left="105" w:leftChars="50" w:right="105" w:rightChars="50"/>
        <w:rPr>
          <w:rFonts w:ascii="Times New Roman" w:eastAsia="方正小标宋简体"/>
          <w:kern w:val="2"/>
          <w:sz w:val="72"/>
          <w:szCs w:val="72"/>
        </w:rPr>
      </w:pPr>
      <w:bookmarkStart w:id="0" w:name="_Toc15377425"/>
      <w:bookmarkStart w:id="1" w:name="_Toc15378441"/>
      <w:bookmarkStart w:id="2" w:name="_Toc15306267"/>
      <w:bookmarkStart w:id="3" w:name="_Toc15396475"/>
      <w:bookmarkStart w:id="4" w:name="_Toc15396597"/>
      <w:bookmarkStart w:id="5" w:name="_Toc15377193"/>
    </w:p>
    <w:p w14:paraId="0DC2CCCA">
      <w:pPr>
        <w:pStyle w:val="8"/>
        <w:spacing w:before="93"/>
        <w:ind w:left="105" w:leftChars="50" w:right="105" w:rightChars="50"/>
        <w:rPr>
          <w:rFonts w:ascii="Times New Roman" w:eastAsia="方正小标宋简体"/>
          <w:kern w:val="2"/>
          <w:sz w:val="72"/>
          <w:szCs w:val="72"/>
        </w:rPr>
      </w:pPr>
    </w:p>
    <w:p w14:paraId="746EE07B">
      <w:pPr>
        <w:pStyle w:val="8"/>
        <w:spacing w:before="93"/>
        <w:ind w:left="105" w:leftChars="50" w:right="105" w:rightChars="50"/>
        <w:rPr>
          <w:rFonts w:ascii="Times New Roman" w:eastAsia="方正小标宋简体"/>
          <w:kern w:val="2"/>
          <w:sz w:val="72"/>
          <w:szCs w:val="72"/>
        </w:rPr>
      </w:pPr>
    </w:p>
    <w:p w14:paraId="5C2F13BF">
      <w:pPr>
        <w:pStyle w:val="8"/>
        <w:spacing w:before="93"/>
        <w:jc w:val="center"/>
        <w:rPr>
          <w:rFonts w:hint="eastAsia" w:asciiTheme="minorEastAsia" w:hAnsiTheme="minorEastAsia" w:eastAsiaTheme="minorEastAsia" w:cstheme="minorEastAsia"/>
          <w:kern w:val="2"/>
          <w:sz w:val="44"/>
          <w:szCs w:val="44"/>
          <w:lang w:val="en-US" w:eastAsia="zh-CN"/>
        </w:rPr>
      </w:pPr>
      <w:r>
        <w:rPr>
          <w:rFonts w:hint="eastAsia" w:asciiTheme="minorEastAsia" w:hAnsiTheme="minorEastAsia" w:eastAsiaTheme="minorEastAsia" w:cstheme="minorEastAsia"/>
          <w:kern w:val="2"/>
          <w:sz w:val="44"/>
          <w:szCs w:val="44"/>
        </w:rPr>
        <w:t>2025年度</w:t>
      </w:r>
      <w:r>
        <w:rPr>
          <w:rFonts w:hint="eastAsia" w:asciiTheme="minorEastAsia" w:hAnsiTheme="minorEastAsia" w:eastAsiaTheme="minorEastAsia" w:cstheme="minorEastAsia"/>
          <w:kern w:val="2"/>
          <w:sz w:val="44"/>
          <w:szCs w:val="44"/>
          <w:lang w:val="en-US" w:eastAsia="zh-CN"/>
        </w:rPr>
        <w:t>攀枝花市公安局东区分局</w:t>
      </w:r>
    </w:p>
    <w:p w14:paraId="404D474E">
      <w:pPr>
        <w:pStyle w:val="8"/>
        <w:spacing w:before="93"/>
        <w:jc w:val="center"/>
        <w:rPr>
          <w:rFonts w:hint="eastAsia" w:asciiTheme="minorEastAsia" w:hAnsiTheme="minorEastAsia" w:eastAsiaTheme="minorEastAsia" w:cstheme="minorEastAsia"/>
          <w:kern w:val="2"/>
          <w:sz w:val="44"/>
          <w:szCs w:val="44"/>
        </w:rPr>
      </w:pPr>
      <w:r>
        <w:rPr>
          <w:rFonts w:hint="eastAsia" w:asciiTheme="minorEastAsia" w:hAnsiTheme="minorEastAsia" w:eastAsiaTheme="minorEastAsia" w:cstheme="minorEastAsia"/>
          <w:kern w:val="2"/>
          <w:sz w:val="44"/>
          <w:szCs w:val="44"/>
        </w:rPr>
        <w:t>决算公开编制说明</w:t>
      </w:r>
    </w:p>
    <w:p w14:paraId="3A761D0C">
      <w:pPr>
        <w:pStyle w:val="19"/>
        <w:spacing w:line="240" w:lineRule="auto"/>
        <w:ind w:right="105" w:rightChars="50"/>
        <w:rPr>
          <w:rFonts w:ascii="Times New Roman" w:hAnsi="Times New Roman"/>
        </w:rPr>
        <w:sectPr>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p>
    <w:bookmarkEnd w:id="0"/>
    <w:bookmarkEnd w:id="1"/>
    <w:bookmarkEnd w:id="2"/>
    <w:bookmarkEnd w:id="3"/>
    <w:bookmarkEnd w:id="4"/>
    <w:bookmarkEnd w:id="5"/>
    <w:p w14:paraId="55DBFCAD">
      <w:pPr>
        <w:pStyle w:val="8"/>
        <w:spacing w:before="93"/>
        <w:jc w:val="both"/>
        <w:rPr>
          <w:rFonts w:hint="eastAsia" w:asciiTheme="majorEastAsia" w:hAnsiTheme="majorEastAsia" w:eastAsiaTheme="majorEastAsia" w:cstheme="majorEastAsia"/>
          <w:kern w:val="2"/>
          <w:sz w:val="44"/>
          <w:szCs w:val="44"/>
        </w:rPr>
      </w:pPr>
      <w:bookmarkStart w:id="6" w:name="_Toc15377194"/>
      <w:bookmarkStart w:id="7" w:name="_Toc15396476"/>
      <w:bookmarkStart w:id="8" w:name="_Toc15378442"/>
      <w:bookmarkStart w:id="9" w:name="_Toc15306268"/>
      <w:bookmarkStart w:id="10" w:name="_Toc15396598"/>
      <w:bookmarkStart w:id="11" w:name="_Toc15377426"/>
    </w:p>
    <w:p w14:paraId="61664042">
      <w:pPr>
        <w:pStyle w:val="8"/>
        <w:spacing w:before="93"/>
        <w:jc w:val="both"/>
        <w:rPr>
          <w:rFonts w:hint="eastAsia" w:asciiTheme="majorEastAsia" w:hAnsiTheme="majorEastAsia" w:eastAsiaTheme="majorEastAsia" w:cstheme="majorEastAsia"/>
          <w:kern w:val="2"/>
          <w:sz w:val="44"/>
          <w:szCs w:val="44"/>
        </w:rPr>
      </w:pPr>
    </w:p>
    <w:p w14:paraId="68D739D1">
      <w:pPr>
        <w:pStyle w:val="8"/>
        <w:spacing w:before="93"/>
        <w:jc w:val="both"/>
        <w:rPr>
          <w:rFonts w:hint="eastAsia" w:asciiTheme="majorEastAsia" w:hAnsiTheme="majorEastAsia" w:eastAsiaTheme="majorEastAsia" w:cstheme="majorEastAsia"/>
          <w:kern w:val="2"/>
          <w:sz w:val="44"/>
          <w:szCs w:val="44"/>
        </w:rPr>
      </w:pPr>
    </w:p>
    <w:p w14:paraId="4CDD98FD">
      <w:pPr>
        <w:pStyle w:val="8"/>
        <w:spacing w:before="93"/>
        <w:ind w:firstLine="880" w:firstLineChars="200"/>
        <w:jc w:val="both"/>
        <w:rPr>
          <w:rFonts w:hint="eastAsia" w:asciiTheme="majorEastAsia" w:hAnsiTheme="majorEastAsia" w:eastAsiaTheme="majorEastAsia" w:cstheme="majorEastAsia"/>
          <w:kern w:val="2"/>
          <w:sz w:val="44"/>
          <w:szCs w:val="44"/>
          <w:lang w:eastAsia="zh-CN"/>
        </w:rPr>
      </w:pPr>
      <w:r>
        <w:rPr>
          <w:rFonts w:hint="eastAsia" w:asciiTheme="majorEastAsia" w:hAnsiTheme="majorEastAsia" w:eastAsiaTheme="majorEastAsia" w:cstheme="majorEastAsia"/>
          <w:kern w:val="2"/>
          <w:sz w:val="44"/>
          <w:szCs w:val="44"/>
        </w:rPr>
        <w:t>2025年度攀枝花市</w:t>
      </w:r>
      <w:r>
        <w:rPr>
          <w:rFonts w:hint="eastAsia" w:asciiTheme="majorEastAsia" w:hAnsiTheme="majorEastAsia" w:eastAsiaTheme="majorEastAsia" w:cstheme="majorEastAsia"/>
          <w:kern w:val="2"/>
          <w:sz w:val="44"/>
          <w:szCs w:val="44"/>
          <w:lang w:eastAsia="zh-CN"/>
        </w:rPr>
        <w:t>公安局东区分局</w:t>
      </w:r>
    </w:p>
    <w:p w14:paraId="47624B2C">
      <w:pPr>
        <w:pStyle w:val="8"/>
        <w:spacing w:before="93"/>
        <w:jc w:val="center"/>
        <w:rPr>
          <w:rFonts w:hint="eastAsia" w:asciiTheme="majorEastAsia" w:hAnsiTheme="majorEastAsia" w:eastAsiaTheme="majorEastAsia" w:cstheme="majorEastAsia"/>
          <w:kern w:val="2"/>
          <w:sz w:val="44"/>
          <w:szCs w:val="44"/>
        </w:rPr>
      </w:pPr>
      <w:r>
        <w:rPr>
          <w:rFonts w:hint="eastAsia" w:asciiTheme="majorEastAsia" w:hAnsiTheme="majorEastAsia" w:eastAsiaTheme="majorEastAsia" w:cstheme="majorEastAsia"/>
          <w:kern w:val="2"/>
          <w:sz w:val="44"/>
          <w:szCs w:val="44"/>
        </w:rPr>
        <w:t>部门决算</w:t>
      </w:r>
    </w:p>
    <w:p w14:paraId="63DAE557">
      <w:pPr>
        <w:adjustRightInd w:val="0"/>
        <w:snapToGrid w:val="0"/>
        <w:ind w:left="105" w:leftChars="50" w:right="105" w:rightChars="50"/>
        <w:jc w:val="center"/>
        <w:outlineLvl w:val="0"/>
        <w:rPr>
          <w:rFonts w:hint="eastAsia" w:ascii="方正小标宋_GBK" w:hAnsi="方正小标宋_GBK" w:eastAsia="方正小标宋_GBK" w:cs="方正小标宋_GBK"/>
          <w:sz w:val="72"/>
          <w:szCs w:val="72"/>
        </w:rPr>
      </w:pPr>
    </w:p>
    <w:bookmarkEnd w:id="6"/>
    <w:bookmarkEnd w:id="7"/>
    <w:bookmarkEnd w:id="8"/>
    <w:bookmarkEnd w:id="9"/>
    <w:bookmarkEnd w:id="10"/>
    <w:bookmarkEnd w:id="11"/>
    <w:p w14:paraId="7AC08A78">
      <w:pPr>
        <w:widowControl/>
        <w:ind w:left="105" w:leftChars="50" w:right="105" w:rightChars="50"/>
        <w:jc w:val="center"/>
        <w:rPr>
          <w:rFonts w:eastAsia="黑体"/>
          <w:sz w:val="48"/>
          <w:szCs w:val="48"/>
        </w:rPr>
      </w:pPr>
    </w:p>
    <w:p w14:paraId="2A93DED2">
      <w:pPr>
        <w:widowControl/>
        <w:ind w:left="105" w:leftChars="50" w:right="105" w:rightChars="50"/>
        <w:jc w:val="center"/>
        <w:rPr>
          <w:rFonts w:eastAsia="黑体"/>
          <w:sz w:val="48"/>
          <w:szCs w:val="48"/>
        </w:rPr>
      </w:pPr>
    </w:p>
    <w:p w14:paraId="518560C1">
      <w:pPr>
        <w:widowControl/>
        <w:ind w:left="105" w:leftChars="50" w:right="105" w:rightChars="50"/>
        <w:jc w:val="center"/>
        <w:rPr>
          <w:rFonts w:eastAsia="黑体"/>
          <w:sz w:val="48"/>
          <w:szCs w:val="48"/>
        </w:rPr>
      </w:pPr>
    </w:p>
    <w:p w14:paraId="302B7084">
      <w:pPr>
        <w:widowControl/>
        <w:ind w:left="105" w:leftChars="50" w:right="105" w:rightChars="50"/>
        <w:jc w:val="center"/>
        <w:rPr>
          <w:rFonts w:eastAsia="黑体"/>
          <w:sz w:val="48"/>
          <w:szCs w:val="48"/>
        </w:rPr>
      </w:pPr>
    </w:p>
    <w:p w14:paraId="73830BEB">
      <w:pPr>
        <w:widowControl/>
        <w:ind w:left="105" w:leftChars="50" w:right="105" w:rightChars="50"/>
        <w:jc w:val="center"/>
        <w:rPr>
          <w:rFonts w:eastAsia="黑体"/>
          <w:sz w:val="48"/>
          <w:szCs w:val="48"/>
        </w:rPr>
      </w:pPr>
    </w:p>
    <w:p w14:paraId="02FD1F59">
      <w:pPr>
        <w:widowControl/>
        <w:ind w:left="105" w:leftChars="50" w:right="105" w:rightChars="50"/>
        <w:jc w:val="center"/>
        <w:rPr>
          <w:rFonts w:eastAsia="黑体"/>
          <w:sz w:val="48"/>
          <w:szCs w:val="48"/>
        </w:rPr>
      </w:pPr>
    </w:p>
    <w:p w14:paraId="3D5CDC61">
      <w:pPr>
        <w:widowControl/>
        <w:ind w:left="105" w:leftChars="50" w:right="105" w:rightChars="50"/>
        <w:jc w:val="center"/>
        <w:rPr>
          <w:rFonts w:eastAsia="黑体"/>
          <w:sz w:val="48"/>
          <w:szCs w:val="48"/>
        </w:rPr>
      </w:pPr>
    </w:p>
    <w:p w14:paraId="65A0CFDE">
      <w:pPr>
        <w:widowControl/>
        <w:ind w:left="105" w:leftChars="50" w:right="105" w:rightChars="50"/>
        <w:jc w:val="center"/>
        <w:rPr>
          <w:rFonts w:eastAsia="黑体"/>
          <w:sz w:val="48"/>
          <w:szCs w:val="48"/>
        </w:rPr>
      </w:pPr>
    </w:p>
    <w:p w14:paraId="4C394CFC">
      <w:pPr>
        <w:pStyle w:val="2"/>
        <w:rPr>
          <w:rFonts w:eastAsia="黑体"/>
          <w:sz w:val="48"/>
          <w:szCs w:val="48"/>
        </w:rPr>
      </w:pPr>
    </w:p>
    <w:p w14:paraId="74CC9A76">
      <w:pPr>
        <w:pStyle w:val="3"/>
        <w:rPr>
          <w:rFonts w:eastAsia="黑体"/>
          <w:sz w:val="48"/>
          <w:szCs w:val="48"/>
        </w:rPr>
      </w:pPr>
    </w:p>
    <w:p w14:paraId="3BCA5AFC"/>
    <w:p w14:paraId="227DE1F9">
      <w:pPr>
        <w:widowControl/>
        <w:ind w:left="105" w:leftChars="50" w:right="105" w:rightChars="50"/>
        <w:jc w:val="center"/>
        <w:rPr>
          <w:rFonts w:eastAsia="黑体"/>
          <w:sz w:val="48"/>
          <w:szCs w:val="48"/>
        </w:rPr>
      </w:pPr>
    </w:p>
    <w:p w14:paraId="6CC05D9D">
      <w:pPr>
        <w:widowControl/>
        <w:ind w:left="105" w:leftChars="50" w:right="105" w:rightChars="50"/>
        <w:jc w:val="center"/>
        <w:rPr>
          <w:rFonts w:eastAsia="黑体"/>
          <w:sz w:val="48"/>
          <w:szCs w:val="48"/>
        </w:rPr>
      </w:pPr>
    </w:p>
    <w:p w14:paraId="676C1B78">
      <w:pPr>
        <w:widowControl/>
        <w:ind w:left="105" w:leftChars="50" w:right="105" w:rightChars="50"/>
        <w:jc w:val="center"/>
        <w:rPr>
          <w:rFonts w:eastAsia="黑体"/>
          <w:sz w:val="48"/>
          <w:szCs w:val="48"/>
        </w:rPr>
      </w:pPr>
    </w:p>
    <w:p w14:paraId="16637893">
      <w:pPr>
        <w:pStyle w:val="2"/>
      </w:pPr>
    </w:p>
    <w:p w14:paraId="040EA149">
      <w:pPr>
        <w:widowControl/>
        <w:ind w:left="105" w:leftChars="50" w:right="105" w:rightChars="50"/>
        <w:jc w:val="center"/>
        <w:rPr>
          <w:rFonts w:eastAsia="黑体"/>
          <w:sz w:val="48"/>
          <w:szCs w:val="48"/>
        </w:rPr>
      </w:pPr>
    </w:p>
    <w:p w14:paraId="22C7830E">
      <w:pPr>
        <w:widowControl/>
        <w:ind w:left="105" w:leftChars="50" w:right="105" w:rightChars="50"/>
        <w:jc w:val="center"/>
        <w:rPr>
          <w:rFonts w:eastAsia="黑体"/>
          <w:sz w:val="48"/>
          <w:szCs w:val="48"/>
        </w:rPr>
      </w:pPr>
      <w:r>
        <w:rPr>
          <w:rFonts w:hint="eastAsia" w:eastAsia="黑体"/>
          <w:sz w:val="48"/>
          <w:szCs w:val="48"/>
        </w:rPr>
        <w:t>目录</w:t>
      </w:r>
    </w:p>
    <w:p w14:paraId="2C73AF2C">
      <w:pPr>
        <w:widowControl/>
        <w:ind w:left="105" w:leftChars="50" w:right="105" w:rightChars="50"/>
        <w:jc w:val="center"/>
        <w:rPr>
          <w:rFonts w:eastAsia="黑体" w:cstheme="minorBidi"/>
          <w:sz w:val="28"/>
          <w:szCs w:val="28"/>
        </w:rPr>
      </w:pPr>
    </w:p>
    <w:p w14:paraId="555D0EAF">
      <w:pPr>
        <w:pStyle w:val="13"/>
        <w:ind w:left="105" w:leftChars="50" w:right="105" w:rightChars="50"/>
        <w:rPr>
          <w:rFonts w:ascii="Times New Roman" w:hAnsi="Times New Roman" w:eastAsia="仿宋_GB2312" w:cs="仿宋_GB2312"/>
          <w:sz w:val="32"/>
          <w:szCs w:val="32"/>
        </w:rPr>
      </w:pPr>
      <w:r>
        <w:rPr>
          <w:rFonts w:hint="eastAsia" w:ascii="Times New Roman" w:hAnsi="Times New Roman" w:eastAsia="仿宋_GB2312" w:cs="仿宋_GB2312"/>
          <w:sz w:val="32"/>
          <w:szCs w:val="32"/>
        </w:rPr>
        <w:t>公开时间：202</w:t>
      </w:r>
      <w:r>
        <w:rPr>
          <w:rFonts w:hint="eastAsia" w:ascii="Times New Roman" w:hAnsi="Times New Roman" w:eastAsia="仿宋_GB2312" w:cs="仿宋_GB2312"/>
          <w:sz w:val="32"/>
          <w:szCs w:val="32"/>
          <w:lang w:val="en-US" w:eastAsia="zh-CN"/>
        </w:rPr>
        <w:t>6</w:t>
      </w:r>
      <w:r>
        <w:rPr>
          <w:rFonts w:hint="eastAsia" w:ascii="Times New Roman" w:hAnsi="Times New Roman" w:eastAsia="仿宋_GB2312" w:cs="仿宋_GB2312"/>
          <w:sz w:val="32"/>
          <w:szCs w:val="32"/>
        </w:rPr>
        <w:t>年</w:t>
      </w:r>
      <w:r>
        <w:rPr>
          <w:rFonts w:hint="eastAsia" w:ascii="Times New Roman" w:hAnsi="Times New Roman" w:eastAsia="仿宋_GB2312" w:cs="仿宋_GB2312"/>
          <w:sz w:val="32"/>
          <w:szCs w:val="32"/>
          <w:lang w:val="en-US" w:eastAsia="zh-CN"/>
        </w:rPr>
        <w:t>9</w:t>
      </w:r>
      <w:r>
        <w:rPr>
          <w:rFonts w:hint="eastAsia" w:ascii="Times New Roman" w:hAnsi="Times New Roman" w:eastAsia="仿宋_GB2312" w:cs="仿宋_GB2312"/>
          <w:sz w:val="32"/>
          <w:szCs w:val="32"/>
        </w:rPr>
        <w:t xml:space="preserve">月 </w:t>
      </w:r>
      <w:r>
        <w:rPr>
          <w:rFonts w:hint="eastAsia" w:ascii="Times New Roman" w:hAnsi="Times New Roman" w:eastAsia="仿宋_GB2312" w:cs="仿宋_GB2312"/>
          <w:sz w:val="32"/>
          <w:szCs w:val="32"/>
          <w:lang w:val="en-US" w:eastAsia="zh-CN"/>
        </w:rPr>
        <w:t>15</w:t>
      </w:r>
      <w:r>
        <w:rPr>
          <w:rFonts w:hint="eastAsia" w:ascii="Times New Roman" w:hAnsi="Times New Roman" w:eastAsia="仿宋_GB2312" w:cs="仿宋_GB2312"/>
          <w:sz w:val="32"/>
          <w:szCs w:val="32"/>
        </w:rPr>
        <w:t>日</w:t>
      </w:r>
    </w:p>
    <w:p w14:paraId="3011F923">
      <w:pPr>
        <w:ind w:left="105" w:leftChars="50" w:right="105" w:rightChars="50"/>
      </w:pPr>
    </w:p>
    <w:sdt>
      <w:sdtPr>
        <w:rPr>
          <w:lang w:val="zh-CN"/>
        </w:rPr>
        <w:id w:val="-1"/>
        <w:docPartObj>
          <w:docPartGallery w:val="Table of Contents"/>
          <w:docPartUnique/>
        </w:docPartObj>
      </w:sdtPr>
      <w:sdtEndPr>
        <w:rPr>
          <w:rFonts w:ascii="Times New Roman" w:hAnsi="Times New Roman" w:eastAsia="宋体" w:cs="Times New Roman"/>
          <w:b/>
          <w:bCs/>
          <w:color w:val="auto"/>
          <w:kern w:val="2"/>
          <w:sz w:val="21"/>
          <w:szCs w:val="24"/>
          <w:lang w:val="zh-CN"/>
        </w:rPr>
      </w:sdtEndPr>
      <w:sdtContent>
        <w:p w14:paraId="0DD6DE13">
          <w:pPr>
            <w:pStyle w:val="35"/>
            <w:rPr>
              <w:rFonts w:hint="eastAsia"/>
            </w:rPr>
          </w:pPr>
        </w:p>
        <w:p w14:paraId="43B1BB4D">
          <w:pPr>
            <w:pStyle w:val="13"/>
            <w:rPr>
              <w:rFonts w:hint="eastAsia" w:asciiTheme="majorEastAsia" w:hAnsiTheme="majorEastAsia" w:eastAsiaTheme="majorEastAsia" w:cstheme="minorBidi"/>
              <w:sz w:val="32"/>
              <w:szCs w:val="32"/>
              <w14:ligatures w14:val="standardContextual"/>
            </w:rPr>
          </w:pPr>
          <w:r>
            <w:fldChar w:fldCharType="begin"/>
          </w:r>
          <w:r>
            <w:instrText xml:space="preserve"> TOC \o "1-3" \h \z \u </w:instrText>
          </w:r>
          <w:r>
            <w:rPr>
              <w:rFonts w:hint="eastAsia"/>
            </w:rPr>
            <w:fldChar w:fldCharType="separate"/>
          </w:r>
        </w:p>
        <w:p w14:paraId="76B3EE5F">
          <w:pPr>
            <w:pStyle w:val="13"/>
            <w:rPr>
              <w:rFonts w:hint="eastAsia" w:asciiTheme="majorEastAsia" w:hAnsiTheme="majorEastAsia" w:eastAsiaTheme="majorEastAsia" w:cstheme="minorBidi"/>
              <w:b/>
              <w:bCs/>
              <w:sz w:val="32"/>
              <w:szCs w:val="32"/>
              <w14:ligatures w14:val="standardContextual"/>
            </w:rPr>
          </w:pPr>
          <w:r>
            <w:fldChar w:fldCharType="begin"/>
          </w:r>
          <w:r>
            <w:instrText xml:space="preserve"> HYPERLINK \l "_Toc208391982" </w:instrText>
          </w:r>
          <w:r>
            <w:fldChar w:fldCharType="separate"/>
          </w:r>
          <w:r>
            <w:rPr>
              <w:rStyle w:val="18"/>
              <w:rFonts w:hint="eastAsia" w:asciiTheme="majorEastAsia" w:hAnsiTheme="majorEastAsia" w:eastAsiaTheme="majorEastAsia"/>
              <w:b/>
              <w:bCs/>
              <w:sz w:val="32"/>
              <w:szCs w:val="32"/>
            </w:rPr>
            <w:t>第一部分  部门概况</w:t>
          </w:r>
          <w:r>
            <w:rPr>
              <w:rFonts w:hint="eastAsia" w:asciiTheme="majorEastAsia" w:hAnsiTheme="majorEastAsia" w:eastAsiaTheme="majorEastAsia"/>
              <w:b/>
              <w:bCs/>
              <w:sz w:val="32"/>
              <w:szCs w:val="32"/>
            </w:rPr>
            <w:tab/>
          </w:r>
          <w:r>
            <w:rPr>
              <w:rFonts w:hint="eastAsia" w:asciiTheme="majorEastAsia" w:hAnsiTheme="majorEastAsia" w:eastAsiaTheme="majorEastAsia"/>
              <w:b/>
              <w:bCs/>
              <w:sz w:val="32"/>
              <w:szCs w:val="32"/>
            </w:rPr>
            <w:fldChar w:fldCharType="begin"/>
          </w:r>
          <w:r>
            <w:rPr>
              <w:rFonts w:hint="eastAsia" w:asciiTheme="majorEastAsia" w:hAnsiTheme="majorEastAsia" w:eastAsiaTheme="majorEastAsia"/>
              <w:b/>
              <w:bCs/>
              <w:sz w:val="32"/>
              <w:szCs w:val="32"/>
            </w:rPr>
            <w:instrText xml:space="preserve"> </w:instrText>
          </w:r>
          <w:r>
            <w:rPr>
              <w:rFonts w:asciiTheme="majorEastAsia" w:hAnsiTheme="majorEastAsia" w:eastAsiaTheme="majorEastAsia"/>
              <w:b/>
              <w:bCs/>
              <w:sz w:val="32"/>
              <w:szCs w:val="32"/>
            </w:rPr>
            <w:instrText xml:space="preserve">PAGEREF _Toc208391982 \h</w:instrText>
          </w:r>
          <w:r>
            <w:rPr>
              <w:rFonts w:hint="eastAsia" w:asciiTheme="majorEastAsia" w:hAnsiTheme="majorEastAsia" w:eastAsiaTheme="majorEastAsia"/>
              <w:b/>
              <w:bCs/>
              <w:sz w:val="32"/>
              <w:szCs w:val="32"/>
            </w:rPr>
            <w:instrText xml:space="preserve"> </w:instrText>
          </w:r>
          <w:r>
            <w:rPr>
              <w:rFonts w:hint="eastAsia" w:asciiTheme="majorEastAsia" w:hAnsiTheme="majorEastAsia" w:eastAsiaTheme="majorEastAsia"/>
              <w:b/>
              <w:bCs/>
              <w:sz w:val="32"/>
              <w:szCs w:val="32"/>
            </w:rPr>
            <w:fldChar w:fldCharType="separate"/>
          </w:r>
          <w:r>
            <w:rPr>
              <w:rFonts w:asciiTheme="majorEastAsia" w:hAnsiTheme="majorEastAsia" w:eastAsiaTheme="majorEastAsia"/>
              <w:b/>
              <w:bCs/>
              <w:sz w:val="32"/>
              <w:szCs w:val="32"/>
            </w:rPr>
            <w:t>1</w:t>
          </w:r>
          <w:r>
            <w:rPr>
              <w:rFonts w:hint="eastAsia" w:asciiTheme="majorEastAsia" w:hAnsiTheme="majorEastAsia" w:eastAsiaTheme="majorEastAsia"/>
              <w:b/>
              <w:bCs/>
              <w:sz w:val="32"/>
              <w:szCs w:val="32"/>
            </w:rPr>
            <w:fldChar w:fldCharType="end"/>
          </w:r>
          <w:r>
            <w:rPr>
              <w:rFonts w:hint="eastAsia" w:asciiTheme="majorEastAsia" w:hAnsiTheme="majorEastAsia" w:eastAsiaTheme="majorEastAsia"/>
              <w:b/>
              <w:bCs/>
              <w:sz w:val="32"/>
              <w:szCs w:val="32"/>
            </w:rPr>
            <w:fldChar w:fldCharType="end"/>
          </w:r>
        </w:p>
        <w:p w14:paraId="18B495CF">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"_Toc208391983" </w:instrText>
          </w:r>
          <w:r>
            <w:fldChar w:fldCharType="separate"/>
          </w:r>
          <w:r>
            <w:rPr>
              <w:rStyle w:val="18"/>
              <w:rFonts w:hint="eastAsia" w:asciiTheme="majorEastAsia" w:hAnsiTheme="majorEastAsia" w:eastAsiaTheme="majorEastAsia"/>
              <w:sz w:val="32"/>
              <w:szCs w:val="32"/>
            </w:rPr>
            <w:t>一、部门职责</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_Toc208391983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01B3459E">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"_Toc208391985" </w:instrText>
          </w:r>
          <w:r>
            <w:fldChar w:fldCharType="separate"/>
          </w:r>
          <w:r>
            <w:rPr>
              <w:rStyle w:val="18"/>
              <w:rFonts w:hint="eastAsia" w:asciiTheme="majorEastAsia" w:hAnsiTheme="majorEastAsia" w:eastAsiaTheme="majorEastAsia"/>
              <w:sz w:val="32"/>
              <w:szCs w:val="32"/>
            </w:rPr>
            <w:t>二、机构设置</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_Toc208391985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0F0291DA">
          <w:pPr>
            <w:pStyle w:val="13"/>
            <w:rPr>
              <w:rFonts w:hint="eastAsia" w:asciiTheme="majorEastAsia" w:hAnsiTheme="majorEastAsia" w:eastAsiaTheme="majorEastAsia" w:cstheme="minorBidi"/>
              <w:b/>
              <w:bCs/>
              <w:sz w:val="32"/>
              <w:szCs w:val="32"/>
              <w14:ligatures w14:val="standardContextual"/>
            </w:rPr>
          </w:pPr>
          <w:r>
            <w:fldChar w:fldCharType="begin"/>
          </w:r>
          <w:r>
            <w:instrText xml:space="preserve"> HYPERLINK \l "_Toc208391987" </w:instrText>
          </w:r>
          <w:r>
            <w:fldChar w:fldCharType="separate"/>
          </w:r>
          <w:r>
            <w:rPr>
              <w:rStyle w:val="18"/>
              <w:rFonts w:hint="eastAsia" w:asciiTheme="majorEastAsia" w:hAnsiTheme="majorEastAsia" w:eastAsiaTheme="majorEastAsia"/>
              <w:b/>
              <w:bCs/>
              <w:sz w:val="32"/>
              <w:szCs w:val="32"/>
            </w:rPr>
            <w:t>第二部分  202</w:t>
          </w:r>
          <w:r>
            <w:rPr>
              <w:rStyle w:val="18"/>
              <w:rFonts w:hint="eastAsia" w:asciiTheme="majorEastAsia" w:hAnsiTheme="majorEastAsia" w:eastAsiaTheme="majorEastAsia"/>
              <w:b/>
              <w:bCs/>
              <w:sz w:val="32"/>
              <w:szCs w:val="32"/>
              <w:lang w:val="en-US" w:eastAsia="zh-CN"/>
            </w:rPr>
            <w:t>5</w:t>
          </w:r>
          <w:r>
            <w:rPr>
              <w:rStyle w:val="18"/>
              <w:rFonts w:hint="eastAsia" w:asciiTheme="majorEastAsia" w:hAnsiTheme="majorEastAsia" w:eastAsiaTheme="majorEastAsia"/>
              <w:b/>
              <w:bCs/>
              <w:sz w:val="32"/>
              <w:szCs w:val="32"/>
            </w:rPr>
            <w:t>年度部门决算情况说明</w:t>
          </w:r>
          <w:r>
            <w:rPr>
              <w:rFonts w:hint="eastAsia" w:asciiTheme="majorEastAsia" w:hAnsiTheme="majorEastAsia" w:eastAsiaTheme="majorEastAsia"/>
              <w:b/>
              <w:bCs/>
              <w:sz w:val="32"/>
              <w:szCs w:val="32"/>
            </w:rPr>
            <w:tab/>
          </w:r>
          <w:r>
            <w:rPr>
              <w:rFonts w:hint="eastAsia" w:asciiTheme="majorEastAsia" w:hAnsiTheme="majorEastAsia" w:eastAsiaTheme="majorEastAsia"/>
              <w:b/>
              <w:bCs/>
              <w:sz w:val="32"/>
              <w:szCs w:val="32"/>
            </w:rPr>
            <w:fldChar w:fldCharType="begin"/>
          </w:r>
          <w:r>
            <w:rPr>
              <w:rFonts w:hint="eastAsia" w:asciiTheme="majorEastAsia" w:hAnsiTheme="majorEastAsia" w:eastAsiaTheme="majorEastAsia"/>
              <w:b/>
              <w:bCs/>
              <w:sz w:val="32"/>
              <w:szCs w:val="32"/>
            </w:rPr>
            <w:instrText xml:space="preserve"> </w:instrText>
          </w:r>
          <w:r>
            <w:rPr>
              <w:rFonts w:asciiTheme="majorEastAsia" w:hAnsiTheme="majorEastAsia" w:eastAsiaTheme="majorEastAsia"/>
              <w:b/>
              <w:bCs/>
              <w:sz w:val="32"/>
              <w:szCs w:val="32"/>
            </w:rPr>
            <w:instrText xml:space="preserve">PAGEREF _Toc208391987 \h</w:instrText>
          </w:r>
          <w:r>
            <w:rPr>
              <w:rFonts w:hint="eastAsia" w:asciiTheme="majorEastAsia" w:hAnsiTheme="majorEastAsia" w:eastAsiaTheme="majorEastAsia"/>
              <w:b/>
              <w:bCs/>
              <w:sz w:val="32"/>
              <w:szCs w:val="32"/>
            </w:rPr>
            <w:instrText xml:space="preserve"> </w:instrText>
          </w:r>
          <w:r>
            <w:rPr>
              <w:rFonts w:hint="eastAsia" w:asciiTheme="majorEastAsia" w:hAnsiTheme="majorEastAsia" w:eastAsiaTheme="majorEastAsia"/>
              <w:b/>
              <w:bCs/>
              <w:sz w:val="32"/>
              <w:szCs w:val="32"/>
            </w:rPr>
            <w:fldChar w:fldCharType="separate"/>
          </w:r>
          <w:r>
            <w:rPr>
              <w:rFonts w:asciiTheme="majorEastAsia" w:hAnsiTheme="majorEastAsia" w:eastAsiaTheme="majorEastAsia"/>
              <w:b/>
              <w:bCs/>
              <w:sz w:val="32"/>
              <w:szCs w:val="32"/>
            </w:rPr>
            <w:t>2</w:t>
          </w:r>
          <w:r>
            <w:rPr>
              <w:rFonts w:hint="eastAsia" w:asciiTheme="majorEastAsia" w:hAnsiTheme="majorEastAsia" w:eastAsiaTheme="majorEastAsia"/>
              <w:b/>
              <w:bCs/>
              <w:sz w:val="32"/>
              <w:szCs w:val="32"/>
            </w:rPr>
            <w:fldChar w:fldCharType="end"/>
          </w:r>
          <w:r>
            <w:rPr>
              <w:rFonts w:hint="eastAsia" w:asciiTheme="majorEastAsia" w:hAnsiTheme="majorEastAsia" w:eastAsiaTheme="majorEastAsia"/>
              <w:b/>
              <w:bCs/>
              <w:sz w:val="32"/>
              <w:szCs w:val="32"/>
            </w:rPr>
            <w:fldChar w:fldCharType="end"/>
          </w:r>
        </w:p>
        <w:p w14:paraId="1E83498C">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"_Toc208391988" </w:instrText>
          </w:r>
          <w:r>
            <w:fldChar w:fldCharType="separate"/>
          </w:r>
          <w:r>
            <w:rPr>
              <w:rStyle w:val="18"/>
              <w:rFonts w:hint="eastAsia" w:asciiTheme="majorEastAsia" w:hAnsiTheme="majorEastAsia" w:eastAsiaTheme="majorEastAsia"/>
              <w:sz w:val="32"/>
              <w:szCs w:val="32"/>
            </w:rPr>
            <w:t>一、收入支出决算总体情况说明</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_Toc208391988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2</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5FA90595">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"_Toc208391990" </w:instrText>
          </w:r>
          <w:r>
            <w:fldChar w:fldCharType="separate"/>
          </w:r>
          <w:r>
            <w:rPr>
              <w:rStyle w:val="18"/>
              <w:rFonts w:hint="eastAsia" w:asciiTheme="majorEastAsia" w:hAnsiTheme="majorEastAsia" w:eastAsiaTheme="majorEastAsia"/>
              <w:sz w:val="32"/>
              <w:szCs w:val="32"/>
            </w:rPr>
            <w:t>二、收入决算情况说明</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lang w:val="en-US" w:eastAsia="zh-CN"/>
            </w:rPr>
            <w:t>2</w:t>
          </w:r>
          <w:r>
            <w:rPr>
              <w:rFonts w:hint="eastAsia" w:asciiTheme="majorEastAsia" w:hAnsiTheme="majorEastAsia" w:eastAsiaTheme="majorEastAsia"/>
              <w:sz w:val="32"/>
              <w:szCs w:val="32"/>
            </w:rPr>
            <w:fldChar w:fldCharType="end"/>
          </w:r>
        </w:p>
        <w:p w14:paraId="12368EE2">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"_Toc208391992" </w:instrText>
          </w:r>
          <w:r>
            <w:fldChar w:fldCharType="separate"/>
          </w:r>
          <w:r>
            <w:rPr>
              <w:rStyle w:val="18"/>
              <w:rFonts w:hint="eastAsia" w:asciiTheme="majorEastAsia" w:hAnsiTheme="majorEastAsia" w:eastAsiaTheme="majorEastAsia"/>
              <w:sz w:val="32"/>
              <w:szCs w:val="32"/>
            </w:rPr>
            <w:t>三、支出决算情况说明</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_Toc208391992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3</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385676D7">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"_Toc208391994" </w:instrText>
          </w:r>
          <w:r>
            <w:fldChar w:fldCharType="separate"/>
          </w:r>
          <w:r>
            <w:rPr>
              <w:rStyle w:val="18"/>
              <w:rFonts w:hint="eastAsia" w:asciiTheme="majorEastAsia" w:hAnsiTheme="majorEastAsia" w:eastAsiaTheme="majorEastAsia"/>
              <w:sz w:val="32"/>
              <w:szCs w:val="32"/>
            </w:rPr>
            <w:t>四、财政拨款收入支出决算总体情况说明</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lang w:val="en-US" w:eastAsia="zh-CN"/>
            </w:rPr>
            <w:t>3</w:t>
          </w:r>
          <w:r>
            <w:rPr>
              <w:rFonts w:hint="eastAsia" w:asciiTheme="majorEastAsia" w:hAnsiTheme="majorEastAsia" w:eastAsiaTheme="majorEastAsia"/>
              <w:sz w:val="32"/>
              <w:szCs w:val="32"/>
            </w:rPr>
            <w:fldChar w:fldCharType="end"/>
          </w:r>
        </w:p>
        <w:p w14:paraId="291A42C8">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"_Toc208391995" </w:instrText>
          </w:r>
          <w:r>
            <w:fldChar w:fldCharType="separate"/>
          </w:r>
          <w:r>
            <w:rPr>
              <w:rStyle w:val="18"/>
              <w:rFonts w:hint="eastAsia" w:asciiTheme="majorEastAsia" w:hAnsiTheme="majorEastAsia" w:eastAsiaTheme="majorEastAsia"/>
              <w:sz w:val="32"/>
              <w:szCs w:val="32"/>
            </w:rPr>
            <w:t>五、一般公共预算财政拨款支出决算情况说明</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lang w:val="en-US" w:eastAsia="zh-CN"/>
            </w:rPr>
            <w:t>4</w:t>
          </w:r>
          <w:r>
            <w:rPr>
              <w:rFonts w:hint="eastAsia" w:asciiTheme="majorEastAsia" w:hAnsiTheme="majorEastAsia" w:eastAsiaTheme="majorEastAsia"/>
              <w:sz w:val="32"/>
              <w:szCs w:val="32"/>
            </w:rPr>
            <w:fldChar w:fldCharType="end"/>
          </w:r>
        </w:p>
        <w:p w14:paraId="3833E073">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"_Toc208392000" </w:instrText>
          </w:r>
          <w:r>
            <w:fldChar w:fldCharType="separate"/>
          </w:r>
          <w:r>
            <w:rPr>
              <w:rStyle w:val="18"/>
              <w:rFonts w:hint="eastAsia" w:asciiTheme="majorEastAsia" w:hAnsiTheme="majorEastAsia" w:eastAsiaTheme="majorEastAsia"/>
              <w:sz w:val="32"/>
              <w:szCs w:val="32"/>
            </w:rPr>
            <w:t>六</w:t>
          </w:r>
          <w:r>
            <w:rPr>
              <w:rStyle w:val="18"/>
              <w:rFonts w:hint="eastAsia" w:asciiTheme="majorEastAsia" w:hAnsiTheme="majorEastAsia" w:eastAsiaTheme="majorEastAsia"/>
              <w:b/>
              <w:sz w:val="32"/>
              <w:szCs w:val="32"/>
            </w:rPr>
            <w:t>、一</w:t>
          </w:r>
          <w:r>
            <w:rPr>
              <w:rStyle w:val="18"/>
              <w:rFonts w:hint="eastAsia" w:asciiTheme="majorEastAsia" w:hAnsiTheme="majorEastAsia" w:eastAsiaTheme="majorEastAsia" w:cstheme="majorBidi"/>
              <w:bCs/>
              <w:sz w:val="32"/>
              <w:szCs w:val="32"/>
            </w:rPr>
            <w:t>般公共预算财政拨款基本支出决算情况说明</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p>
        <w:p w14:paraId="66C687D2">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"_Toc208392001" </w:instrText>
          </w:r>
          <w:r>
            <w:fldChar w:fldCharType="separate"/>
          </w:r>
          <w:r>
            <w:rPr>
              <w:rStyle w:val="18"/>
              <w:rFonts w:hint="eastAsia" w:asciiTheme="majorEastAsia" w:hAnsiTheme="majorEastAsia" w:eastAsiaTheme="majorEastAsia"/>
              <w:sz w:val="32"/>
              <w:szCs w:val="32"/>
            </w:rPr>
            <w:t>七、财政拨款“三公”经费支出决算情况说明</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p>
        <w:p w14:paraId="50545D38">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"_Toc208392004" </w:instrText>
          </w:r>
          <w:r>
            <w:fldChar w:fldCharType="separate"/>
          </w:r>
          <w:r>
            <w:rPr>
              <w:rStyle w:val="18"/>
              <w:rFonts w:hint="eastAsia" w:asciiTheme="majorEastAsia" w:hAnsiTheme="majorEastAsia" w:eastAsiaTheme="majorEastAsia"/>
              <w:sz w:val="32"/>
              <w:szCs w:val="32"/>
            </w:rPr>
            <w:t>八、</w:t>
          </w:r>
          <w:r>
            <w:rPr>
              <w:rStyle w:val="18"/>
              <w:rFonts w:hint="eastAsia" w:asciiTheme="majorEastAsia" w:hAnsiTheme="majorEastAsia" w:eastAsiaTheme="majorEastAsia" w:cstheme="majorBidi"/>
              <w:bCs/>
              <w:sz w:val="32"/>
              <w:szCs w:val="32"/>
            </w:rPr>
            <w:t>政府性基金预算支出决算情况说明</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_Toc208392004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0</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7E1E7B0B">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"_Toc208392005" </w:instrText>
          </w:r>
          <w:r>
            <w:fldChar w:fldCharType="separate"/>
          </w:r>
          <w:r>
            <w:rPr>
              <w:rStyle w:val="18"/>
              <w:rFonts w:hint="eastAsia" w:asciiTheme="majorEastAsia" w:hAnsiTheme="majorEastAsia" w:eastAsiaTheme="majorEastAsia"/>
              <w:sz w:val="32"/>
              <w:szCs w:val="32"/>
            </w:rPr>
            <w:t>九、国有资本经营预算支出决算情况说明</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_Toc208392005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0</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19806118">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"_Toc208392006" </w:instrText>
          </w:r>
          <w:r>
            <w:fldChar w:fldCharType="separate"/>
          </w:r>
          <w:r>
            <w:rPr>
              <w:rStyle w:val="18"/>
              <w:rFonts w:hint="eastAsia" w:asciiTheme="majorEastAsia" w:hAnsiTheme="majorEastAsia" w:eastAsiaTheme="majorEastAsia"/>
              <w:sz w:val="32"/>
              <w:szCs w:val="32"/>
            </w:rPr>
            <w:t>十、其他重要事项的情况说明</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_Toc208392006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0</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7C24C785">
          <w:pPr>
            <w:pStyle w:val="13"/>
            <w:rPr>
              <w:rFonts w:hint="eastAsia" w:asciiTheme="majorEastAsia" w:hAnsiTheme="majorEastAsia" w:eastAsiaTheme="majorEastAsia" w:cstheme="minorBidi"/>
              <w:b/>
              <w:bCs/>
              <w:sz w:val="32"/>
              <w:szCs w:val="32"/>
              <w14:ligatures w14:val="standardContextual"/>
            </w:rPr>
          </w:pPr>
          <w:r>
            <w:fldChar w:fldCharType="begin"/>
          </w:r>
          <w:r>
            <w:instrText xml:space="preserve"> HYPERLINK \l "_Toc208392011" </w:instrText>
          </w:r>
          <w:r>
            <w:fldChar w:fldCharType="separate"/>
          </w:r>
          <w:r>
            <w:rPr>
              <w:rStyle w:val="18"/>
              <w:rFonts w:hint="eastAsia" w:asciiTheme="majorEastAsia" w:hAnsiTheme="majorEastAsia" w:eastAsiaTheme="majorEastAsia"/>
              <w:b/>
              <w:bCs/>
              <w:sz w:val="32"/>
              <w:szCs w:val="32"/>
            </w:rPr>
            <w:t>第三部分  名词解释</w:t>
          </w:r>
          <w:r>
            <w:rPr>
              <w:rFonts w:hint="eastAsia" w:asciiTheme="majorEastAsia" w:hAnsiTheme="majorEastAsia" w:eastAsiaTheme="majorEastAsia"/>
              <w:b/>
              <w:bCs/>
              <w:sz w:val="32"/>
              <w:szCs w:val="32"/>
            </w:rPr>
            <w:tab/>
          </w:r>
          <w:r>
            <w:rPr>
              <w:rFonts w:hint="eastAsia" w:asciiTheme="majorEastAsia" w:hAnsiTheme="majorEastAsia" w:eastAsiaTheme="majorEastAsia"/>
              <w:b/>
              <w:bCs/>
              <w:sz w:val="32"/>
              <w:szCs w:val="32"/>
            </w:rPr>
            <w:fldChar w:fldCharType="begin"/>
          </w:r>
          <w:r>
            <w:rPr>
              <w:rFonts w:hint="eastAsia" w:asciiTheme="majorEastAsia" w:hAnsiTheme="majorEastAsia" w:eastAsiaTheme="majorEastAsia"/>
              <w:b/>
              <w:bCs/>
              <w:sz w:val="32"/>
              <w:szCs w:val="32"/>
            </w:rPr>
            <w:instrText xml:space="preserve"> </w:instrText>
          </w:r>
          <w:r>
            <w:rPr>
              <w:rFonts w:asciiTheme="majorEastAsia" w:hAnsiTheme="majorEastAsia" w:eastAsiaTheme="majorEastAsia"/>
              <w:b/>
              <w:bCs/>
              <w:sz w:val="32"/>
              <w:szCs w:val="32"/>
            </w:rPr>
            <w:instrText xml:space="preserve">PAGEREF _Toc208392011 \h</w:instrText>
          </w:r>
          <w:r>
            <w:rPr>
              <w:rFonts w:hint="eastAsia" w:asciiTheme="majorEastAsia" w:hAnsiTheme="majorEastAsia" w:eastAsiaTheme="majorEastAsia"/>
              <w:b/>
              <w:bCs/>
              <w:sz w:val="32"/>
              <w:szCs w:val="32"/>
            </w:rPr>
            <w:instrText xml:space="preserve"> </w:instrText>
          </w:r>
          <w:r>
            <w:rPr>
              <w:rFonts w:hint="eastAsia" w:asciiTheme="majorEastAsia" w:hAnsiTheme="majorEastAsia" w:eastAsiaTheme="majorEastAsia"/>
              <w:b/>
              <w:bCs/>
              <w:sz w:val="32"/>
              <w:szCs w:val="32"/>
            </w:rPr>
            <w:fldChar w:fldCharType="separate"/>
          </w:r>
          <w:r>
            <w:rPr>
              <w:rFonts w:asciiTheme="majorEastAsia" w:hAnsiTheme="majorEastAsia" w:eastAsiaTheme="majorEastAsia"/>
              <w:b/>
              <w:bCs/>
              <w:sz w:val="32"/>
              <w:szCs w:val="32"/>
            </w:rPr>
            <w:t>1</w:t>
          </w:r>
          <w:r>
            <w:rPr>
              <w:rFonts w:hint="eastAsia" w:asciiTheme="majorEastAsia" w:hAnsiTheme="majorEastAsia" w:eastAsiaTheme="majorEastAsia"/>
              <w:b/>
              <w:bCs/>
              <w:sz w:val="32"/>
              <w:szCs w:val="32"/>
              <w:lang w:val="en-US" w:eastAsia="zh-CN"/>
            </w:rPr>
            <w:t>3</w:t>
          </w:r>
          <w:r>
            <w:rPr>
              <w:rFonts w:hint="eastAsia" w:asciiTheme="majorEastAsia" w:hAnsiTheme="majorEastAsia" w:eastAsiaTheme="majorEastAsia"/>
              <w:b/>
              <w:bCs/>
              <w:sz w:val="32"/>
              <w:szCs w:val="32"/>
            </w:rPr>
            <w:fldChar w:fldCharType="end"/>
          </w:r>
          <w:r>
            <w:rPr>
              <w:rFonts w:hint="eastAsia" w:asciiTheme="majorEastAsia" w:hAnsiTheme="majorEastAsia" w:eastAsiaTheme="majorEastAsia"/>
              <w:b/>
              <w:bCs/>
              <w:sz w:val="32"/>
              <w:szCs w:val="32"/>
            </w:rPr>
            <w:fldChar w:fldCharType="end"/>
          </w:r>
        </w:p>
        <w:p w14:paraId="0B8074B5">
          <w:pPr>
            <w:pStyle w:val="13"/>
            <w:rPr>
              <w:rFonts w:hint="eastAsia" w:asciiTheme="majorEastAsia" w:hAnsiTheme="majorEastAsia" w:eastAsiaTheme="majorEastAsia" w:cstheme="minorBidi"/>
              <w:b/>
              <w:bCs/>
              <w:sz w:val="32"/>
              <w:szCs w:val="32"/>
              <w14:ligatures w14:val="standardContextual"/>
            </w:rPr>
          </w:pPr>
          <w:r>
            <w:fldChar w:fldCharType="begin"/>
          </w:r>
          <w:r>
            <w:instrText xml:space="preserve"> HYPERLINK \l "_Toc208392012" </w:instrText>
          </w:r>
          <w:r>
            <w:fldChar w:fldCharType="separate"/>
          </w:r>
          <w:r>
            <w:rPr>
              <w:rStyle w:val="18"/>
              <w:rFonts w:hint="eastAsia" w:asciiTheme="majorEastAsia" w:hAnsiTheme="majorEastAsia" w:eastAsiaTheme="majorEastAsia"/>
              <w:b/>
              <w:bCs/>
              <w:sz w:val="32"/>
              <w:szCs w:val="32"/>
            </w:rPr>
            <w:t>第四部分  附件</w:t>
          </w:r>
          <w:r>
            <w:rPr>
              <w:rFonts w:hint="eastAsia" w:asciiTheme="majorEastAsia" w:hAnsiTheme="majorEastAsia" w:eastAsiaTheme="majorEastAsia"/>
              <w:b/>
              <w:bCs/>
              <w:sz w:val="32"/>
              <w:szCs w:val="32"/>
            </w:rPr>
            <w:tab/>
          </w:r>
          <w:r>
            <w:rPr>
              <w:rFonts w:hint="eastAsia" w:asciiTheme="majorEastAsia" w:hAnsiTheme="majorEastAsia" w:eastAsiaTheme="majorEastAsia"/>
              <w:b/>
              <w:bCs/>
              <w:sz w:val="32"/>
              <w:szCs w:val="32"/>
            </w:rPr>
            <w:fldChar w:fldCharType="begin"/>
          </w:r>
          <w:r>
            <w:rPr>
              <w:rFonts w:hint="eastAsia" w:asciiTheme="majorEastAsia" w:hAnsiTheme="majorEastAsia" w:eastAsiaTheme="majorEastAsia"/>
              <w:b/>
              <w:bCs/>
              <w:sz w:val="32"/>
              <w:szCs w:val="32"/>
            </w:rPr>
            <w:instrText xml:space="preserve"> </w:instrText>
          </w:r>
          <w:r>
            <w:rPr>
              <w:rFonts w:asciiTheme="majorEastAsia" w:hAnsiTheme="majorEastAsia" w:eastAsiaTheme="majorEastAsia"/>
              <w:b/>
              <w:bCs/>
              <w:sz w:val="32"/>
              <w:szCs w:val="32"/>
            </w:rPr>
            <w:instrText xml:space="preserve">PAGEREF _Toc208392012 \h</w:instrText>
          </w:r>
          <w:r>
            <w:rPr>
              <w:rFonts w:hint="eastAsia" w:asciiTheme="majorEastAsia" w:hAnsiTheme="majorEastAsia" w:eastAsiaTheme="majorEastAsia"/>
              <w:b/>
              <w:bCs/>
              <w:sz w:val="32"/>
              <w:szCs w:val="32"/>
            </w:rPr>
            <w:instrText xml:space="preserve"> </w:instrText>
          </w:r>
          <w:r>
            <w:rPr>
              <w:rFonts w:hint="eastAsia" w:asciiTheme="majorEastAsia" w:hAnsiTheme="majorEastAsia" w:eastAsiaTheme="majorEastAsia"/>
              <w:b/>
              <w:bCs/>
              <w:sz w:val="32"/>
              <w:szCs w:val="32"/>
            </w:rPr>
            <w:fldChar w:fldCharType="separate"/>
          </w:r>
          <w:r>
            <w:rPr>
              <w:rFonts w:asciiTheme="majorEastAsia" w:hAnsiTheme="majorEastAsia" w:eastAsiaTheme="majorEastAsia"/>
              <w:b/>
              <w:bCs/>
              <w:sz w:val="32"/>
              <w:szCs w:val="32"/>
            </w:rPr>
            <w:t>1</w:t>
          </w:r>
          <w:r>
            <w:rPr>
              <w:rFonts w:hint="eastAsia" w:asciiTheme="majorEastAsia" w:hAnsiTheme="majorEastAsia" w:eastAsiaTheme="majorEastAsia"/>
              <w:b/>
              <w:bCs/>
              <w:sz w:val="32"/>
              <w:szCs w:val="32"/>
              <w:lang w:val="en-US" w:eastAsia="zh-CN"/>
            </w:rPr>
            <w:t>7</w:t>
          </w:r>
          <w:r>
            <w:rPr>
              <w:rFonts w:hint="eastAsia" w:asciiTheme="majorEastAsia" w:hAnsiTheme="majorEastAsia" w:eastAsiaTheme="majorEastAsia"/>
              <w:b/>
              <w:bCs/>
              <w:sz w:val="32"/>
              <w:szCs w:val="32"/>
            </w:rPr>
            <w:fldChar w:fldCharType="end"/>
          </w:r>
          <w:r>
            <w:rPr>
              <w:rFonts w:hint="eastAsia" w:asciiTheme="majorEastAsia" w:hAnsiTheme="majorEastAsia" w:eastAsiaTheme="majorEastAsia"/>
              <w:b/>
              <w:bCs/>
              <w:sz w:val="32"/>
              <w:szCs w:val="32"/>
            </w:rPr>
            <w:fldChar w:fldCharType="end"/>
          </w:r>
        </w:p>
        <w:p w14:paraId="2A0B2DF8">
          <w:pPr>
            <w:pStyle w:val="13"/>
            <w:rPr>
              <w:rFonts w:hint="eastAsia" w:asciiTheme="majorEastAsia" w:hAnsiTheme="majorEastAsia" w:eastAsiaTheme="majorEastAsia" w:cstheme="minorBidi"/>
              <w:b/>
              <w:bCs/>
              <w:sz w:val="32"/>
              <w:szCs w:val="32"/>
              <w14:ligatures w14:val="standardContextual"/>
            </w:rPr>
          </w:pPr>
          <w:r>
            <w:fldChar w:fldCharType="begin"/>
          </w:r>
          <w:r>
            <w:instrText xml:space="preserve"> HYPERLINK \l "_Toc208392014" </w:instrText>
          </w:r>
          <w:r>
            <w:fldChar w:fldCharType="separate"/>
          </w:r>
          <w:r>
            <w:rPr>
              <w:rStyle w:val="18"/>
              <w:rFonts w:hint="eastAsia" w:asciiTheme="majorEastAsia" w:hAnsiTheme="majorEastAsia" w:eastAsiaTheme="majorEastAsia"/>
              <w:b/>
              <w:bCs/>
              <w:sz w:val="32"/>
              <w:szCs w:val="32"/>
            </w:rPr>
            <w:t>第五部分 附表</w:t>
          </w:r>
          <w:r>
            <w:rPr>
              <w:rFonts w:hint="eastAsia" w:asciiTheme="majorEastAsia" w:hAnsiTheme="majorEastAsia" w:eastAsiaTheme="majorEastAsia"/>
              <w:b/>
              <w:bCs/>
              <w:sz w:val="32"/>
              <w:szCs w:val="32"/>
            </w:rPr>
            <w:tab/>
          </w:r>
          <w:r>
            <w:rPr>
              <w:rFonts w:hint="eastAsia" w:asciiTheme="majorEastAsia" w:hAnsiTheme="majorEastAsia" w:eastAsiaTheme="majorEastAsia"/>
              <w:b/>
              <w:bCs/>
              <w:sz w:val="32"/>
              <w:szCs w:val="32"/>
            </w:rPr>
            <w:fldChar w:fldCharType="begin"/>
          </w:r>
          <w:r>
            <w:rPr>
              <w:rFonts w:hint="eastAsia" w:asciiTheme="majorEastAsia" w:hAnsiTheme="majorEastAsia" w:eastAsiaTheme="majorEastAsia"/>
              <w:b/>
              <w:bCs/>
              <w:sz w:val="32"/>
              <w:szCs w:val="32"/>
            </w:rPr>
            <w:instrText xml:space="preserve"> </w:instrText>
          </w:r>
          <w:r>
            <w:rPr>
              <w:rFonts w:asciiTheme="majorEastAsia" w:hAnsiTheme="majorEastAsia" w:eastAsiaTheme="majorEastAsia"/>
              <w:b/>
              <w:bCs/>
              <w:sz w:val="32"/>
              <w:szCs w:val="32"/>
            </w:rPr>
            <w:instrText xml:space="preserve">PAGEREF _Toc208392014 \h</w:instrText>
          </w:r>
          <w:r>
            <w:rPr>
              <w:rFonts w:hint="eastAsia" w:asciiTheme="majorEastAsia" w:hAnsiTheme="majorEastAsia" w:eastAsiaTheme="majorEastAsia"/>
              <w:b/>
              <w:bCs/>
              <w:sz w:val="32"/>
              <w:szCs w:val="32"/>
            </w:rPr>
            <w:instrText xml:space="preserve"> </w:instrText>
          </w:r>
          <w:r>
            <w:rPr>
              <w:rFonts w:hint="eastAsia" w:asciiTheme="majorEastAsia" w:hAnsiTheme="majorEastAsia" w:eastAsiaTheme="majorEastAsia"/>
              <w:b/>
              <w:bCs/>
              <w:sz w:val="32"/>
              <w:szCs w:val="32"/>
            </w:rPr>
            <w:fldChar w:fldCharType="separate"/>
          </w:r>
          <w:r>
            <w:rPr>
              <w:rFonts w:asciiTheme="majorEastAsia" w:hAnsiTheme="majorEastAsia" w:eastAsiaTheme="majorEastAsia"/>
              <w:b/>
              <w:bCs/>
              <w:sz w:val="32"/>
              <w:szCs w:val="32"/>
            </w:rPr>
            <w:t>1</w:t>
          </w:r>
          <w:r>
            <w:rPr>
              <w:rFonts w:hint="eastAsia" w:asciiTheme="majorEastAsia" w:hAnsiTheme="majorEastAsia" w:eastAsiaTheme="majorEastAsia"/>
              <w:b/>
              <w:bCs/>
              <w:sz w:val="32"/>
              <w:szCs w:val="32"/>
              <w:lang w:val="en-US" w:eastAsia="zh-CN"/>
            </w:rPr>
            <w:t>8</w:t>
          </w:r>
          <w:r>
            <w:rPr>
              <w:rFonts w:hint="eastAsia" w:asciiTheme="majorEastAsia" w:hAnsiTheme="majorEastAsia" w:eastAsiaTheme="majorEastAsia"/>
              <w:b/>
              <w:bCs/>
              <w:sz w:val="32"/>
              <w:szCs w:val="32"/>
            </w:rPr>
            <w:fldChar w:fldCharType="end"/>
          </w:r>
          <w:r>
            <w:rPr>
              <w:rFonts w:hint="eastAsia" w:asciiTheme="majorEastAsia" w:hAnsiTheme="majorEastAsia" w:eastAsiaTheme="majorEastAsia"/>
              <w:b/>
              <w:bCs/>
              <w:sz w:val="32"/>
              <w:szCs w:val="32"/>
            </w:rPr>
            <w:fldChar w:fldCharType="end"/>
          </w:r>
        </w:p>
        <w:p w14:paraId="6FD54E79">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"_Toc208392015" </w:instrText>
          </w:r>
          <w:r>
            <w:fldChar w:fldCharType="separate"/>
          </w:r>
          <w:r>
            <w:rPr>
              <w:rStyle w:val="18"/>
              <w:rFonts w:hint="eastAsia" w:asciiTheme="majorEastAsia" w:hAnsiTheme="majorEastAsia" w:eastAsiaTheme="majorEastAsia"/>
              <w:sz w:val="32"/>
              <w:szCs w:val="32"/>
            </w:rPr>
            <w:t>一、收入支出决算总表</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_Toc208392015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4B18A351">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"_Toc208392016" </w:instrText>
          </w:r>
          <w:r>
            <w:fldChar w:fldCharType="separate"/>
          </w:r>
          <w:r>
            <w:rPr>
              <w:rStyle w:val="18"/>
              <w:rFonts w:hint="eastAsia" w:asciiTheme="majorEastAsia" w:hAnsiTheme="majorEastAsia" w:eastAsiaTheme="majorEastAsia"/>
              <w:sz w:val="32"/>
              <w:szCs w:val="32"/>
            </w:rPr>
            <w:t>二、收入决算表</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_Toc208392016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35C946F9">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"_Toc208392017" </w:instrText>
          </w:r>
          <w:r>
            <w:fldChar w:fldCharType="separate"/>
          </w:r>
          <w:r>
            <w:rPr>
              <w:rStyle w:val="18"/>
              <w:rFonts w:hint="eastAsia" w:asciiTheme="majorEastAsia" w:hAnsiTheme="majorEastAsia" w:eastAsiaTheme="majorEastAsia"/>
              <w:sz w:val="32"/>
              <w:szCs w:val="32"/>
            </w:rPr>
            <w:t>三、支出决算表</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_Toc208392017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010DF092">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"_Toc208392018" </w:instrText>
          </w:r>
          <w:r>
            <w:fldChar w:fldCharType="separate"/>
          </w:r>
          <w:r>
            <w:rPr>
              <w:rStyle w:val="18"/>
              <w:rFonts w:hint="eastAsia" w:asciiTheme="majorEastAsia" w:hAnsiTheme="majorEastAsia" w:eastAsiaTheme="majorEastAsia"/>
              <w:sz w:val="32"/>
              <w:szCs w:val="32"/>
            </w:rPr>
            <w:t>四、财政拨款收入支出决算总表</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_Toc208392018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6FBB6ABD">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"_Toc208392019" </w:instrText>
          </w:r>
          <w:r>
            <w:fldChar w:fldCharType="separate"/>
          </w:r>
          <w:r>
            <w:rPr>
              <w:rStyle w:val="18"/>
              <w:rFonts w:hint="eastAsia" w:asciiTheme="majorEastAsia" w:hAnsiTheme="majorEastAsia" w:eastAsiaTheme="majorEastAsia"/>
              <w:sz w:val="32"/>
              <w:szCs w:val="32"/>
            </w:rPr>
            <w:t>五、财政拨款支出决算明细表</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_Toc208392019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6BFE34E7">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"_Toc208392020" </w:instrText>
          </w:r>
          <w:r>
            <w:fldChar w:fldCharType="separate"/>
          </w:r>
          <w:r>
            <w:rPr>
              <w:rStyle w:val="18"/>
              <w:rFonts w:hint="eastAsia" w:asciiTheme="majorEastAsia" w:hAnsiTheme="majorEastAsia" w:eastAsiaTheme="majorEastAsia"/>
              <w:sz w:val="32"/>
              <w:szCs w:val="32"/>
            </w:rPr>
            <w:t>六、一般公共预算财政拨款支出决算表</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_Toc208392020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05069737">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"_Toc208392021" </w:instrText>
          </w:r>
          <w:r>
            <w:fldChar w:fldCharType="separate"/>
          </w:r>
          <w:r>
            <w:rPr>
              <w:rStyle w:val="18"/>
              <w:rFonts w:hint="eastAsia" w:asciiTheme="majorEastAsia" w:hAnsiTheme="majorEastAsia" w:eastAsiaTheme="majorEastAsia"/>
              <w:sz w:val="32"/>
              <w:szCs w:val="32"/>
            </w:rPr>
            <w:t>七、一般公共预算财政拨款支出决算明细表</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_Toc208392021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736B6060">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"_Toc208392022" </w:instrText>
          </w:r>
          <w:r>
            <w:fldChar w:fldCharType="separate"/>
          </w:r>
          <w:r>
            <w:rPr>
              <w:rStyle w:val="18"/>
              <w:rFonts w:hint="eastAsia" w:asciiTheme="majorEastAsia" w:hAnsiTheme="majorEastAsia" w:eastAsiaTheme="majorEastAsia"/>
              <w:sz w:val="32"/>
              <w:szCs w:val="32"/>
            </w:rPr>
            <w:t>八、一般公共预算财政拨款基本支出决算表</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_Toc208392022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72FE9BEA">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"_Toc208392023" </w:instrText>
          </w:r>
          <w:r>
            <w:fldChar w:fldCharType="separate"/>
          </w:r>
          <w:r>
            <w:rPr>
              <w:rStyle w:val="18"/>
              <w:rFonts w:hint="eastAsia" w:asciiTheme="majorEastAsia" w:hAnsiTheme="majorEastAsia" w:eastAsiaTheme="majorEastAsia"/>
              <w:sz w:val="32"/>
              <w:szCs w:val="32"/>
            </w:rPr>
            <w:t>九、一般公共预算财政拨款项目支出决算表</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_Toc208392023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4D6EF6FB">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"_Toc208392024" </w:instrText>
          </w:r>
          <w:r>
            <w:fldChar w:fldCharType="separate"/>
          </w:r>
          <w:r>
            <w:rPr>
              <w:rStyle w:val="18"/>
              <w:rFonts w:hint="eastAsia" w:asciiTheme="majorEastAsia" w:hAnsiTheme="majorEastAsia" w:eastAsiaTheme="majorEastAsia"/>
              <w:sz w:val="32"/>
              <w:szCs w:val="32"/>
            </w:rPr>
            <w:t>十、政府性基金预算财政拨款收入支出决算表</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_Toc208392024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55BE6490">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"_Toc208392025" </w:instrText>
          </w:r>
          <w:r>
            <w:fldChar w:fldCharType="separate"/>
          </w:r>
          <w:r>
            <w:rPr>
              <w:rStyle w:val="18"/>
              <w:rFonts w:hint="eastAsia" w:asciiTheme="majorEastAsia" w:hAnsiTheme="majorEastAsia" w:eastAsiaTheme="majorEastAsia"/>
              <w:sz w:val="32"/>
              <w:szCs w:val="32"/>
            </w:rPr>
            <w:t>十一、国有资本经营预算财政拨款收入支出决算表</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_Toc208392025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370C1387">
          <w:pPr>
            <w:pStyle w:val="14"/>
            <w:rPr>
              <w:rFonts w:hint="eastAsia" w:asciiTheme="majorEastAsia" w:hAnsiTheme="majorEastAsia" w:eastAsiaTheme="majorEastAsia" w:cstheme="minorBidi"/>
              <w:sz w:val="32"/>
              <w:szCs w:val="32"/>
              <w14:ligatures w14:val="standardContextual"/>
            </w:rPr>
          </w:pPr>
          <w:r>
            <w:fldChar w:fldCharType="begin"/>
          </w:r>
          <w:r>
            <w:instrText xml:space="preserve"> HYPERLINK \l "_Toc208392026" </w:instrText>
          </w:r>
          <w:r>
            <w:fldChar w:fldCharType="separate"/>
          </w:r>
          <w:r>
            <w:rPr>
              <w:rStyle w:val="18"/>
              <w:rFonts w:hint="eastAsia" w:asciiTheme="majorEastAsia" w:hAnsiTheme="majorEastAsia" w:eastAsiaTheme="majorEastAsia"/>
              <w:sz w:val="32"/>
              <w:szCs w:val="32"/>
            </w:rPr>
            <w:t>十二、国有资本经营预算财政拨款支出决算表</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_Toc208392026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7307E75F">
          <w:pPr>
            <w:pStyle w:val="14"/>
            <w:rPr>
              <w:rFonts w:hint="eastAsia" w:asciiTheme="minorHAnsi" w:hAnsiTheme="minorHAnsi" w:eastAsiaTheme="minorEastAsia" w:cstheme="minorBidi"/>
              <w:sz w:val="22"/>
              <w14:ligatures w14:val="standardContextual"/>
            </w:rPr>
          </w:pPr>
          <w:r>
            <w:fldChar w:fldCharType="begin"/>
          </w:r>
          <w:r>
            <w:instrText xml:space="preserve"> HYPERLINK \l "_Toc208392027" </w:instrText>
          </w:r>
          <w:r>
            <w:fldChar w:fldCharType="separate"/>
          </w:r>
          <w:r>
            <w:rPr>
              <w:rStyle w:val="18"/>
              <w:rFonts w:hint="eastAsia" w:asciiTheme="majorEastAsia" w:hAnsiTheme="majorEastAsia" w:eastAsiaTheme="majorEastAsia"/>
              <w:sz w:val="32"/>
              <w:szCs w:val="32"/>
            </w:rPr>
            <w:t>十三、财政拨款“三公”经费支出决算表</w:t>
          </w:r>
          <w:r>
            <w:rPr>
              <w:rFonts w:hint="eastAsia" w:asciiTheme="majorEastAsia" w:hAnsiTheme="majorEastAsia" w:eastAsiaTheme="majorEastAsia"/>
              <w:sz w:val="32"/>
              <w:szCs w:val="32"/>
            </w:rPr>
            <w:tab/>
          </w:r>
          <w:r>
            <w:rPr>
              <w:rFonts w:hint="eastAsia" w:asciiTheme="majorEastAsia" w:hAnsiTheme="majorEastAsia" w:eastAsiaTheme="majorEastAsia"/>
              <w:sz w:val="32"/>
              <w:szCs w:val="32"/>
            </w:rPr>
            <w:fldChar w:fldCharType="begin"/>
          </w:r>
          <w:r>
            <w:rPr>
              <w:rFonts w:hint="eastAsia" w:asciiTheme="majorEastAsia" w:hAnsiTheme="majorEastAsia" w:eastAsiaTheme="majorEastAsia"/>
              <w:sz w:val="32"/>
              <w:szCs w:val="32"/>
            </w:rPr>
            <w:instrText xml:space="preserve"> </w:instrText>
          </w:r>
          <w:r>
            <w:rPr>
              <w:rFonts w:asciiTheme="majorEastAsia" w:hAnsiTheme="majorEastAsia" w:eastAsiaTheme="majorEastAsia"/>
              <w:sz w:val="32"/>
              <w:szCs w:val="32"/>
            </w:rPr>
            <w:instrText xml:space="preserve">PAGEREF _Toc208392027 \h</w:instrText>
          </w:r>
          <w:r>
            <w:rPr>
              <w:rFonts w:hint="eastAsia" w:asciiTheme="majorEastAsia" w:hAnsiTheme="majorEastAsia" w:eastAsiaTheme="majorEastAsia"/>
              <w:sz w:val="32"/>
              <w:szCs w:val="32"/>
            </w:rPr>
            <w:instrText xml:space="preserve"> </w:instrText>
          </w:r>
          <w:r>
            <w:rPr>
              <w:rFonts w:hint="eastAsia" w:asciiTheme="majorEastAsia" w:hAnsiTheme="majorEastAsia" w:eastAsiaTheme="majorEastAsia"/>
              <w:sz w:val="32"/>
              <w:szCs w:val="32"/>
            </w:rPr>
            <w:fldChar w:fldCharType="separate"/>
          </w:r>
          <w:r>
            <w:rPr>
              <w:rFonts w:asciiTheme="majorEastAsia" w:hAnsiTheme="majorEastAsia" w:eastAsiaTheme="majorEastAsia"/>
              <w:sz w:val="32"/>
              <w:szCs w:val="32"/>
            </w:rPr>
            <w:t>1</w:t>
          </w:r>
          <w:r>
            <w:rPr>
              <w:rFonts w:hint="eastAsia" w:asciiTheme="majorEastAsia" w:hAnsiTheme="majorEastAsia" w:eastAsiaTheme="majorEastAsia"/>
              <w:sz w:val="32"/>
              <w:szCs w:val="32"/>
              <w:lang w:val="en-US" w:eastAsia="zh-CN"/>
            </w:rPr>
            <w:t>8</w:t>
          </w:r>
          <w:r>
            <w:rPr>
              <w:rFonts w:hint="eastAsia" w:asciiTheme="majorEastAsia" w:hAnsiTheme="majorEastAsia" w:eastAsiaTheme="majorEastAsia"/>
              <w:sz w:val="32"/>
              <w:szCs w:val="32"/>
            </w:rPr>
            <w:fldChar w:fldCharType="end"/>
          </w:r>
          <w:r>
            <w:rPr>
              <w:rFonts w:hint="eastAsia" w:asciiTheme="majorEastAsia" w:hAnsiTheme="majorEastAsia" w:eastAsiaTheme="majorEastAsia"/>
              <w:sz w:val="32"/>
              <w:szCs w:val="32"/>
            </w:rPr>
            <w:fldChar w:fldCharType="end"/>
          </w:r>
        </w:p>
        <w:p w14:paraId="4A350036">
          <w:pPr>
            <w:rPr>
              <w:rFonts w:hint="eastAsia"/>
            </w:rPr>
          </w:pPr>
          <w:r>
            <w:rPr>
              <w:b/>
              <w:bCs/>
              <w:lang w:val="zh-CN"/>
            </w:rPr>
            <w:fldChar w:fldCharType="end"/>
          </w:r>
        </w:p>
      </w:sdtContent>
    </w:sdt>
    <w:p w14:paraId="097331F7">
      <w:pPr>
        <w:pStyle w:val="2"/>
        <w:sectPr>
          <w:footerReference r:id="rId6" w:type="first"/>
          <w:footerReference r:id="rId5" w:type="default"/>
          <w:pgSz w:w="11906" w:h="16838"/>
          <w:pgMar w:top="1440" w:right="1800" w:bottom="1440" w:left="1800" w:header="851" w:footer="992" w:gutter="0"/>
          <w:pgNumType w:fmt="numberInDash" w:start="1"/>
          <w:cols w:space="425" w:num="1"/>
          <w:titlePg/>
          <w:docGrid w:type="lines" w:linePitch="312" w:charSpace="0"/>
        </w:sectPr>
      </w:pPr>
    </w:p>
    <w:p w14:paraId="7872A867">
      <w:pPr>
        <w:pStyle w:val="5"/>
        <w:jc w:val="center"/>
        <w:rPr>
          <w:rStyle w:val="36"/>
          <w:rFonts w:hint="eastAsia" w:asciiTheme="minorEastAsia" w:hAnsiTheme="minorEastAsia" w:eastAsiaTheme="minorEastAsia" w:cstheme="minorEastAsia"/>
          <w:b/>
          <w:bCs w:val="0"/>
        </w:rPr>
      </w:pPr>
      <w:bookmarkStart w:id="12" w:name="_Toc15396602"/>
      <w:bookmarkStart w:id="13" w:name="_Toc15377204"/>
      <w:r>
        <w:rPr>
          <w:rFonts w:hint="eastAsia" w:asciiTheme="minorEastAsia" w:hAnsiTheme="minorEastAsia" w:eastAsiaTheme="minorEastAsia" w:cstheme="minorEastAsia"/>
          <w:b w:val="0"/>
        </w:rPr>
        <w:t xml:space="preserve">第一部分  </w:t>
      </w:r>
      <w:r>
        <w:rPr>
          <w:rStyle w:val="36"/>
          <w:rFonts w:hint="eastAsia" w:asciiTheme="minorEastAsia" w:hAnsiTheme="minorEastAsia" w:eastAsiaTheme="minorEastAsia" w:cstheme="minorEastAsia"/>
          <w:b w:val="0"/>
          <w:bCs w:val="0"/>
        </w:rPr>
        <w:t>部门概况</w:t>
      </w:r>
    </w:p>
    <w:p w14:paraId="34A48FA3">
      <w:pPr>
        <w:widowControl/>
        <w:jc w:val="left"/>
        <w:rPr>
          <w:rFonts w:eastAsia="黑体"/>
          <w:sz w:val="32"/>
          <w:szCs w:val="32"/>
        </w:rPr>
      </w:pPr>
    </w:p>
    <w:p w14:paraId="37458876">
      <w:pPr>
        <w:pStyle w:val="6"/>
        <w:numPr>
          <w:ilvl w:val="0"/>
          <w:numId w:val="1"/>
        </w:numPr>
        <w:rPr>
          <w:rFonts w:hint="eastAsia" w:ascii="Times New Roman" w:hAnsi="Times New Roman" w:eastAsia="黑体"/>
          <w:b w:val="0"/>
        </w:rPr>
      </w:pPr>
      <w:r>
        <w:rPr>
          <w:rFonts w:hint="eastAsia" w:ascii="Times New Roman" w:hAnsi="Times New Roman" w:eastAsia="黑体"/>
          <w:b w:val="0"/>
        </w:rPr>
        <w:t>部门职责</w:t>
      </w:r>
    </w:p>
    <w:p w14:paraId="0A30C2DE">
      <w:pPr>
        <w:pStyle w:val="27"/>
        <w:ind w:left="105" w:leftChars="50" w:right="105" w:rightChars="50" w:firstLine="640"/>
        <w:outlineLvl w:val="1"/>
        <w:rPr>
          <w:rFonts w:hint="default" w:eastAsia="仿宋_GB2312"/>
          <w:lang w:val="en-US" w:eastAsia="zh-CN"/>
        </w:rPr>
      </w:pPr>
      <w:bookmarkStart w:id="14" w:name="_Toc208391984"/>
      <w:r>
        <w:rPr>
          <w:rFonts w:hint="eastAsia" w:eastAsia="仿宋_GB2312" w:cs="仿宋_GB2312"/>
          <w:sz w:val="32"/>
          <w:szCs w:val="32"/>
        </w:rPr>
        <w:t>贯彻执行党和国家关于公安工作的路线、方针、政策和法律法规；预防、制止和侦查违法犯罪活动；维护社会治安秩序，制止危害社会治安秩序的行为；指导、检查、监督本辖区公安机关的执法活动；依法管理户口、居民身</w:t>
      </w:r>
      <w:r>
        <w:rPr>
          <w:rFonts w:hint="eastAsia" w:eastAsia="仿宋_GB2312" w:cs="仿宋_GB2312"/>
          <w:sz w:val="32"/>
          <w:szCs w:val="32"/>
          <w:lang w:eastAsia="zh-CN"/>
        </w:rPr>
        <w:t>份</w:t>
      </w:r>
      <w:r>
        <w:rPr>
          <w:rFonts w:hint="eastAsia" w:eastAsia="仿宋_GB2312" w:cs="仿宋_GB2312"/>
          <w:sz w:val="32"/>
          <w:szCs w:val="32"/>
        </w:rPr>
        <w:t>证、枪支弹药、管制刀具和易燃易爆、剧毒、放射性等危险物品和特种待业的管理工作；</w:t>
      </w:r>
      <w:bookmarkStart w:id="31" w:name="_GoBack"/>
      <w:bookmarkEnd w:id="31"/>
      <w:r>
        <w:rPr>
          <w:rFonts w:hint="eastAsia" w:eastAsia="仿宋_GB2312" w:cs="仿宋_GB2312"/>
          <w:sz w:val="32"/>
          <w:szCs w:val="32"/>
        </w:rPr>
        <w:t>依法管理集会、游行、示威活动；承办政府和上级公安机关交办的其他事项。</w:t>
      </w:r>
      <w:bookmarkEnd w:id="14"/>
    </w:p>
    <w:p w14:paraId="284D64A1">
      <w:pPr>
        <w:numPr>
          <w:ilvl w:val="0"/>
          <w:numId w:val="0"/>
        </w:numPr>
      </w:pPr>
    </w:p>
    <w:p w14:paraId="0934202E">
      <w:pPr>
        <w:pStyle w:val="6"/>
        <w:rPr>
          <w:rStyle w:val="37"/>
          <w:rFonts w:ascii="Times New Roman" w:hAnsi="Times New Roman"/>
          <w:b w:val="0"/>
          <w:bCs w:val="0"/>
        </w:rPr>
      </w:pPr>
      <w:r>
        <w:rPr>
          <w:rFonts w:hint="eastAsia" w:ascii="Times New Roman" w:hAnsi="Times New Roman" w:eastAsia="黑体"/>
          <w:b w:val="0"/>
        </w:rPr>
        <w:t>二、机</w:t>
      </w:r>
      <w:r>
        <w:rPr>
          <w:rStyle w:val="37"/>
          <w:rFonts w:hint="eastAsia" w:ascii="Times New Roman" w:hAnsi="Times New Roman" w:eastAsia="黑体"/>
          <w:b w:val="0"/>
          <w:bCs w:val="0"/>
        </w:rPr>
        <w:t>构设置</w:t>
      </w:r>
    </w:p>
    <w:p w14:paraId="26C0D1DF">
      <w:pPr>
        <w:pStyle w:val="5"/>
        <w:spacing w:line="240" w:lineRule="auto"/>
        <w:ind w:left="105" w:leftChars="50" w:right="105" w:rightChars="50" w:firstLine="640" w:firstLineChars="200"/>
        <w:rPr>
          <w:rFonts w:hint="eastAsia" w:ascii="仿宋_GB2312" w:hAnsi="仿宋" w:eastAsia="仿宋_GB2312"/>
          <w:b w:val="0"/>
          <w:bCs w:val="0"/>
          <w:kern w:val="2"/>
          <w:sz w:val="32"/>
          <w:szCs w:val="32"/>
        </w:rPr>
      </w:pPr>
      <w:r>
        <w:rPr>
          <w:rFonts w:hint="eastAsia" w:ascii="仿宋_GB2312" w:hAnsi="仿宋" w:eastAsia="仿宋_GB2312"/>
          <w:b w:val="0"/>
          <w:bCs w:val="0"/>
          <w:kern w:val="2"/>
          <w:sz w:val="32"/>
          <w:szCs w:val="32"/>
        </w:rPr>
        <w:t>攀枝花市公安局东区分局下设科、室、所、队19个部门，为市财政二级预算单位,执行行政事业单位会计制度。</w:t>
      </w:r>
    </w:p>
    <w:p w14:paraId="2ED3B469">
      <w:pPr>
        <w:rPr>
          <w:rFonts w:hint="eastAsia" w:ascii="仿宋_GB2312" w:hAnsi="仿宋" w:eastAsia="仿宋_GB2312"/>
          <w:sz w:val="32"/>
          <w:szCs w:val="32"/>
        </w:rPr>
      </w:pPr>
    </w:p>
    <w:p w14:paraId="5254AFAF">
      <w:pPr>
        <w:pStyle w:val="2"/>
        <w:rPr>
          <w:rFonts w:hint="eastAsia" w:ascii="仿宋_GB2312" w:hAnsi="仿宋" w:eastAsia="仿宋_GB2312"/>
          <w:sz w:val="32"/>
          <w:szCs w:val="32"/>
        </w:rPr>
      </w:pPr>
    </w:p>
    <w:p w14:paraId="4B2DFC11">
      <w:pPr>
        <w:pStyle w:val="3"/>
        <w:ind w:left="420" w:firstLine="640"/>
        <w:rPr>
          <w:rFonts w:hint="eastAsia" w:hAnsi="仿宋" w:eastAsia="仿宋_GB2312"/>
          <w:sz w:val="32"/>
        </w:rPr>
      </w:pPr>
    </w:p>
    <w:p w14:paraId="7B39A21E">
      <w:pPr>
        <w:pStyle w:val="3"/>
        <w:ind w:left="420" w:firstLine="640"/>
        <w:rPr>
          <w:rFonts w:hint="eastAsia" w:hAnsi="仿宋" w:eastAsia="仿宋_GB2312"/>
          <w:sz w:val="32"/>
        </w:rPr>
      </w:pPr>
    </w:p>
    <w:p w14:paraId="750E17E4">
      <w:pPr>
        <w:pStyle w:val="5"/>
      </w:pPr>
    </w:p>
    <w:bookmarkEnd w:id="12"/>
    <w:bookmarkEnd w:id="13"/>
    <w:p w14:paraId="37606B17">
      <w:pPr>
        <w:pStyle w:val="5"/>
        <w:jc w:val="center"/>
        <w:rPr>
          <w:rFonts w:hint="eastAsia" w:asciiTheme="minorEastAsia" w:hAnsiTheme="minorEastAsia" w:eastAsiaTheme="minorEastAsia" w:cstheme="minorEastAsia"/>
          <w:b w:val="0"/>
        </w:rPr>
      </w:pPr>
      <w:r>
        <w:rPr>
          <w:rFonts w:hint="eastAsia" w:asciiTheme="minorEastAsia" w:hAnsiTheme="minorEastAsia" w:eastAsiaTheme="minorEastAsia" w:cstheme="minorEastAsia"/>
          <w:b w:val="0"/>
        </w:rPr>
        <w:t>第二部分  2025年度部门决算情况说明</w:t>
      </w:r>
    </w:p>
    <w:p w14:paraId="28CD1A43">
      <w:pPr>
        <w:numPr>
          <w:ilvl w:val="0"/>
          <w:numId w:val="0"/>
        </w:numPr>
        <w:ind w:leftChars="0"/>
        <w:rPr>
          <w:rFonts w:hint="eastAsia"/>
        </w:rPr>
      </w:pPr>
    </w:p>
    <w:p w14:paraId="573D2E55">
      <w:pPr>
        <w:pStyle w:val="27"/>
        <w:spacing w:line="600" w:lineRule="exact"/>
        <w:ind w:firstLine="640"/>
        <w:outlineLvl w:val="1"/>
        <w:rPr>
          <w:rStyle w:val="37"/>
          <w:rFonts w:ascii="Times New Roman" w:hAnsi="Times New Roman" w:eastAsia="黑体"/>
          <w:b w:val="0"/>
        </w:rPr>
      </w:pPr>
      <w:bookmarkStart w:id="15" w:name="_Toc208391989"/>
      <w:r>
        <w:rPr>
          <w:rFonts w:hint="eastAsia" w:eastAsia="黑体"/>
          <w:sz w:val="32"/>
          <w:szCs w:val="32"/>
        </w:rPr>
        <w:t>一、收</w:t>
      </w:r>
      <w:r>
        <w:rPr>
          <w:rStyle w:val="37"/>
          <w:rFonts w:hint="eastAsia" w:ascii="Times New Roman" w:hAnsi="Times New Roman" w:eastAsia="黑体"/>
          <w:b w:val="0"/>
        </w:rPr>
        <w:t>入支出决算总体情况说明</w:t>
      </w:r>
    </w:p>
    <w:p w14:paraId="6F6ACAE0">
      <w:pPr>
        <w:snapToGrid w:val="0"/>
        <w:spacing w:line="579" w:lineRule="exact"/>
        <w:ind w:firstLine="640" w:firstLineChars="200"/>
        <w:rPr>
          <w:rFonts w:eastAsia="仿宋_GB2312" w:cs="仿宋_GB2312"/>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年度收入、支出总计均为</w:t>
      </w:r>
      <w:r>
        <w:rPr>
          <w:rFonts w:hint="eastAsia" w:ascii="仿宋_GB2312" w:hAnsi="仿宋" w:eastAsia="仿宋_GB2312"/>
          <w:sz w:val="32"/>
          <w:szCs w:val="32"/>
          <w:lang w:val="en-US" w:eastAsia="zh-CN"/>
        </w:rPr>
        <w:t>16142.14</w:t>
      </w:r>
      <w:r>
        <w:rPr>
          <w:rFonts w:hint="eastAsia" w:eastAsia="仿宋_GB2312" w:cs="仿宋_GB2312"/>
          <w:sz w:val="32"/>
          <w:szCs w:val="32"/>
        </w:rPr>
        <w:t>万元。与202</w:t>
      </w:r>
      <w:r>
        <w:rPr>
          <w:rFonts w:hint="eastAsia" w:eastAsia="仿宋_GB2312" w:cs="仿宋_GB2312"/>
          <w:sz w:val="32"/>
          <w:szCs w:val="32"/>
          <w:lang w:val="en-US" w:eastAsia="zh-CN"/>
        </w:rPr>
        <w:t>4</w:t>
      </w:r>
      <w:r>
        <w:rPr>
          <w:rFonts w:hint="eastAsia" w:eastAsia="仿宋_GB2312" w:cs="仿宋_GB2312"/>
          <w:sz w:val="32"/>
          <w:szCs w:val="32"/>
        </w:rPr>
        <w:t>年度相比，收入、支出总计各</w:t>
      </w:r>
      <w:r>
        <w:rPr>
          <w:rFonts w:hint="eastAsia" w:eastAsia="仿宋_GB2312" w:cs="仿宋_GB2312"/>
          <w:sz w:val="32"/>
          <w:szCs w:val="32"/>
          <w:lang w:eastAsia="zh-CN"/>
        </w:rPr>
        <w:t>增加</w:t>
      </w:r>
      <w:r>
        <w:rPr>
          <w:rFonts w:hint="eastAsia" w:ascii="仿宋_GB2312" w:hAnsi="仿宋" w:eastAsia="仿宋_GB2312"/>
          <w:sz w:val="32"/>
          <w:szCs w:val="32"/>
          <w:lang w:val="en-US" w:eastAsia="zh-CN"/>
        </w:rPr>
        <w:t>2788.11</w:t>
      </w:r>
      <w:r>
        <w:rPr>
          <w:rFonts w:hint="eastAsia" w:eastAsia="仿宋_GB2312" w:cs="仿宋_GB2312"/>
          <w:sz w:val="32"/>
          <w:szCs w:val="32"/>
        </w:rPr>
        <w:t>万元，</w:t>
      </w:r>
      <w:r>
        <w:rPr>
          <w:rFonts w:hint="eastAsia" w:ascii="仿宋_GB2312" w:hAnsi="仿宋" w:eastAsia="仿宋_GB2312"/>
          <w:sz w:val="32"/>
          <w:szCs w:val="32"/>
          <w:lang w:val="en-US" w:eastAsia="zh-CN"/>
        </w:rPr>
        <w:t>增</w:t>
      </w:r>
      <w:r>
        <w:rPr>
          <w:rFonts w:hint="eastAsia" w:ascii="仿宋_GB2312" w:hAnsi="仿宋" w:eastAsia="仿宋_GB2312"/>
          <w:sz w:val="32"/>
          <w:szCs w:val="32"/>
        </w:rPr>
        <w:t>幅</w:t>
      </w:r>
      <w:r>
        <w:rPr>
          <w:rFonts w:hint="eastAsia" w:ascii="仿宋_GB2312" w:hAnsi="仿宋" w:eastAsia="仿宋_GB2312"/>
          <w:sz w:val="32"/>
          <w:szCs w:val="32"/>
          <w:lang w:val="en-US" w:eastAsia="zh-CN"/>
        </w:rPr>
        <w:t>20.88</w:t>
      </w:r>
      <w:r>
        <w:rPr>
          <w:rFonts w:hint="eastAsia" w:ascii="仿宋_GB2312" w:hAnsi="仿宋" w:eastAsia="仿宋_GB2312"/>
          <w:sz w:val="32"/>
          <w:szCs w:val="32"/>
        </w:rPr>
        <w:t>%</w:t>
      </w:r>
      <w:r>
        <w:rPr>
          <w:rFonts w:hint="eastAsia" w:eastAsia="仿宋_GB2312" w:cs="仿宋_GB2312"/>
          <w:sz w:val="32"/>
          <w:szCs w:val="32"/>
        </w:rPr>
        <w:t>。主要变动原因是</w:t>
      </w:r>
      <w:r>
        <w:rPr>
          <w:rFonts w:hint="eastAsia" w:ascii="仿宋_GB2312" w:hAnsi="仿宋" w:eastAsia="仿宋_GB2312"/>
          <w:sz w:val="32"/>
          <w:szCs w:val="32"/>
        </w:rPr>
        <w:t>今年</w:t>
      </w:r>
      <w:r>
        <w:rPr>
          <w:rFonts w:hint="eastAsia" w:ascii="仿宋_GB2312" w:hAnsi="仿宋" w:eastAsia="仿宋_GB2312"/>
          <w:sz w:val="32"/>
          <w:szCs w:val="32"/>
          <w:lang w:val="en-US" w:eastAsia="zh-CN"/>
        </w:rPr>
        <w:t>将东区财政局拨款纳入了决算</w:t>
      </w:r>
      <w:r>
        <w:rPr>
          <w:rFonts w:hint="eastAsia" w:eastAsia="仿宋_GB2312" w:cs="仿宋_GB2312"/>
          <w:sz w:val="32"/>
          <w:szCs w:val="32"/>
        </w:rPr>
        <w:t>。</w:t>
      </w:r>
      <w:bookmarkEnd w:id="15"/>
    </w:p>
    <w:p w14:paraId="04727246">
      <w:pPr>
        <w:ind w:left="105" w:leftChars="50" w:right="105" w:rightChars="50" w:firstLine="320" w:firstLineChars="100"/>
        <w:rPr>
          <w:rFonts w:eastAsia="仿宋_GB2312" w:cs="仿宋_GB2312"/>
          <w:sz w:val="32"/>
          <w:szCs w:val="32"/>
        </w:rPr>
      </w:pPr>
      <w:r>
        <w:rPr>
          <w:rFonts w:hint="eastAsia" w:eastAsia="仿宋_GB2312" w:cs="仿宋_GB2312"/>
          <w:sz w:val="32"/>
          <w:szCs w:val="32"/>
        </w:rPr>
        <w:t>（图1：收入、支出决算总计变动情况图）（柱状图）</w:t>
      </w:r>
    </w:p>
    <w:p w14:paraId="5AC0FF65">
      <w:pPr>
        <w:rPr>
          <w:rFonts w:hint="eastAsia"/>
        </w:rPr>
      </w:pPr>
      <w:r>
        <w:rPr>
          <w:rFonts w:hint="eastAsia"/>
        </w:rPr>
        <w:drawing>
          <wp:inline distT="0" distB="0" distL="0" distR="0">
            <wp:extent cx="4791075" cy="2962275"/>
            <wp:effectExtent l="4445" t="4445" r="5080" b="5080"/>
            <wp:docPr id="20474186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8BB67AA">
      <w:pPr>
        <w:pStyle w:val="38"/>
      </w:pPr>
    </w:p>
    <w:p w14:paraId="78B83F5F">
      <w:pPr>
        <w:pStyle w:val="27"/>
        <w:spacing w:line="600" w:lineRule="exact"/>
        <w:ind w:firstLine="640"/>
        <w:outlineLvl w:val="1"/>
        <w:rPr>
          <w:rFonts w:hint="eastAsia" w:eastAsia="黑体"/>
          <w:sz w:val="32"/>
          <w:szCs w:val="32"/>
        </w:rPr>
      </w:pPr>
    </w:p>
    <w:p w14:paraId="35D99AED">
      <w:pPr>
        <w:pStyle w:val="27"/>
        <w:spacing w:line="600" w:lineRule="exact"/>
        <w:ind w:left="0" w:leftChars="0" w:firstLine="640" w:firstLineChars="200"/>
        <w:outlineLvl w:val="1"/>
        <w:rPr>
          <w:rFonts w:eastAsia="黑体"/>
          <w:sz w:val="32"/>
          <w:szCs w:val="32"/>
        </w:rPr>
      </w:pPr>
      <w:r>
        <w:rPr>
          <w:rFonts w:hint="eastAsia" w:eastAsia="黑体"/>
          <w:sz w:val="32"/>
          <w:szCs w:val="32"/>
        </w:rPr>
        <w:t>二、收入决算情况说明</w:t>
      </w:r>
    </w:p>
    <w:p w14:paraId="7270D5BC">
      <w:pPr>
        <w:widowControl w:val="0"/>
        <w:numPr>
          <w:ilvl w:val="0"/>
          <w:numId w:val="0"/>
        </w:numPr>
        <w:jc w:val="both"/>
      </w:pPr>
    </w:p>
    <w:p w14:paraId="547E2739">
      <w:pPr>
        <w:pStyle w:val="27"/>
        <w:ind w:left="105" w:leftChars="50" w:right="105" w:rightChars="50" w:firstLine="640"/>
        <w:jc w:val="left"/>
        <w:outlineLvl w:val="1"/>
        <w:rPr>
          <w:rFonts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年度本年收入合计</w:t>
      </w:r>
      <w:r>
        <w:rPr>
          <w:rFonts w:hint="eastAsia" w:ascii="仿宋_GB2312" w:hAnsi="仿宋_GB2312" w:eastAsia="仿宋_GB2312" w:cs="仿宋_GB2312"/>
          <w:sz w:val="32"/>
          <w:szCs w:val="32"/>
          <w:lang w:val="en-US" w:eastAsia="zh-CN"/>
        </w:rPr>
        <w:t>16142.14</w:t>
      </w:r>
      <w:r>
        <w:rPr>
          <w:rFonts w:hint="eastAsia" w:ascii="仿宋_GB2312" w:hAnsi="仿宋_GB2312" w:eastAsia="仿宋_GB2312" w:cs="仿宋_GB2312"/>
          <w:sz w:val="32"/>
          <w:szCs w:val="32"/>
        </w:rPr>
        <w:t>万元，其中：一般公共预算财政拨款收入</w:t>
      </w:r>
      <w:r>
        <w:rPr>
          <w:rFonts w:hint="eastAsia" w:ascii="仿宋_GB2312" w:hAnsi="仿宋_GB2312" w:eastAsia="仿宋_GB2312" w:cs="仿宋_GB2312"/>
          <w:sz w:val="32"/>
          <w:szCs w:val="32"/>
          <w:lang w:val="en-US" w:eastAsia="zh-CN"/>
        </w:rPr>
        <w:t>16142.14</w:t>
      </w:r>
      <w:r>
        <w:rPr>
          <w:rFonts w:hint="eastAsia" w:ascii="仿宋_GB2312" w:hAnsi="仿宋_GB2312" w:eastAsia="仿宋_GB2312" w:cs="仿宋_GB2312"/>
          <w:sz w:val="32"/>
          <w:szCs w:val="32"/>
        </w:rPr>
        <w:t>万元，占100%。</w:t>
      </w:r>
    </w:p>
    <w:p w14:paraId="71A75A9C">
      <w:pPr>
        <w:ind w:right="105" w:rightChars="50" w:firstLine="960" w:firstLineChars="300"/>
        <w:rPr>
          <w:rFonts w:hint="eastAsia" w:eastAsia="仿宋_GB2312" w:cs="仿宋_GB2312"/>
          <w:sz w:val="32"/>
          <w:szCs w:val="32"/>
        </w:rPr>
      </w:pPr>
    </w:p>
    <w:p w14:paraId="0C0416A3">
      <w:pPr>
        <w:ind w:right="105" w:rightChars="50" w:firstLine="960" w:firstLineChars="300"/>
        <w:rPr>
          <w:rFonts w:eastAsia="仿宋_GB2312" w:cs="仿宋_GB2312"/>
          <w:sz w:val="32"/>
          <w:szCs w:val="32"/>
        </w:rPr>
      </w:pPr>
      <w:r>
        <w:rPr>
          <w:rFonts w:hint="eastAsia" w:eastAsia="仿宋_GB2312" w:cs="仿宋_GB2312"/>
          <w:sz w:val="32"/>
          <w:szCs w:val="32"/>
        </w:rPr>
        <w:t>（图2：收入决算结构图）（饼状图）</w:t>
      </w:r>
    </w:p>
    <w:p w14:paraId="1E3F4D6C">
      <w:pPr>
        <w:pStyle w:val="38"/>
        <w:rPr>
          <w:rFonts w:hint="eastAsia" w:ascii="仿宋" w:hAnsi="仿宋" w:eastAsia="仿宋"/>
          <w:sz w:val="32"/>
          <w:szCs w:val="32"/>
        </w:rPr>
      </w:pPr>
      <w:r>
        <w:rPr>
          <w:rFonts w:hint="eastAsia" w:ascii="仿宋" w:hAnsi="仿宋" w:eastAsia="仿宋"/>
          <w:sz w:val="32"/>
          <w:szCs w:val="32"/>
        </w:rPr>
        <w:drawing>
          <wp:inline distT="0" distB="0" distL="114300" distR="114300">
            <wp:extent cx="3401695" cy="2343785"/>
            <wp:effectExtent l="4445" t="4445" r="22860" b="1397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3175E78"/>
    <w:p w14:paraId="5EA6EDA8">
      <w:pPr>
        <w:pStyle w:val="27"/>
        <w:spacing w:line="600" w:lineRule="exact"/>
        <w:ind w:firstLine="640"/>
        <w:outlineLvl w:val="1"/>
        <w:rPr>
          <w:rStyle w:val="37"/>
          <w:rFonts w:ascii="Times New Roman" w:hAnsi="Times New Roman" w:eastAsia="黑体"/>
          <w:b w:val="0"/>
        </w:rPr>
      </w:pPr>
      <w:r>
        <w:rPr>
          <w:rFonts w:hint="eastAsia" w:eastAsia="黑体"/>
          <w:sz w:val="32"/>
          <w:szCs w:val="32"/>
        </w:rPr>
        <w:t>三、支</w:t>
      </w:r>
      <w:r>
        <w:rPr>
          <w:rStyle w:val="37"/>
          <w:rFonts w:hint="eastAsia" w:ascii="Times New Roman" w:hAnsi="Times New Roman" w:eastAsia="黑体"/>
          <w:b w:val="0"/>
        </w:rPr>
        <w:t>出决算情况说明</w:t>
      </w:r>
    </w:p>
    <w:p w14:paraId="601DEE23">
      <w:pPr>
        <w:widowControl w:val="0"/>
        <w:numPr>
          <w:ilvl w:val="0"/>
          <w:numId w:val="0"/>
        </w:numPr>
        <w:jc w:val="both"/>
      </w:pPr>
    </w:p>
    <w:p w14:paraId="170946DB">
      <w:pPr>
        <w:pStyle w:val="38"/>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年度本年支出合计</w:t>
      </w:r>
      <w:r>
        <w:rPr>
          <w:rFonts w:hint="eastAsia" w:ascii="仿宋_GB2312" w:hAnsi="仿宋_GB2312" w:eastAsia="仿宋_GB2312" w:cs="仿宋_GB2312"/>
          <w:sz w:val="32"/>
          <w:szCs w:val="32"/>
          <w:lang w:val="en-US" w:eastAsia="zh-CN"/>
        </w:rPr>
        <w:t>16142.14</w:t>
      </w:r>
      <w:r>
        <w:rPr>
          <w:rFonts w:hint="eastAsia" w:ascii="仿宋_GB2312" w:hAnsi="仿宋_GB2312" w:eastAsia="仿宋_GB2312" w:cs="仿宋_GB2312"/>
          <w:sz w:val="32"/>
          <w:szCs w:val="32"/>
        </w:rPr>
        <w:t>万元，其中：基本支出</w:t>
      </w:r>
      <w:r>
        <w:rPr>
          <w:rFonts w:hint="eastAsia" w:ascii="仿宋_GB2312" w:hAnsi="仿宋_GB2312" w:eastAsia="仿宋_GB2312" w:cs="仿宋_GB2312"/>
          <w:sz w:val="32"/>
          <w:szCs w:val="32"/>
          <w:lang w:val="en-US" w:eastAsia="zh-CN"/>
        </w:rPr>
        <w:t>14315.9</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88.68</w:t>
      </w:r>
      <w:r>
        <w:rPr>
          <w:rFonts w:hint="eastAsia" w:ascii="仿宋_GB2312" w:hAnsi="仿宋_GB2312" w:eastAsia="仿宋_GB2312" w:cs="仿宋_GB2312"/>
          <w:sz w:val="32"/>
          <w:szCs w:val="32"/>
        </w:rPr>
        <w:t>%；项目支出</w:t>
      </w:r>
      <w:r>
        <w:rPr>
          <w:rFonts w:hint="eastAsia" w:ascii="仿宋_GB2312" w:hAnsi="仿宋_GB2312" w:eastAsia="仿宋_GB2312" w:cs="仿宋_GB2312"/>
          <w:sz w:val="32"/>
          <w:szCs w:val="32"/>
          <w:lang w:val="en-US" w:eastAsia="zh-CN"/>
        </w:rPr>
        <w:t>1826.24</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11.32</w:t>
      </w:r>
      <w:r>
        <w:rPr>
          <w:rFonts w:hint="eastAsia" w:ascii="仿宋_GB2312" w:hAnsi="仿宋_GB2312" w:eastAsia="仿宋_GB2312" w:cs="仿宋_GB2312"/>
          <w:sz w:val="32"/>
          <w:szCs w:val="32"/>
        </w:rPr>
        <w:t>%。</w:t>
      </w:r>
    </w:p>
    <w:p w14:paraId="01DA8784">
      <w:pPr>
        <w:ind w:firstLine="1280" w:firstLineChars="400"/>
      </w:pPr>
      <w:r>
        <w:rPr>
          <w:rFonts w:hint="eastAsia" w:eastAsia="仿宋_GB2312" w:cs="仿宋_GB2312"/>
          <w:sz w:val="32"/>
          <w:szCs w:val="32"/>
        </w:rPr>
        <w:t>（图3：支出决算结构图）（饼状图）</w:t>
      </w:r>
    </w:p>
    <w:p w14:paraId="77010E77">
      <w:r>
        <w:rPr>
          <w:rFonts w:hint="eastAsia"/>
        </w:rPr>
        <w:drawing>
          <wp:inline distT="0" distB="0" distL="0" distR="0">
            <wp:extent cx="3735705" cy="2687320"/>
            <wp:effectExtent l="4445" t="4445" r="12700" b="13335"/>
            <wp:docPr id="5"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851F077">
      <w:pPr>
        <w:spacing w:line="600" w:lineRule="exact"/>
        <w:ind w:firstLine="640" w:firstLineChars="200"/>
        <w:outlineLvl w:val="1"/>
        <w:rPr>
          <w:rStyle w:val="37"/>
          <w:rFonts w:ascii="Times New Roman" w:hAnsi="Times New Roman" w:eastAsia="黑体"/>
          <w:b w:val="0"/>
        </w:rPr>
      </w:pPr>
      <w:r>
        <w:rPr>
          <w:rFonts w:hint="eastAsia" w:eastAsia="黑体"/>
          <w:sz w:val="32"/>
          <w:szCs w:val="32"/>
        </w:rPr>
        <w:t>四、财</w:t>
      </w:r>
      <w:r>
        <w:rPr>
          <w:rStyle w:val="37"/>
          <w:rFonts w:hint="eastAsia" w:ascii="Times New Roman" w:hAnsi="Times New Roman" w:eastAsia="黑体"/>
          <w:b w:val="0"/>
        </w:rPr>
        <w:t>政拨款收入支出决算总体情况说明</w:t>
      </w:r>
    </w:p>
    <w:p w14:paraId="745B27B2">
      <w:pPr>
        <w:ind w:left="105" w:leftChars="50" w:right="105" w:rightChars="50" w:firstLine="640" w:firstLineChars="200"/>
        <w:rPr>
          <w:rFonts w:eastAsia="仿宋_GB2312" w:cs="仿宋_GB2312"/>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年度财政拨款收入、支出总计均为</w:t>
      </w:r>
      <w:r>
        <w:rPr>
          <w:rFonts w:hint="eastAsia" w:ascii="仿宋_GB2312" w:hAnsi="仿宋_GB2312" w:eastAsia="仿宋_GB2312" w:cs="仿宋_GB2312"/>
          <w:sz w:val="32"/>
          <w:szCs w:val="32"/>
          <w:lang w:val="en-US" w:eastAsia="zh-CN"/>
        </w:rPr>
        <w:t>16142.14</w:t>
      </w:r>
      <w:r>
        <w:rPr>
          <w:rFonts w:hint="eastAsia" w:eastAsia="仿宋_GB2312" w:cs="仿宋_GB2312"/>
          <w:sz w:val="32"/>
          <w:szCs w:val="32"/>
        </w:rPr>
        <w:t>万元。与202</w:t>
      </w:r>
      <w:r>
        <w:rPr>
          <w:rFonts w:hint="eastAsia" w:eastAsia="仿宋_GB2312" w:cs="仿宋_GB2312"/>
          <w:sz w:val="32"/>
          <w:szCs w:val="32"/>
          <w:lang w:val="en-US" w:eastAsia="zh-CN"/>
        </w:rPr>
        <w:t>4</w:t>
      </w:r>
      <w:r>
        <w:rPr>
          <w:rFonts w:hint="eastAsia" w:eastAsia="仿宋_GB2312" w:cs="仿宋_GB2312"/>
          <w:sz w:val="32"/>
          <w:szCs w:val="32"/>
        </w:rPr>
        <w:t>年度相比，财政拨款收入总计、支出总计各减少</w:t>
      </w:r>
      <w:r>
        <w:rPr>
          <w:rFonts w:hint="eastAsia" w:eastAsia="仿宋_GB2312" w:cs="仿宋_GB2312"/>
          <w:sz w:val="32"/>
          <w:szCs w:val="32"/>
          <w:lang w:eastAsia="zh-CN"/>
        </w:rPr>
        <w:t>增加</w:t>
      </w:r>
      <w:r>
        <w:rPr>
          <w:rFonts w:hint="eastAsia" w:eastAsia="仿宋_GB2312" w:cs="仿宋_GB2312"/>
          <w:sz w:val="32"/>
          <w:szCs w:val="32"/>
          <w:lang w:val="en-US" w:eastAsia="zh-CN"/>
        </w:rPr>
        <w:t>2788.11</w:t>
      </w:r>
      <w:r>
        <w:rPr>
          <w:rFonts w:hint="eastAsia" w:eastAsia="仿宋_GB2312" w:cs="仿宋_GB2312"/>
          <w:sz w:val="32"/>
          <w:szCs w:val="32"/>
        </w:rPr>
        <w:t>万元，</w:t>
      </w:r>
      <w:r>
        <w:rPr>
          <w:rFonts w:hint="eastAsia" w:eastAsia="仿宋_GB2312" w:cs="仿宋_GB2312"/>
          <w:sz w:val="32"/>
          <w:szCs w:val="32"/>
          <w:lang w:eastAsia="zh-CN"/>
        </w:rPr>
        <w:t>增幅</w:t>
      </w:r>
      <w:r>
        <w:rPr>
          <w:rFonts w:hint="eastAsia" w:eastAsia="仿宋_GB2312" w:cs="仿宋_GB2312"/>
          <w:sz w:val="32"/>
          <w:szCs w:val="32"/>
          <w:lang w:val="en-US" w:eastAsia="zh-CN"/>
        </w:rPr>
        <w:t>20.88</w:t>
      </w:r>
      <w:r>
        <w:rPr>
          <w:rFonts w:hint="eastAsia" w:eastAsia="仿宋_GB2312" w:cs="仿宋_GB2312"/>
          <w:sz w:val="32"/>
          <w:szCs w:val="32"/>
        </w:rPr>
        <w:t>%。主要变动原因是</w:t>
      </w:r>
      <w:r>
        <w:rPr>
          <w:rFonts w:hint="eastAsia" w:ascii="仿宋_GB2312" w:hAnsi="仿宋" w:eastAsia="仿宋_GB2312"/>
          <w:sz w:val="32"/>
          <w:szCs w:val="32"/>
        </w:rPr>
        <w:t>今年</w:t>
      </w:r>
      <w:r>
        <w:rPr>
          <w:rFonts w:hint="eastAsia" w:ascii="仿宋_GB2312" w:hAnsi="仿宋" w:eastAsia="仿宋_GB2312"/>
          <w:sz w:val="32"/>
          <w:szCs w:val="32"/>
          <w:lang w:val="en-US" w:eastAsia="zh-CN"/>
        </w:rPr>
        <w:t>将东区财政局拨款纳入了决算</w:t>
      </w:r>
      <w:r>
        <w:rPr>
          <w:rFonts w:hint="eastAsia" w:eastAsia="仿宋_GB2312" w:cs="仿宋_GB2312"/>
          <w:sz w:val="32"/>
          <w:szCs w:val="32"/>
        </w:rPr>
        <w:t>。</w:t>
      </w:r>
    </w:p>
    <w:p w14:paraId="07118433">
      <w:pPr>
        <w:ind w:left="105" w:leftChars="50" w:right="105" w:rightChars="50"/>
        <w:rPr>
          <w:rFonts w:eastAsia="仿宋_GB2312" w:cs="仿宋_GB2312"/>
          <w:sz w:val="32"/>
          <w:szCs w:val="32"/>
        </w:rPr>
      </w:pPr>
      <w:r>
        <w:rPr>
          <w:rFonts w:hint="eastAsia" w:eastAsia="仿宋_GB2312" w:cs="仿宋_GB2312"/>
          <w:sz w:val="32"/>
          <w:szCs w:val="32"/>
        </w:rPr>
        <w:t>（图4：财政拨款收、支决算总计变动情况）（柱状图）</w:t>
      </w:r>
    </w:p>
    <w:p w14:paraId="16782460">
      <w:pPr>
        <w:widowControl w:val="0"/>
        <w:numPr>
          <w:ilvl w:val="0"/>
          <w:numId w:val="0"/>
        </w:numPr>
        <w:jc w:val="both"/>
      </w:pPr>
    </w:p>
    <w:p w14:paraId="79300BFA">
      <w:pPr>
        <w:pStyle w:val="38"/>
      </w:pPr>
    </w:p>
    <w:p w14:paraId="3AE84F84">
      <w:r>
        <w:drawing>
          <wp:inline distT="0" distB="0" distL="0" distR="0">
            <wp:extent cx="4962525" cy="2943225"/>
            <wp:effectExtent l="4445" t="4445" r="5080" b="5080"/>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0057BF6">
      <w:pPr>
        <w:pStyle w:val="38"/>
      </w:pPr>
    </w:p>
    <w:p w14:paraId="64626EE6">
      <w:pPr>
        <w:spacing w:line="600" w:lineRule="exact"/>
        <w:ind w:firstLine="640" w:firstLineChars="200"/>
        <w:outlineLvl w:val="1"/>
        <w:rPr>
          <w:rStyle w:val="37"/>
          <w:rFonts w:ascii="Times New Roman" w:hAnsi="Times New Roman" w:eastAsia="黑体"/>
          <w:b w:val="0"/>
        </w:rPr>
      </w:pPr>
      <w:r>
        <w:rPr>
          <w:rFonts w:hint="eastAsia" w:eastAsia="黑体"/>
          <w:sz w:val="32"/>
          <w:szCs w:val="32"/>
        </w:rPr>
        <w:t>五、</w:t>
      </w:r>
      <w:r>
        <w:rPr>
          <w:rFonts w:hint="eastAsia" w:eastAsia="黑体"/>
          <w:b/>
          <w:sz w:val="32"/>
          <w:szCs w:val="32"/>
        </w:rPr>
        <w:t>一</w:t>
      </w:r>
      <w:r>
        <w:rPr>
          <w:rStyle w:val="37"/>
          <w:rFonts w:hint="eastAsia" w:ascii="Times New Roman" w:hAnsi="Times New Roman" w:eastAsia="黑体"/>
          <w:b w:val="0"/>
        </w:rPr>
        <w:t>般公共预算财政拨款支出决算情况说明</w:t>
      </w:r>
    </w:p>
    <w:p w14:paraId="71321962">
      <w:pPr>
        <w:widowControl w:val="0"/>
        <w:numPr>
          <w:ilvl w:val="0"/>
          <w:numId w:val="0"/>
        </w:numPr>
        <w:jc w:val="both"/>
      </w:pPr>
    </w:p>
    <w:p w14:paraId="54AB9A0C">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（一）一般公共预算财政拨款支出决算总体情况</w:t>
      </w:r>
    </w:p>
    <w:p w14:paraId="21E27861">
      <w:pPr>
        <w:ind w:left="105" w:leftChars="50" w:right="105" w:rightChars="50" w:firstLine="640" w:firstLineChars="200"/>
        <w:rPr>
          <w:rFonts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年度一般公共预算财政拨款支出</w:t>
      </w:r>
      <w:r>
        <w:rPr>
          <w:rFonts w:hint="eastAsia" w:ascii="仿宋_GB2312" w:hAnsi="仿宋_GB2312" w:eastAsia="仿宋_GB2312" w:cs="仿宋_GB2312"/>
          <w:sz w:val="32"/>
          <w:szCs w:val="32"/>
          <w:lang w:val="en-US" w:eastAsia="zh-CN"/>
        </w:rPr>
        <w:t>16142.14</w:t>
      </w:r>
      <w:r>
        <w:rPr>
          <w:rFonts w:hint="eastAsia" w:ascii="仿宋_GB2312" w:hAnsi="仿宋_GB2312" w:eastAsia="仿宋_GB2312" w:cs="仿宋_GB2312"/>
          <w:sz w:val="32"/>
          <w:szCs w:val="32"/>
        </w:rPr>
        <w:t>万元，占本年支出合计的100%。与202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年度相比，一般公共预算财政拨款支出</w:t>
      </w:r>
      <w:r>
        <w:rPr>
          <w:rFonts w:hint="eastAsia" w:ascii="仿宋_GB2312" w:hAnsi="仿宋_GB2312" w:eastAsia="仿宋_GB2312" w:cs="仿宋_GB2312"/>
          <w:sz w:val="32"/>
          <w:szCs w:val="32"/>
          <w:lang w:eastAsia="zh-CN"/>
        </w:rPr>
        <w:t>增加</w:t>
      </w:r>
      <w:r>
        <w:rPr>
          <w:rFonts w:hint="eastAsia" w:ascii="仿宋_GB2312" w:hAnsi="仿宋_GB2312" w:eastAsia="仿宋_GB2312" w:cs="仿宋_GB2312"/>
          <w:sz w:val="32"/>
          <w:szCs w:val="32"/>
          <w:lang w:val="en-US" w:eastAsia="zh-CN"/>
        </w:rPr>
        <w:t>2788.11</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增幅</w:t>
      </w:r>
      <w:r>
        <w:rPr>
          <w:rFonts w:hint="eastAsia" w:ascii="仿宋_GB2312" w:hAnsi="仿宋_GB2312" w:eastAsia="仿宋_GB2312" w:cs="仿宋_GB2312"/>
          <w:sz w:val="32"/>
          <w:szCs w:val="32"/>
          <w:lang w:val="en-US" w:eastAsia="zh-CN"/>
        </w:rPr>
        <w:t>20.88</w:t>
      </w:r>
      <w:r>
        <w:rPr>
          <w:rFonts w:hint="eastAsia" w:ascii="仿宋_GB2312" w:hAnsi="仿宋_GB2312" w:eastAsia="仿宋_GB2312" w:cs="仿宋_GB2312"/>
          <w:sz w:val="32"/>
          <w:szCs w:val="32"/>
        </w:rPr>
        <w:t>%。主要变动原因是</w:t>
      </w:r>
      <w:r>
        <w:rPr>
          <w:rFonts w:hint="eastAsia" w:ascii="仿宋_GB2312" w:hAnsi="仿宋" w:eastAsia="仿宋_GB2312"/>
          <w:sz w:val="32"/>
          <w:szCs w:val="32"/>
        </w:rPr>
        <w:t>今年</w:t>
      </w:r>
      <w:r>
        <w:rPr>
          <w:rFonts w:hint="eastAsia" w:ascii="仿宋_GB2312" w:hAnsi="仿宋" w:eastAsia="仿宋_GB2312"/>
          <w:sz w:val="32"/>
          <w:szCs w:val="32"/>
          <w:lang w:val="en-US" w:eastAsia="zh-CN"/>
        </w:rPr>
        <w:t>将东区财政局拨款纳入了决算</w:t>
      </w:r>
      <w:r>
        <w:rPr>
          <w:rFonts w:hint="eastAsia" w:eastAsia="仿宋_GB2312" w:cs="仿宋_GB2312"/>
          <w:sz w:val="32"/>
          <w:szCs w:val="32"/>
        </w:rPr>
        <w:t>。</w:t>
      </w:r>
    </w:p>
    <w:p w14:paraId="1001B9C4">
      <w:pPr>
        <w:ind w:left="3305" w:leftChars="50" w:right="105" w:rightChars="50" w:hanging="3200" w:hangingChars="1000"/>
      </w:pPr>
      <w:r>
        <w:rPr>
          <w:rFonts w:hint="eastAsia" w:eastAsia="仿宋_GB2312" w:cs="仿宋_GB2312"/>
          <w:sz w:val="32"/>
          <w:szCs w:val="32"/>
        </w:rPr>
        <w:t>（图5：一般公共预算财政拨款支出决算变动情况）</w:t>
      </w:r>
      <w:r>
        <w:rPr>
          <w:rFonts w:hint="eastAsia" w:eastAsia="仿宋_GB2312" w:cs="仿宋_GB2312"/>
          <w:sz w:val="32"/>
          <w:szCs w:val="32"/>
          <w:lang w:val="en-US" w:eastAsia="zh-CN"/>
        </w:rPr>
        <w:t xml:space="preserve">     </w:t>
      </w:r>
      <w:r>
        <w:rPr>
          <w:rFonts w:hint="eastAsia" w:eastAsia="仿宋_GB2312" w:cs="仿宋_GB2312"/>
          <w:sz w:val="32"/>
          <w:szCs w:val="32"/>
        </w:rPr>
        <w:t>（柱状图）</w:t>
      </w:r>
    </w:p>
    <w:p w14:paraId="65AE75BC">
      <w:pPr>
        <w:pStyle w:val="2"/>
        <w:ind w:left="105" w:leftChars="50" w:right="105" w:rightChars="50"/>
      </w:pPr>
    </w:p>
    <w:p w14:paraId="0F294E27">
      <w:pPr>
        <w:pStyle w:val="38"/>
      </w:pPr>
      <w:r>
        <w:drawing>
          <wp:inline distT="0" distB="0" distL="0" distR="0">
            <wp:extent cx="4391660" cy="3028950"/>
            <wp:effectExtent l="4445" t="5080" r="23495" b="13970"/>
            <wp:docPr id="7"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4ACB7D7">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（二）一般公共预算财政拨款支出决算结构情况</w:t>
      </w:r>
    </w:p>
    <w:p w14:paraId="7E2BBCA7"/>
    <w:p w14:paraId="556AC3D2">
      <w:pPr>
        <w:spacing w:line="600" w:lineRule="exact"/>
        <w:ind w:firstLine="640"/>
        <w:rPr>
          <w:rFonts w:hint="eastAsia" w:eastAsia="仿宋_GB2312" w:cs="仿宋_GB2312"/>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年度一般公共预算财政拨款支出</w:t>
      </w:r>
      <w:r>
        <w:rPr>
          <w:rFonts w:hint="eastAsia" w:ascii="仿宋_GB2312" w:hAnsi="仿宋_GB2312" w:eastAsia="仿宋_GB2312" w:cs="仿宋_GB2312"/>
          <w:sz w:val="32"/>
          <w:szCs w:val="32"/>
          <w:lang w:val="en-US" w:eastAsia="zh-CN"/>
        </w:rPr>
        <w:t>16142.14</w:t>
      </w:r>
      <w:r>
        <w:rPr>
          <w:rFonts w:hint="eastAsia" w:ascii="仿宋_GB2312" w:hAnsi="仿宋_GB2312" w:eastAsia="仿宋_GB2312" w:cs="仿宋_GB2312"/>
          <w:sz w:val="32"/>
          <w:szCs w:val="32"/>
        </w:rPr>
        <w:t>万元</w:t>
      </w:r>
      <w:r>
        <w:rPr>
          <w:rFonts w:hint="eastAsia" w:eastAsia="仿宋_GB2312" w:cs="仿宋_GB2312"/>
          <w:sz w:val="32"/>
          <w:szCs w:val="32"/>
        </w:rPr>
        <w:t>，主要用于以下方面：一般公共服务支出</w:t>
      </w:r>
      <w:r>
        <w:rPr>
          <w:rFonts w:hint="eastAsia" w:eastAsia="仿宋_GB2312" w:cs="仿宋_GB2312"/>
          <w:sz w:val="32"/>
          <w:szCs w:val="32"/>
          <w:lang w:val="en-US" w:eastAsia="zh-CN"/>
        </w:rPr>
        <w:t>3.21</w:t>
      </w:r>
      <w:r>
        <w:rPr>
          <w:rFonts w:hint="eastAsia" w:eastAsia="仿宋_GB2312" w:cs="仿宋_GB2312"/>
          <w:sz w:val="32"/>
          <w:szCs w:val="32"/>
        </w:rPr>
        <w:t>万元，占</w:t>
      </w:r>
      <w:r>
        <w:rPr>
          <w:rFonts w:hint="eastAsia" w:eastAsia="仿宋_GB2312" w:cs="仿宋_GB2312"/>
          <w:sz w:val="32"/>
          <w:szCs w:val="32"/>
          <w:lang w:val="en-US" w:eastAsia="zh-CN"/>
        </w:rPr>
        <w:t>0.01</w:t>
      </w:r>
      <w:r>
        <w:rPr>
          <w:rFonts w:hint="eastAsia" w:eastAsia="仿宋_GB2312" w:cs="仿宋_GB2312"/>
          <w:sz w:val="32"/>
          <w:szCs w:val="32"/>
        </w:rPr>
        <w:t>%；公共安全支出</w:t>
      </w:r>
      <w:r>
        <w:rPr>
          <w:rFonts w:hint="eastAsia" w:eastAsia="仿宋_GB2312" w:cs="仿宋_GB2312"/>
          <w:sz w:val="32"/>
          <w:szCs w:val="32"/>
          <w:lang w:val="en-US" w:eastAsia="zh-CN"/>
        </w:rPr>
        <w:t>12332.95</w:t>
      </w:r>
      <w:r>
        <w:rPr>
          <w:rFonts w:hint="eastAsia" w:eastAsia="仿宋_GB2312" w:cs="仿宋_GB2312"/>
          <w:sz w:val="32"/>
          <w:szCs w:val="32"/>
        </w:rPr>
        <w:t>万元，占7</w:t>
      </w:r>
      <w:r>
        <w:rPr>
          <w:rFonts w:hint="eastAsia" w:eastAsia="仿宋_GB2312" w:cs="仿宋_GB2312"/>
          <w:sz w:val="32"/>
          <w:szCs w:val="32"/>
          <w:lang w:val="en-US" w:eastAsia="zh-CN"/>
        </w:rPr>
        <w:t>6.4</w:t>
      </w:r>
      <w:r>
        <w:rPr>
          <w:rFonts w:hint="eastAsia" w:eastAsia="仿宋_GB2312" w:cs="仿宋_GB2312"/>
          <w:sz w:val="32"/>
          <w:szCs w:val="32"/>
        </w:rPr>
        <w:t>%；社会保障和就业支出</w:t>
      </w:r>
      <w:r>
        <w:rPr>
          <w:rFonts w:hint="eastAsia" w:eastAsia="仿宋_GB2312" w:cs="仿宋_GB2312"/>
          <w:sz w:val="32"/>
          <w:szCs w:val="32"/>
          <w:lang w:val="en-US" w:eastAsia="zh-CN"/>
        </w:rPr>
        <w:t>2301.94</w:t>
      </w:r>
      <w:r>
        <w:rPr>
          <w:rFonts w:hint="eastAsia" w:eastAsia="仿宋_GB2312" w:cs="仿宋_GB2312"/>
          <w:sz w:val="32"/>
          <w:szCs w:val="32"/>
        </w:rPr>
        <w:t>万元，占</w:t>
      </w:r>
      <w:r>
        <w:rPr>
          <w:rFonts w:hint="eastAsia" w:eastAsia="仿宋_GB2312" w:cs="仿宋_GB2312"/>
          <w:sz w:val="32"/>
          <w:szCs w:val="32"/>
          <w:lang w:val="en-US" w:eastAsia="zh-CN"/>
        </w:rPr>
        <w:t>14.26</w:t>
      </w:r>
      <w:r>
        <w:rPr>
          <w:rFonts w:hint="eastAsia" w:eastAsia="仿宋_GB2312" w:cs="仿宋_GB2312"/>
          <w:sz w:val="32"/>
          <w:szCs w:val="32"/>
        </w:rPr>
        <w:t>%；卫生健康支出</w:t>
      </w:r>
      <w:r>
        <w:rPr>
          <w:rFonts w:hint="eastAsia" w:eastAsia="仿宋_GB2312" w:cs="仿宋_GB2312"/>
          <w:sz w:val="32"/>
          <w:szCs w:val="32"/>
          <w:lang w:val="en-US" w:eastAsia="zh-CN"/>
        </w:rPr>
        <w:t>587.52</w:t>
      </w:r>
      <w:r>
        <w:rPr>
          <w:rFonts w:hint="eastAsia" w:eastAsia="仿宋_GB2312" w:cs="仿宋_GB2312"/>
          <w:sz w:val="32"/>
          <w:szCs w:val="32"/>
        </w:rPr>
        <w:t>万元，占</w:t>
      </w:r>
      <w:r>
        <w:rPr>
          <w:rFonts w:hint="eastAsia" w:eastAsia="仿宋_GB2312" w:cs="仿宋_GB2312"/>
          <w:sz w:val="32"/>
          <w:szCs w:val="32"/>
          <w:lang w:val="en-US" w:eastAsia="zh-CN"/>
        </w:rPr>
        <w:t>3.63</w:t>
      </w:r>
      <w:r>
        <w:rPr>
          <w:rFonts w:hint="eastAsia" w:eastAsia="仿宋_GB2312" w:cs="仿宋_GB2312"/>
          <w:sz w:val="32"/>
          <w:szCs w:val="32"/>
        </w:rPr>
        <w:t>%；住房保障支出</w:t>
      </w:r>
      <w:r>
        <w:rPr>
          <w:rFonts w:hint="eastAsia" w:eastAsia="仿宋_GB2312" w:cs="仿宋_GB2312"/>
          <w:sz w:val="32"/>
          <w:szCs w:val="32"/>
          <w:lang w:val="en-US" w:eastAsia="zh-CN"/>
        </w:rPr>
        <w:t>916.52</w:t>
      </w:r>
      <w:r>
        <w:rPr>
          <w:rFonts w:hint="eastAsia" w:eastAsia="仿宋_GB2312" w:cs="仿宋_GB2312"/>
          <w:sz w:val="32"/>
          <w:szCs w:val="32"/>
        </w:rPr>
        <w:t>万元，占</w:t>
      </w:r>
      <w:r>
        <w:rPr>
          <w:rFonts w:hint="eastAsia" w:eastAsia="仿宋_GB2312" w:cs="仿宋_GB2312"/>
          <w:sz w:val="32"/>
          <w:szCs w:val="32"/>
          <w:lang w:val="en-US" w:eastAsia="zh-CN"/>
        </w:rPr>
        <w:t>5.7</w:t>
      </w:r>
      <w:r>
        <w:rPr>
          <w:rFonts w:hint="eastAsia" w:eastAsia="仿宋_GB2312" w:cs="仿宋_GB2312"/>
          <w:sz w:val="32"/>
          <w:szCs w:val="32"/>
        </w:rPr>
        <w:t>%；</w:t>
      </w:r>
    </w:p>
    <w:p w14:paraId="3AABFE88">
      <w:pPr>
        <w:spacing w:line="600" w:lineRule="exact"/>
        <w:rPr>
          <w:rFonts w:eastAsia="仿宋_GB2312" w:cs="仿宋_GB2312"/>
          <w:sz w:val="32"/>
          <w:szCs w:val="32"/>
        </w:rPr>
      </w:pPr>
      <w:r>
        <w:rPr>
          <w:rFonts w:hint="eastAsia" w:eastAsia="仿宋_GB2312" w:cs="仿宋_GB2312"/>
          <w:sz w:val="32"/>
          <w:szCs w:val="32"/>
        </w:rPr>
        <w:t>（图6：一般公共预算财政拨款支出决算结构）（饼状图）</w:t>
      </w:r>
    </w:p>
    <w:p w14:paraId="13417840">
      <w:pPr>
        <w:ind w:left="105" w:leftChars="50" w:right="105" w:rightChars="50" w:firstLine="643" w:firstLineChars="200"/>
        <w:rPr>
          <w:rFonts w:eastAsia="仿宋_GB2312" w:cs="仿宋_GB2312"/>
          <w:b/>
          <w:bCs/>
          <w:sz w:val="32"/>
          <w:szCs w:val="32"/>
        </w:rPr>
      </w:pPr>
    </w:p>
    <w:p w14:paraId="2A564703">
      <w:r>
        <w:drawing>
          <wp:inline distT="0" distB="0" distL="0" distR="0">
            <wp:extent cx="3971290" cy="2324100"/>
            <wp:effectExtent l="4445" t="4445" r="5715" b="14605"/>
            <wp:docPr id="8"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4B8273B">
      <w:pPr>
        <w:pStyle w:val="38"/>
      </w:pPr>
    </w:p>
    <w:p w14:paraId="2F1004A4">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（三）一般公共预算财政拨款支出决算具体情况</w:t>
      </w:r>
    </w:p>
    <w:p w14:paraId="52C04E2D">
      <w:pPr>
        <w:ind w:left="105" w:leftChars="50" w:right="105" w:rightChars="50" w:firstLine="640" w:firstLineChars="200"/>
        <w:rPr>
          <w:rFonts w:eastAsia="仿宋_GB2312" w:cs="仿宋_GB2312"/>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年度一般公共预算财政拨款支出决算数为</w:t>
      </w:r>
      <w:r>
        <w:rPr>
          <w:rFonts w:hint="eastAsia" w:ascii="仿宋_GB2312" w:hAnsi="仿宋_GB2312" w:eastAsia="仿宋_GB2312" w:cs="仿宋_GB2312"/>
          <w:sz w:val="32"/>
          <w:szCs w:val="32"/>
          <w:lang w:val="en-US" w:eastAsia="zh-CN"/>
        </w:rPr>
        <w:t>16142.14</w:t>
      </w:r>
      <w:r>
        <w:rPr>
          <w:rFonts w:hint="eastAsia" w:ascii="仿宋_GB2312" w:hAnsi="仿宋_GB2312" w:eastAsia="仿宋_GB2312" w:cs="仿宋_GB2312"/>
          <w:sz w:val="32"/>
          <w:szCs w:val="32"/>
        </w:rPr>
        <w:t>，</w:t>
      </w:r>
      <w:r>
        <w:rPr>
          <w:rFonts w:hint="eastAsia" w:eastAsia="仿宋_GB2312" w:cs="仿宋_GB2312"/>
          <w:sz w:val="32"/>
          <w:szCs w:val="32"/>
        </w:rPr>
        <w:t>完成预算100%。其中：</w:t>
      </w:r>
    </w:p>
    <w:p w14:paraId="41680F57">
      <w:pPr>
        <w:spacing w:line="600" w:lineRule="exact"/>
        <w:ind w:firstLine="643" w:firstLineChars="200"/>
        <w:rPr>
          <w:rStyle w:val="17"/>
          <w:rFonts w:hint="eastAsia" w:ascii="仿宋" w:hAnsi="仿宋" w:eastAsia="仿宋"/>
          <w:bCs/>
          <w:sz w:val="32"/>
          <w:szCs w:val="32"/>
          <w:lang w:eastAsia="zh-CN"/>
        </w:rPr>
      </w:pPr>
      <w:r>
        <w:rPr>
          <w:rStyle w:val="17"/>
          <w:rFonts w:hint="eastAsia" w:ascii="仿宋" w:hAnsi="仿宋" w:eastAsia="仿宋"/>
          <w:bCs/>
          <w:sz w:val="32"/>
          <w:szCs w:val="32"/>
        </w:rPr>
        <w:t>1</w:t>
      </w:r>
      <w:r>
        <w:rPr>
          <w:rStyle w:val="17"/>
          <w:rFonts w:ascii="仿宋" w:hAnsi="仿宋" w:eastAsia="仿宋"/>
          <w:bCs/>
          <w:sz w:val="32"/>
          <w:szCs w:val="32"/>
        </w:rPr>
        <w:t>.</w:t>
      </w:r>
      <w:r>
        <w:rPr>
          <w:rStyle w:val="17"/>
          <w:rFonts w:hint="eastAsia" w:ascii="仿宋" w:hAnsi="仿宋" w:eastAsia="仿宋"/>
          <w:bCs/>
          <w:sz w:val="32"/>
          <w:szCs w:val="32"/>
          <w:lang w:eastAsia="zh-CN"/>
        </w:rPr>
        <w:t>一般公共服务支出（类）其他共产党事务支出（款）其他共产党事务支出：</w:t>
      </w:r>
      <w:r>
        <w:rPr>
          <w:rStyle w:val="17"/>
          <w:rFonts w:hint="eastAsia" w:ascii="仿宋" w:hAnsi="仿宋" w:eastAsia="仿宋"/>
          <w:b w:val="0"/>
          <w:bCs/>
          <w:sz w:val="32"/>
          <w:szCs w:val="32"/>
        </w:rPr>
        <w:t>支出决算为</w:t>
      </w:r>
      <w:r>
        <w:rPr>
          <w:rStyle w:val="17"/>
          <w:rFonts w:hint="eastAsia" w:ascii="仿宋" w:hAnsi="仿宋" w:eastAsia="仿宋"/>
          <w:b w:val="0"/>
          <w:bCs/>
          <w:sz w:val="32"/>
          <w:szCs w:val="32"/>
          <w:lang w:val="en-US" w:eastAsia="zh-CN"/>
        </w:rPr>
        <w:t>2.77</w:t>
      </w:r>
      <w:r>
        <w:rPr>
          <w:rStyle w:val="17"/>
          <w:rFonts w:hint="eastAsia" w:ascii="仿宋" w:hAnsi="仿宋" w:eastAsia="仿宋"/>
          <w:b w:val="0"/>
          <w:bCs/>
          <w:sz w:val="32"/>
          <w:szCs w:val="32"/>
        </w:rPr>
        <w:t>万元，完成预算100</w:t>
      </w:r>
      <w:r>
        <w:rPr>
          <w:rStyle w:val="17"/>
          <w:rFonts w:ascii="仿宋" w:hAnsi="仿宋" w:eastAsia="仿宋"/>
          <w:b w:val="0"/>
          <w:bCs/>
          <w:sz w:val="32"/>
          <w:szCs w:val="32"/>
        </w:rPr>
        <w:t>%</w:t>
      </w:r>
      <w:r>
        <w:rPr>
          <w:rStyle w:val="17"/>
          <w:rFonts w:hint="eastAsia" w:ascii="仿宋" w:hAnsi="仿宋" w:eastAsia="仿宋"/>
          <w:b w:val="0"/>
          <w:bCs/>
          <w:sz w:val="32"/>
          <w:szCs w:val="32"/>
        </w:rPr>
        <w:t>，决算数等于预算数。</w:t>
      </w:r>
    </w:p>
    <w:p w14:paraId="547E2BFA">
      <w:pPr>
        <w:spacing w:line="600" w:lineRule="exact"/>
        <w:ind w:firstLine="643" w:firstLineChars="200"/>
        <w:rPr>
          <w:rStyle w:val="17"/>
          <w:rFonts w:hint="eastAsia" w:ascii="仿宋" w:hAnsi="仿宋" w:eastAsia="仿宋"/>
          <w:bCs/>
          <w:sz w:val="32"/>
          <w:szCs w:val="32"/>
          <w:lang w:eastAsia="zh-CN"/>
        </w:rPr>
      </w:pPr>
      <w:r>
        <w:rPr>
          <w:rStyle w:val="17"/>
          <w:rFonts w:hint="eastAsia" w:ascii="仿宋" w:hAnsi="仿宋" w:eastAsia="仿宋"/>
          <w:bCs/>
          <w:sz w:val="32"/>
          <w:szCs w:val="32"/>
          <w:lang w:val="en-US" w:eastAsia="zh-CN"/>
        </w:rPr>
        <w:t>2.</w:t>
      </w:r>
      <w:r>
        <w:rPr>
          <w:rStyle w:val="17"/>
          <w:rFonts w:hint="eastAsia" w:ascii="仿宋" w:hAnsi="仿宋" w:eastAsia="仿宋"/>
          <w:bCs/>
          <w:sz w:val="32"/>
          <w:szCs w:val="32"/>
          <w:lang w:eastAsia="zh-CN"/>
        </w:rPr>
        <w:t>一般公共服务支出（类）信访事务（款）信访业务：</w:t>
      </w:r>
      <w:r>
        <w:rPr>
          <w:rStyle w:val="17"/>
          <w:rFonts w:hint="eastAsia" w:ascii="仿宋" w:hAnsi="仿宋" w:eastAsia="仿宋"/>
          <w:b w:val="0"/>
          <w:bCs/>
          <w:sz w:val="32"/>
          <w:szCs w:val="32"/>
        </w:rPr>
        <w:t>支出决算为</w:t>
      </w:r>
      <w:r>
        <w:rPr>
          <w:rStyle w:val="17"/>
          <w:rFonts w:hint="eastAsia" w:ascii="仿宋" w:hAnsi="仿宋" w:eastAsia="仿宋"/>
          <w:b w:val="0"/>
          <w:bCs/>
          <w:sz w:val="32"/>
          <w:szCs w:val="32"/>
          <w:lang w:val="en-US" w:eastAsia="zh-CN"/>
        </w:rPr>
        <w:t>0.44</w:t>
      </w:r>
      <w:r>
        <w:rPr>
          <w:rStyle w:val="17"/>
          <w:rFonts w:hint="eastAsia" w:ascii="仿宋" w:hAnsi="仿宋" w:eastAsia="仿宋"/>
          <w:b w:val="0"/>
          <w:bCs/>
          <w:sz w:val="32"/>
          <w:szCs w:val="32"/>
        </w:rPr>
        <w:t>万元，完成预算100</w:t>
      </w:r>
      <w:r>
        <w:rPr>
          <w:rStyle w:val="17"/>
          <w:rFonts w:ascii="仿宋" w:hAnsi="仿宋" w:eastAsia="仿宋"/>
          <w:b w:val="0"/>
          <w:bCs/>
          <w:sz w:val="32"/>
          <w:szCs w:val="32"/>
        </w:rPr>
        <w:t>%</w:t>
      </w:r>
      <w:r>
        <w:rPr>
          <w:rStyle w:val="17"/>
          <w:rFonts w:hint="eastAsia" w:ascii="仿宋" w:hAnsi="仿宋" w:eastAsia="仿宋"/>
          <w:b w:val="0"/>
          <w:bCs/>
          <w:sz w:val="32"/>
          <w:szCs w:val="32"/>
        </w:rPr>
        <w:t>，决算数等于预算数。</w:t>
      </w:r>
    </w:p>
    <w:p w14:paraId="5EC482E6">
      <w:pPr>
        <w:spacing w:line="600" w:lineRule="exact"/>
        <w:ind w:firstLine="643" w:firstLineChars="200"/>
        <w:rPr>
          <w:rFonts w:hint="eastAsia" w:ascii="仿宋" w:hAnsi="仿宋" w:eastAsia="仿宋"/>
          <w:b/>
          <w:sz w:val="32"/>
          <w:szCs w:val="32"/>
        </w:rPr>
      </w:pPr>
      <w:r>
        <w:rPr>
          <w:rStyle w:val="17"/>
          <w:rFonts w:hint="eastAsia" w:ascii="仿宋" w:hAnsi="仿宋" w:eastAsia="仿宋"/>
          <w:bCs/>
          <w:sz w:val="32"/>
          <w:szCs w:val="32"/>
          <w:lang w:val="en-US" w:eastAsia="zh-CN"/>
        </w:rPr>
        <w:t>3.</w:t>
      </w:r>
      <w:r>
        <w:rPr>
          <w:rStyle w:val="17"/>
          <w:rFonts w:hint="eastAsia" w:ascii="仿宋" w:hAnsi="仿宋" w:eastAsia="仿宋"/>
          <w:bCs/>
          <w:sz w:val="32"/>
          <w:szCs w:val="32"/>
        </w:rPr>
        <w:t>公共安全支出（类）公安（款）行政运行（项）</w:t>
      </w:r>
      <w:r>
        <w:rPr>
          <w:rStyle w:val="17"/>
          <w:rFonts w:ascii="仿宋" w:hAnsi="仿宋" w:eastAsia="仿宋"/>
          <w:bCs/>
          <w:sz w:val="32"/>
          <w:szCs w:val="32"/>
        </w:rPr>
        <w:t>:</w:t>
      </w:r>
      <w:r>
        <w:rPr>
          <w:rStyle w:val="17"/>
          <w:rFonts w:hint="eastAsia" w:ascii="仿宋" w:hAnsi="仿宋" w:eastAsia="仿宋"/>
          <w:b w:val="0"/>
          <w:bCs/>
          <w:sz w:val="32"/>
          <w:szCs w:val="32"/>
        </w:rPr>
        <w:t>支出决算为</w:t>
      </w:r>
      <w:r>
        <w:rPr>
          <w:rStyle w:val="17"/>
          <w:rFonts w:hint="eastAsia" w:ascii="仿宋" w:hAnsi="仿宋" w:eastAsia="仿宋"/>
          <w:b w:val="0"/>
          <w:bCs/>
          <w:sz w:val="32"/>
          <w:szCs w:val="32"/>
          <w:lang w:val="en-US" w:eastAsia="zh-CN"/>
        </w:rPr>
        <w:t>10510.22</w:t>
      </w:r>
      <w:r>
        <w:rPr>
          <w:rStyle w:val="17"/>
          <w:rFonts w:hint="eastAsia" w:ascii="仿宋" w:hAnsi="仿宋" w:eastAsia="仿宋"/>
          <w:b w:val="0"/>
          <w:bCs/>
          <w:sz w:val="32"/>
          <w:szCs w:val="32"/>
        </w:rPr>
        <w:t>万元，完成预算100</w:t>
      </w:r>
      <w:r>
        <w:rPr>
          <w:rStyle w:val="17"/>
          <w:rFonts w:ascii="仿宋" w:hAnsi="仿宋" w:eastAsia="仿宋"/>
          <w:b w:val="0"/>
          <w:bCs/>
          <w:sz w:val="32"/>
          <w:szCs w:val="32"/>
        </w:rPr>
        <w:t>%</w:t>
      </w:r>
      <w:r>
        <w:rPr>
          <w:rStyle w:val="17"/>
          <w:rFonts w:hint="eastAsia" w:ascii="仿宋" w:hAnsi="仿宋" w:eastAsia="仿宋"/>
          <w:b w:val="0"/>
          <w:bCs/>
          <w:sz w:val="32"/>
          <w:szCs w:val="32"/>
        </w:rPr>
        <w:t>，决算数等于预算数。</w:t>
      </w:r>
    </w:p>
    <w:p w14:paraId="109DA259">
      <w:pPr>
        <w:spacing w:line="600" w:lineRule="exact"/>
        <w:ind w:firstLine="643" w:firstLineChars="200"/>
        <w:rPr>
          <w:rFonts w:hint="eastAsia" w:ascii="仿宋" w:hAnsi="仿宋" w:eastAsia="仿宋"/>
          <w:b/>
          <w:sz w:val="32"/>
          <w:szCs w:val="32"/>
        </w:rPr>
      </w:pPr>
      <w:r>
        <w:rPr>
          <w:rStyle w:val="17"/>
          <w:rFonts w:hint="eastAsia" w:ascii="仿宋" w:hAnsi="仿宋" w:eastAsia="仿宋"/>
          <w:bCs/>
          <w:sz w:val="32"/>
          <w:szCs w:val="32"/>
          <w:lang w:val="en-US" w:eastAsia="zh-CN"/>
        </w:rPr>
        <w:t>4</w:t>
      </w:r>
      <w:r>
        <w:rPr>
          <w:rStyle w:val="17"/>
          <w:rFonts w:ascii="仿宋" w:hAnsi="仿宋" w:eastAsia="仿宋"/>
          <w:bCs/>
          <w:sz w:val="32"/>
          <w:szCs w:val="32"/>
        </w:rPr>
        <w:t>.</w:t>
      </w:r>
      <w:r>
        <w:rPr>
          <w:rStyle w:val="17"/>
          <w:rFonts w:hint="eastAsia" w:ascii="仿宋" w:hAnsi="仿宋" w:eastAsia="仿宋" w:cstheme="minorBidi"/>
          <w:bCs/>
          <w:sz w:val="32"/>
          <w:szCs w:val="32"/>
        </w:rPr>
        <w:t>公共安全支出（类）公安（款）一般行政管理事</w:t>
      </w:r>
      <w:r>
        <w:rPr>
          <w:rStyle w:val="17"/>
          <w:rFonts w:hint="eastAsia" w:ascii="仿宋" w:hAnsi="仿宋" w:eastAsia="仿宋"/>
          <w:bCs/>
          <w:sz w:val="32"/>
          <w:szCs w:val="32"/>
        </w:rPr>
        <w:t>务（项）</w:t>
      </w:r>
      <w:r>
        <w:rPr>
          <w:rStyle w:val="17"/>
          <w:rFonts w:ascii="仿宋" w:hAnsi="仿宋" w:eastAsia="仿宋"/>
          <w:bCs/>
          <w:sz w:val="32"/>
          <w:szCs w:val="32"/>
        </w:rPr>
        <w:t>:</w:t>
      </w:r>
      <w:r>
        <w:rPr>
          <w:rStyle w:val="17"/>
          <w:rFonts w:hint="eastAsia" w:ascii="仿宋" w:hAnsi="仿宋" w:eastAsia="仿宋"/>
          <w:b w:val="0"/>
          <w:bCs/>
          <w:sz w:val="32"/>
          <w:szCs w:val="32"/>
        </w:rPr>
        <w:t>支出决算为</w:t>
      </w:r>
      <w:r>
        <w:rPr>
          <w:rStyle w:val="17"/>
          <w:rFonts w:hint="eastAsia" w:ascii="仿宋" w:hAnsi="仿宋" w:eastAsia="仿宋"/>
          <w:b w:val="0"/>
          <w:bCs/>
          <w:sz w:val="32"/>
          <w:szCs w:val="32"/>
          <w:lang w:val="en-US" w:eastAsia="zh-CN"/>
        </w:rPr>
        <w:t>485</w:t>
      </w:r>
      <w:r>
        <w:rPr>
          <w:rStyle w:val="17"/>
          <w:rFonts w:hint="eastAsia" w:ascii="仿宋" w:hAnsi="仿宋" w:eastAsia="仿宋"/>
          <w:b w:val="0"/>
          <w:bCs/>
          <w:sz w:val="32"/>
          <w:szCs w:val="32"/>
        </w:rPr>
        <w:t>万元，完成预算100</w:t>
      </w:r>
      <w:r>
        <w:rPr>
          <w:rStyle w:val="17"/>
          <w:rFonts w:ascii="仿宋" w:hAnsi="仿宋" w:eastAsia="仿宋"/>
          <w:b w:val="0"/>
          <w:bCs/>
          <w:sz w:val="32"/>
          <w:szCs w:val="32"/>
        </w:rPr>
        <w:t>%</w:t>
      </w:r>
      <w:r>
        <w:rPr>
          <w:rStyle w:val="17"/>
          <w:rFonts w:hint="eastAsia" w:ascii="仿宋" w:hAnsi="仿宋" w:eastAsia="仿宋"/>
          <w:b w:val="0"/>
          <w:bCs/>
          <w:sz w:val="32"/>
          <w:szCs w:val="32"/>
        </w:rPr>
        <w:t>，决算数等于预算数。</w:t>
      </w:r>
    </w:p>
    <w:p w14:paraId="79470508">
      <w:pPr>
        <w:spacing w:line="600" w:lineRule="exact"/>
        <w:ind w:firstLine="643" w:firstLineChars="200"/>
        <w:rPr>
          <w:rStyle w:val="17"/>
          <w:rFonts w:hint="eastAsia" w:ascii="仿宋" w:hAnsi="仿宋" w:eastAsia="仿宋"/>
          <w:b w:val="0"/>
          <w:bCs/>
          <w:sz w:val="32"/>
          <w:szCs w:val="32"/>
        </w:rPr>
      </w:pPr>
      <w:r>
        <w:rPr>
          <w:rStyle w:val="17"/>
          <w:rFonts w:hint="eastAsia" w:ascii="仿宋" w:hAnsi="仿宋" w:eastAsia="仿宋"/>
          <w:bCs/>
          <w:sz w:val="32"/>
          <w:szCs w:val="32"/>
          <w:lang w:val="en-US" w:eastAsia="zh-CN"/>
        </w:rPr>
        <w:t>5</w:t>
      </w:r>
      <w:r>
        <w:rPr>
          <w:rStyle w:val="17"/>
          <w:rFonts w:ascii="仿宋" w:hAnsi="仿宋" w:eastAsia="仿宋"/>
          <w:bCs/>
          <w:sz w:val="32"/>
          <w:szCs w:val="32"/>
        </w:rPr>
        <w:t>.</w:t>
      </w:r>
      <w:r>
        <w:rPr>
          <w:rStyle w:val="17"/>
          <w:rFonts w:hint="eastAsia" w:ascii="仿宋" w:hAnsi="仿宋" w:eastAsia="仿宋"/>
          <w:bCs/>
          <w:sz w:val="32"/>
          <w:szCs w:val="32"/>
        </w:rPr>
        <w:t>公共安全支出（类）公安（款）其他公安支出（项）</w:t>
      </w:r>
      <w:r>
        <w:rPr>
          <w:rStyle w:val="17"/>
          <w:rFonts w:hint="eastAsia" w:ascii="仿宋" w:hAnsi="仿宋" w:eastAsia="仿宋"/>
          <w:bCs/>
          <w:sz w:val="32"/>
          <w:szCs w:val="32"/>
          <w:lang w:eastAsia="zh-CN"/>
        </w:rPr>
        <w:t>：</w:t>
      </w:r>
      <w:r>
        <w:rPr>
          <w:rStyle w:val="17"/>
          <w:rFonts w:hint="eastAsia" w:ascii="仿宋" w:hAnsi="仿宋" w:eastAsia="仿宋"/>
          <w:b w:val="0"/>
          <w:bCs/>
          <w:sz w:val="32"/>
          <w:szCs w:val="32"/>
        </w:rPr>
        <w:t>支出决算为</w:t>
      </w:r>
      <w:r>
        <w:rPr>
          <w:rStyle w:val="17"/>
          <w:rFonts w:hint="eastAsia" w:ascii="仿宋" w:hAnsi="仿宋" w:eastAsia="仿宋"/>
          <w:b w:val="0"/>
          <w:bCs/>
          <w:sz w:val="32"/>
          <w:szCs w:val="32"/>
          <w:lang w:val="en-US" w:eastAsia="zh-CN"/>
        </w:rPr>
        <w:t>1337.73</w:t>
      </w:r>
      <w:r>
        <w:rPr>
          <w:rStyle w:val="17"/>
          <w:rFonts w:hint="eastAsia" w:ascii="仿宋" w:hAnsi="仿宋" w:eastAsia="仿宋"/>
          <w:b w:val="0"/>
          <w:bCs/>
          <w:sz w:val="32"/>
          <w:szCs w:val="32"/>
        </w:rPr>
        <w:t>万元，完成预算100</w:t>
      </w:r>
      <w:r>
        <w:rPr>
          <w:rStyle w:val="17"/>
          <w:rFonts w:ascii="仿宋" w:hAnsi="仿宋" w:eastAsia="仿宋"/>
          <w:b w:val="0"/>
          <w:bCs/>
          <w:sz w:val="32"/>
          <w:szCs w:val="32"/>
        </w:rPr>
        <w:t>%</w:t>
      </w:r>
      <w:r>
        <w:rPr>
          <w:rStyle w:val="17"/>
          <w:rFonts w:hint="eastAsia" w:ascii="仿宋" w:hAnsi="仿宋" w:eastAsia="仿宋"/>
          <w:b w:val="0"/>
          <w:bCs/>
          <w:sz w:val="32"/>
          <w:szCs w:val="32"/>
        </w:rPr>
        <w:t>，决算数等于预算数。</w:t>
      </w:r>
    </w:p>
    <w:p w14:paraId="7ADF765E">
      <w:pPr>
        <w:spacing w:line="600" w:lineRule="exact"/>
        <w:ind w:firstLine="643" w:firstLineChars="200"/>
        <w:rPr>
          <w:rStyle w:val="17"/>
          <w:rFonts w:ascii="仿宋" w:hAnsi="仿宋" w:eastAsia="仿宋"/>
          <w:bCs/>
          <w:sz w:val="32"/>
          <w:szCs w:val="32"/>
        </w:rPr>
      </w:pPr>
      <w:r>
        <w:rPr>
          <w:rStyle w:val="17"/>
          <w:rFonts w:hint="eastAsia" w:ascii="仿宋" w:hAnsi="仿宋" w:eastAsia="仿宋"/>
          <w:bCs/>
          <w:sz w:val="32"/>
          <w:szCs w:val="32"/>
          <w:lang w:val="en-US" w:eastAsia="zh-CN"/>
        </w:rPr>
        <w:t>6</w:t>
      </w:r>
      <w:r>
        <w:rPr>
          <w:rStyle w:val="17"/>
          <w:rFonts w:ascii="仿宋" w:hAnsi="仿宋" w:eastAsia="仿宋"/>
          <w:bCs/>
          <w:sz w:val="32"/>
          <w:szCs w:val="32"/>
        </w:rPr>
        <w:t>.</w:t>
      </w:r>
      <w:r>
        <w:rPr>
          <w:rStyle w:val="17"/>
          <w:rFonts w:hint="eastAsia" w:ascii="仿宋" w:hAnsi="仿宋" w:eastAsia="仿宋"/>
          <w:bCs/>
          <w:sz w:val="32"/>
          <w:szCs w:val="32"/>
        </w:rPr>
        <w:t>社会保障和就业支出（类）</w:t>
      </w:r>
      <w:r>
        <w:rPr>
          <w:rStyle w:val="17"/>
          <w:rFonts w:hint="eastAsia" w:ascii="仿宋" w:hAnsi="仿宋" w:eastAsia="仿宋"/>
          <w:bCs/>
          <w:sz w:val="32"/>
          <w:szCs w:val="32"/>
          <w:lang w:eastAsia="zh-CN"/>
        </w:rPr>
        <w:t>人力资源和社会保障管理事务</w:t>
      </w:r>
      <w:r>
        <w:rPr>
          <w:rStyle w:val="17"/>
          <w:rFonts w:hint="eastAsia" w:ascii="仿宋" w:hAnsi="仿宋" w:eastAsia="仿宋"/>
          <w:bCs/>
          <w:sz w:val="32"/>
          <w:szCs w:val="32"/>
        </w:rPr>
        <w:t>（款）</w:t>
      </w:r>
      <w:r>
        <w:rPr>
          <w:rStyle w:val="17"/>
          <w:rFonts w:hint="eastAsia" w:ascii="仿宋" w:hAnsi="仿宋" w:eastAsia="仿宋"/>
          <w:bCs/>
          <w:sz w:val="32"/>
          <w:szCs w:val="32"/>
          <w:lang w:eastAsia="zh-CN"/>
        </w:rPr>
        <w:t>其他人力资源和社会保障管理事务</w:t>
      </w:r>
      <w:r>
        <w:rPr>
          <w:rStyle w:val="17"/>
          <w:rFonts w:hint="eastAsia" w:ascii="仿宋" w:hAnsi="仿宋" w:eastAsia="仿宋"/>
          <w:bCs/>
          <w:sz w:val="32"/>
          <w:szCs w:val="32"/>
        </w:rPr>
        <w:t>（项）</w:t>
      </w:r>
      <w:r>
        <w:rPr>
          <w:rStyle w:val="17"/>
          <w:rFonts w:ascii="仿宋" w:hAnsi="仿宋" w:eastAsia="仿宋"/>
          <w:bCs/>
          <w:sz w:val="32"/>
          <w:szCs w:val="32"/>
        </w:rPr>
        <w:t>:</w:t>
      </w:r>
      <w:r>
        <w:rPr>
          <w:rStyle w:val="17"/>
          <w:rFonts w:hint="eastAsia" w:ascii="仿宋" w:hAnsi="仿宋" w:eastAsia="仿宋"/>
          <w:b w:val="0"/>
          <w:bCs/>
          <w:sz w:val="32"/>
          <w:szCs w:val="32"/>
        </w:rPr>
        <w:t>支出决算为</w:t>
      </w:r>
      <w:r>
        <w:rPr>
          <w:rStyle w:val="17"/>
          <w:rFonts w:hint="eastAsia" w:ascii="仿宋" w:hAnsi="仿宋" w:eastAsia="仿宋"/>
          <w:b w:val="0"/>
          <w:bCs/>
          <w:sz w:val="32"/>
          <w:szCs w:val="32"/>
          <w:lang w:val="en-US" w:eastAsia="zh-CN"/>
        </w:rPr>
        <w:t>8</w:t>
      </w:r>
      <w:r>
        <w:rPr>
          <w:rStyle w:val="17"/>
          <w:rFonts w:hint="eastAsia" w:ascii="仿宋" w:hAnsi="仿宋" w:eastAsia="仿宋"/>
          <w:b w:val="0"/>
          <w:bCs/>
          <w:sz w:val="32"/>
          <w:szCs w:val="32"/>
        </w:rPr>
        <w:t>万元，完成预算100</w:t>
      </w:r>
      <w:r>
        <w:rPr>
          <w:rStyle w:val="17"/>
          <w:rFonts w:ascii="仿宋" w:hAnsi="仿宋" w:eastAsia="仿宋"/>
          <w:b w:val="0"/>
          <w:bCs/>
          <w:sz w:val="32"/>
          <w:szCs w:val="32"/>
        </w:rPr>
        <w:t>%</w:t>
      </w:r>
      <w:r>
        <w:rPr>
          <w:rStyle w:val="17"/>
          <w:rFonts w:hint="eastAsia" w:ascii="仿宋" w:hAnsi="仿宋" w:eastAsia="仿宋"/>
          <w:b w:val="0"/>
          <w:bCs/>
          <w:sz w:val="32"/>
          <w:szCs w:val="32"/>
        </w:rPr>
        <w:t>，决算数等于预算数。</w:t>
      </w:r>
    </w:p>
    <w:p w14:paraId="002AD466">
      <w:pPr>
        <w:spacing w:line="600" w:lineRule="exact"/>
        <w:ind w:firstLine="643" w:firstLineChars="200"/>
        <w:rPr>
          <w:rStyle w:val="17"/>
          <w:rFonts w:hint="eastAsia" w:ascii="仿宋" w:hAnsi="仿宋" w:eastAsia="仿宋"/>
          <w:b w:val="0"/>
          <w:bCs/>
          <w:sz w:val="32"/>
          <w:szCs w:val="32"/>
        </w:rPr>
      </w:pPr>
      <w:r>
        <w:rPr>
          <w:rStyle w:val="17"/>
          <w:rFonts w:hint="eastAsia" w:ascii="仿宋" w:hAnsi="仿宋" w:eastAsia="仿宋"/>
          <w:bCs/>
          <w:sz w:val="32"/>
          <w:szCs w:val="32"/>
          <w:lang w:val="en-US" w:eastAsia="zh-CN"/>
        </w:rPr>
        <w:t>7.</w:t>
      </w:r>
      <w:r>
        <w:rPr>
          <w:rStyle w:val="17"/>
          <w:rFonts w:hint="eastAsia" w:ascii="仿宋" w:hAnsi="仿宋" w:eastAsia="仿宋"/>
          <w:bCs/>
          <w:sz w:val="32"/>
          <w:szCs w:val="32"/>
        </w:rPr>
        <w:t>社会保障和就业支出（类）行政事业单位养老支出（款）行政单位离退休（项）</w:t>
      </w:r>
      <w:r>
        <w:rPr>
          <w:rStyle w:val="17"/>
          <w:rFonts w:ascii="仿宋" w:hAnsi="仿宋" w:eastAsia="仿宋"/>
          <w:bCs/>
          <w:sz w:val="32"/>
          <w:szCs w:val="32"/>
        </w:rPr>
        <w:t>:</w:t>
      </w:r>
      <w:r>
        <w:rPr>
          <w:rStyle w:val="17"/>
          <w:rFonts w:hint="eastAsia" w:ascii="仿宋" w:hAnsi="仿宋" w:eastAsia="仿宋"/>
          <w:b w:val="0"/>
          <w:bCs/>
          <w:sz w:val="32"/>
          <w:szCs w:val="32"/>
        </w:rPr>
        <w:t>支出决算为9</w:t>
      </w:r>
      <w:r>
        <w:rPr>
          <w:rStyle w:val="17"/>
          <w:rFonts w:hint="eastAsia" w:ascii="仿宋" w:hAnsi="仿宋" w:eastAsia="仿宋"/>
          <w:b w:val="0"/>
          <w:bCs/>
          <w:sz w:val="32"/>
          <w:szCs w:val="32"/>
          <w:lang w:val="en-US" w:eastAsia="zh-CN"/>
        </w:rPr>
        <w:t>86.05</w:t>
      </w:r>
      <w:r>
        <w:rPr>
          <w:rStyle w:val="17"/>
          <w:rFonts w:hint="eastAsia" w:ascii="仿宋" w:hAnsi="仿宋" w:eastAsia="仿宋"/>
          <w:b w:val="0"/>
          <w:bCs/>
          <w:sz w:val="32"/>
          <w:szCs w:val="32"/>
        </w:rPr>
        <w:t>万元，完成预算100</w:t>
      </w:r>
      <w:r>
        <w:rPr>
          <w:rStyle w:val="17"/>
          <w:rFonts w:ascii="仿宋" w:hAnsi="仿宋" w:eastAsia="仿宋"/>
          <w:b w:val="0"/>
          <w:bCs/>
          <w:sz w:val="32"/>
          <w:szCs w:val="32"/>
        </w:rPr>
        <w:t>%</w:t>
      </w:r>
      <w:r>
        <w:rPr>
          <w:rStyle w:val="17"/>
          <w:rFonts w:hint="eastAsia" w:ascii="仿宋" w:hAnsi="仿宋" w:eastAsia="仿宋"/>
          <w:b w:val="0"/>
          <w:bCs/>
          <w:sz w:val="32"/>
          <w:szCs w:val="32"/>
        </w:rPr>
        <w:t>，决算数等于预算数。</w:t>
      </w:r>
    </w:p>
    <w:p w14:paraId="1B042BC9">
      <w:pPr>
        <w:pStyle w:val="2"/>
        <w:keepNext w:val="0"/>
        <w:keepLines w:val="0"/>
        <w:pageBreakBefore w:val="0"/>
        <w:widowControl w:val="0"/>
        <w:kinsoku/>
        <w:wordWrap/>
        <w:overflowPunct/>
        <w:topLinePunct w:val="0"/>
        <w:autoSpaceDE/>
        <w:autoSpaceDN/>
        <w:bidi w:val="0"/>
        <w:adjustRightInd/>
        <w:snapToGrid w:val="0"/>
        <w:spacing w:line="600" w:lineRule="exact"/>
        <w:ind w:firstLine="643" w:firstLineChars="200"/>
        <w:textAlignment w:val="auto"/>
        <w:rPr>
          <w:rStyle w:val="17"/>
          <w:rFonts w:hint="eastAsia" w:ascii="仿宋" w:hAnsi="仿宋" w:eastAsia="仿宋"/>
          <w:b w:val="0"/>
          <w:bCs/>
          <w:sz w:val="32"/>
          <w:szCs w:val="32"/>
        </w:rPr>
      </w:pPr>
      <w:r>
        <w:rPr>
          <w:rStyle w:val="17"/>
          <w:rFonts w:hint="eastAsia" w:ascii="仿宋" w:hAnsi="仿宋" w:eastAsia="仿宋"/>
          <w:bCs/>
          <w:sz w:val="32"/>
          <w:szCs w:val="32"/>
          <w:lang w:val="en-US" w:eastAsia="zh-CN"/>
        </w:rPr>
        <w:t>8.</w:t>
      </w:r>
      <w:r>
        <w:rPr>
          <w:rStyle w:val="17"/>
          <w:rFonts w:hint="eastAsia" w:ascii="仿宋" w:hAnsi="仿宋" w:eastAsia="仿宋"/>
          <w:bCs/>
          <w:sz w:val="32"/>
          <w:szCs w:val="32"/>
        </w:rPr>
        <w:t>社会保障和就业支出（类）行政事业单位养老支出（款）</w:t>
      </w:r>
      <w:r>
        <w:rPr>
          <w:rStyle w:val="17"/>
          <w:rFonts w:hint="eastAsia" w:ascii="仿宋" w:hAnsi="仿宋" w:eastAsia="仿宋"/>
          <w:bCs/>
          <w:sz w:val="32"/>
          <w:szCs w:val="32"/>
          <w:lang w:eastAsia="zh-CN"/>
        </w:rPr>
        <w:t>机关事业单位基本养老保险缴费支出</w:t>
      </w:r>
      <w:r>
        <w:rPr>
          <w:rStyle w:val="17"/>
          <w:rFonts w:hint="eastAsia" w:ascii="仿宋" w:hAnsi="仿宋" w:eastAsia="仿宋"/>
          <w:bCs/>
          <w:sz w:val="32"/>
          <w:szCs w:val="32"/>
        </w:rPr>
        <w:t>（项）</w:t>
      </w:r>
      <w:r>
        <w:rPr>
          <w:rStyle w:val="17"/>
          <w:rFonts w:ascii="仿宋" w:hAnsi="仿宋" w:eastAsia="仿宋"/>
          <w:bCs/>
          <w:sz w:val="32"/>
          <w:szCs w:val="32"/>
        </w:rPr>
        <w:t>:</w:t>
      </w:r>
      <w:r>
        <w:rPr>
          <w:rStyle w:val="17"/>
          <w:rFonts w:hint="eastAsia" w:ascii="仿宋" w:hAnsi="仿宋" w:eastAsia="仿宋"/>
          <w:b w:val="0"/>
          <w:bCs/>
          <w:sz w:val="32"/>
          <w:szCs w:val="32"/>
        </w:rPr>
        <w:t>支出决算为</w:t>
      </w:r>
      <w:r>
        <w:rPr>
          <w:rStyle w:val="17"/>
          <w:rFonts w:hint="eastAsia" w:ascii="仿宋" w:hAnsi="仿宋" w:eastAsia="仿宋"/>
          <w:b w:val="0"/>
          <w:bCs/>
          <w:sz w:val="32"/>
          <w:szCs w:val="32"/>
          <w:lang w:val="en-US" w:eastAsia="zh-CN"/>
        </w:rPr>
        <w:t>979.85</w:t>
      </w:r>
      <w:r>
        <w:rPr>
          <w:rStyle w:val="17"/>
          <w:rFonts w:hint="eastAsia" w:ascii="仿宋" w:hAnsi="仿宋" w:eastAsia="仿宋"/>
          <w:b w:val="0"/>
          <w:bCs/>
          <w:sz w:val="32"/>
          <w:szCs w:val="32"/>
        </w:rPr>
        <w:t>万元，完成预算100</w:t>
      </w:r>
      <w:r>
        <w:rPr>
          <w:rStyle w:val="17"/>
          <w:rFonts w:ascii="仿宋" w:hAnsi="仿宋" w:eastAsia="仿宋"/>
          <w:b w:val="0"/>
          <w:bCs/>
          <w:sz w:val="32"/>
          <w:szCs w:val="32"/>
        </w:rPr>
        <w:t>%</w:t>
      </w:r>
      <w:r>
        <w:rPr>
          <w:rStyle w:val="17"/>
          <w:rFonts w:hint="eastAsia" w:ascii="仿宋" w:hAnsi="仿宋" w:eastAsia="仿宋"/>
          <w:b w:val="0"/>
          <w:bCs/>
          <w:sz w:val="32"/>
          <w:szCs w:val="32"/>
        </w:rPr>
        <w:t>，决算数等于预算数。</w:t>
      </w:r>
    </w:p>
    <w:p w14:paraId="161A8362">
      <w:pPr>
        <w:spacing w:line="600" w:lineRule="exact"/>
        <w:ind w:firstLine="643" w:firstLineChars="200"/>
        <w:rPr>
          <w:rStyle w:val="17"/>
          <w:rFonts w:hint="eastAsia" w:ascii="仿宋" w:hAnsi="仿宋" w:eastAsia="仿宋"/>
          <w:b w:val="0"/>
          <w:bCs/>
          <w:sz w:val="32"/>
          <w:szCs w:val="32"/>
        </w:rPr>
      </w:pPr>
      <w:r>
        <w:rPr>
          <w:rStyle w:val="17"/>
          <w:rFonts w:hint="eastAsia" w:ascii="仿宋" w:hAnsi="仿宋" w:eastAsia="仿宋"/>
          <w:bCs/>
          <w:sz w:val="32"/>
          <w:szCs w:val="32"/>
          <w:lang w:val="en-US" w:eastAsia="zh-CN"/>
        </w:rPr>
        <w:t>9.</w:t>
      </w:r>
      <w:r>
        <w:rPr>
          <w:rStyle w:val="17"/>
          <w:rFonts w:hint="eastAsia" w:ascii="仿宋" w:hAnsi="仿宋" w:eastAsia="仿宋"/>
          <w:bCs/>
          <w:sz w:val="32"/>
          <w:szCs w:val="32"/>
        </w:rPr>
        <w:t>社会保障和就业支出（类）行政事业单位养老支出（款）机关事业单位职业年金缴费支出（项）</w:t>
      </w:r>
      <w:r>
        <w:rPr>
          <w:rStyle w:val="17"/>
          <w:rFonts w:ascii="仿宋" w:hAnsi="仿宋" w:eastAsia="仿宋"/>
          <w:bCs/>
          <w:sz w:val="32"/>
          <w:szCs w:val="32"/>
        </w:rPr>
        <w:t>:</w:t>
      </w:r>
      <w:r>
        <w:rPr>
          <w:rStyle w:val="17"/>
          <w:rFonts w:hint="eastAsia" w:ascii="仿宋" w:hAnsi="仿宋" w:eastAsia="仿宋"/>
          <w:b w:val="0"/>
          <w:bCs/>
          <w:sz w:val="32"/>
          <w:szCs w:val="32"/>
        </w:rPr>
        <w:t>支出决算为</w:t>
      </w:r>
      <w:r>
        <w:rPr>
          <w:rStyle w:val="17"/>
          <w:rFonts w:hint="eastAsia" w:ascii="仿宋" w:hAnsi="仿宋" w:eastAsia="仿宋"/>
          <w:b w:val="0"/>
          <w:bCs/>
          <w:sz w:val="32"/>
          <w:szCs w:val="32"/>
          <w:lang w:val="en-US" w:eastAsia="zh-CN"/>
        </w:rPr>
        <w:t>218.06</w:t>
      </w:r>
      <w:r>
        <w:rPr>
          <w:rStyle w:val="17"/>
          <w:rFonts w:hint="eastAsia" w:ascii="仿宋" w:hAnsi="仿宋" w:eastAsia="仿宋"/>
          <w:b w:val="0"/>
          <w:bCs/>
          <w:sz w:val="32"/>
          <w:szCs w:val="32"/>
        </w:rPr>
        <w:t>万元，完成预算100</w:t>
      </w:r>
      <w:r>
        <w:rPr>
          <w:rStyle w:val="17"/>
          <w:rFonts w:ascii="仿宋" w:hAnsi="仿宋" w:eastAsia="仿宋"/>
          <w:b w:val="0"/>
          <w:bCs/>
          <w:sz w:val="32"/>
          <w:szCs w:val="32"/>
        </w:rPr>
        <w:t>%</w:t>
      </w:r>
      <w:r>
        <w:rPr>
          <w:rStyle w:val="17"/>
          <w:rFonts w:hint="eastAsia" w:ascii="仿宋" w:hAnsi="仿宋" w:eastAsia="仿宋"/>
          <w:b w:val="0"/>
          <w:bCs/>
          <w:sz w:val="32"/>
          <w:szCs w:val="32"/>
        </w:rPr>
        <w:t>，决算数等于预算数。</w:t>
      </w:r>
    </w:p>
    <w:p w14:paraId="270C3517">
      <w:pPr>
        <w:spacing w:line="600" w:lineRule="exact"/>
        <w:ind w:firstLine="643" w:firstLineChars="200"/>
        <w:rPr>
          <w:rStyle w:val="17"/>
          <w:rFonts w:hint="eastAsia" w:ascii="仿宋" w:hAnsi="仿宋" w:eastAsia="仿宋"/>
          <w:b w:val="0"/>
          <w:bCs/>
          <w:sz w:val="32"/>
          <w:szCs w:val="32"/>
        </w:rPr>
      </w:pPr>
      <w:r>
        <w:rPr>
          <w:rStyle w:val="17"/>
          <w:rFonts w:hint="eastAsia" w:ascii="仿宋" w:hAnsi="仿宋" w:eastAsia="仿宋"/>
          <w:bCs/>
          <w:sz w:val="32"/>
          <w:szCs w:val="32"/>
          <w:lang w:val="en-US" w:eastAsia="zh-CN"/>
        </w:rPr>
        <w:t>10.</w:t>
      </w:r>
      <w:r>
        <w:rPr>
          <w:rStyle w:val="17"/>
          <w:rFonts w:hint="eastAsia" w:ascii="仿宋" w:hAnsi="仿宋" w:eastAsia="仿宋"/>
          <w:bCs/>
          <w:sz w:val="32"/>
          <w:szCs w:val="32"/>
        </w:rPr>
        <w:t>社会保障和就业支出（类）抚恤（款）死亡抚恤（项）</w:t>
      </w:r>
      <w:r>
        <w:rPr>
          <w:rStyle w:val="17"/>
          <w:rFonts w:ascii="仿宋" w:hAnsi="仿宋" w:eastAsia="仿宋"/>
          <w:bCs/>
          <w:sz w:val="32"/>
          <w:szCs w:val="32"/>
        </w:rPr>
        <w:t>:</w:t>
      </w:r>
      <w:r>
        <w:rPr>
          <w:rStyle w:val="17"/>
          <w:rFonts w:hint="eastAsia" w:ascii="仿宋" w:hAnsi="仿宋" w:eastAsia="仿宋"/>
          <w:b w:val="0"/>
          <w:bCs/>
          <w:sz w:val="32"/>
          <w:szCs w:val="32"/>
        </w:rPr>
        <w:t>支出决算为</w:t>
      </w:r>
      <w:r>
        <w:rPr>
          <w:rStyle w:val="17"/>
          <w:rFonts w:hint="eastAsia" w:ascii="仿宋" w:hAnsi="仿宋" w:eastAsia="仿宋"/>
          <w:b w:val="0"/>
          <w:bCs/>
          <w:sz w:val="32"/>
          <w:szCs w:val="32"/>
          <w:lang w:val="en-US" w:eastAsia="zh-CN"/>
        </w:rPr>
        <w:t>109.98</w:t>
      </w:r>
      <w:r>
        <w:rPr>
          <w:rStyle w:val="17"/>
          <w:rFonts w:hint="eastAsia" w:ascii="仿宋" w:hAnsi="仿宋" w:eastAsia="仿宋"/>
          <w:b w:val="0"/>
          <w:bCs/>
          <w:sz w:val="32"/>
          <w:szCs w:val="32"/>
        </w:rPr>
        <w:t>万元，完成预算100</w:t>
      </w:r>
      <w:r>
        <w:rPr>
          <w:rStyle w:val="17"/>
          <w:rFonts w:ascii="仿宋" w:hAnsi="仿宋" w:eastAsia="仿宋"/>
          <w:b w:val="0"/>
          <w:bCs/>
          <w:sz w:val="32"/>
          <w:szCs w:val="32"/>
        </w:rPr>
        <w:t>%</w:t>
      </w:r>
      <w:r>
        <w:rPr>
          <w:rStyle w:val="17"/>
          <w:rFonts w:hint="eastAsia" w:ascii="仿宋" w:hAnsi="仿宋" w:eastAsia="仿宋"/>
          <w:b w:val="0"/>
          <w:bCs/>
          <w:sz w:val="32"/>
          <w:szCs w:val="32"/>
        </w:rPr>
        <w:t>，决算数等于预算数。</w:t>
      </w:r>
    </w:p>
    <w:p w14:paraId="0D35980A">
      <w:pPr>
        <w:pStyle w:val="2"/>
        <w:keepNext w:val="0"/>
        <w:keepLines w:val="0"/>
        <w:pageBreakBefore w:val="0"/>
        <w:widowControl w:val="0"/>
        <w:kinsoku/>
        <w:wordWrap/>
        <w:overflowPunct/>
        <w:topLinePunct w:val="0"/>
        <w:autoSpaceDE/>
        <w:autoSpaceDN/>
        <w:bidi w:val="0"/>
        <w:adjustRightInd/>
        <w:snapToGrid w:val="0"/>
        <w:spacing w:line="600" w:lineRule="exact"/>
        <w:ind w:firstLine="643" w:firstLineChars="200"/>
        <w:textAlignment w:val="auto"/>
        <w:rPr>
          <w:rStyle w:val="17"/>
          <w:rFonts w:hint="eastAsia" w:ascii="仿宋" w:hAnsi="仿宋" w:eastAsia="仿宋"/>
          <w:b w:val="0"/>
          <w:bCs/>
          <w:sz w:val="32"/>
          <w:szCs w:val="32"/>
        </w:rPr>
      </w:pPr>
      <w:r>
        <w:rPr>
          <w:rFonts w:hint="eastAsia" w:ascii="仿宋" w:hAnsi="仿宋" w:eastAsia="仿宋"/>
          <w:b/>
          <w:bCs/>
          <w:sz w:val="32"/>
          <w:szCs w:val="32"/>
          <w:lang w:val="en-US" w:eastAsia="zh-CN"/>
        </w:rPr>
        <w:t>11.</w:t>
      </w:r>
      <w:r>
        <w:rPr>
          <w:rFonts w:hint="eastAsia" w:ascii="仿宋" w:hAnsi="仿宋" w:eastAsia="仿宋"/>
          <w:b/>
          <w:bCs/>
          <w:sz w:val="32"/>
          <w:szCs w:val="32"/>
        </w:rPr>
        <w:t>卫生健康支出</w:t>
      </w:r>
      <w:r>
        <w:rPr>
          <w:rStyle w:val="17"/>
          <w:rFonts w:hint="eastAsia" w:ascii="仿宋" w:hAnsi="仿宋" w:eastAsia="仿宋"/>
          <w:bCs/>
          <w:sz w:val="32"/>
          <w:szCs w:val="32"/>
        </w:rPr>
        <w:t>（类）</w:t>
      </w:r>
      <w:r>
        <w:rPr>
          <w:rStyle w:val="17"/>
          <w:rFonts w:hint="eastAsia" w:ascii="仿宋" w:hAnsi="仿宋" w:eastAsia="仿宋"/>
          <w:bCs/>
          <w:sz w:val="32"/>
          <w:szCs w:val="32"/>
          <w:lang w:eastAsia="zh-CN"/>
        </w:rPr>
        <w:t>公共卫生</w:t>
      </w:r>
      <w:r>
        <w:rPr>
          <w:rStyle w:val="17"/>
          <w:rFonts w:hint="eastAsia" w:ascii="仿宋" w:hAnsi="仿宋" w:eastAsia="仿宋"/>
          <w:bCs/>
          <w:sz w:val="32"/>
          <w:szCs w:val="32"/>
        </w:rPr>
        <w:t>（款）</w:t>
      </w:r>
      <w:r>
        <w:rPr>
          <w:rStyle w:val="17"/>
          <w:rFonts w:hint="eastAsia" w:ascii="仿宋" w:hAnsi="仿宋" w:eastAsia="仿宋"/>
          <w:bCs/>
          <w:sz w:val="32"/>
          <w:szCs w:val="32"/>
          <w:lang w:eastAsia="zh-CN"/>
        </w:rPr>
        <w:t>重大公共卫生服务</w:t>
      </w:r>
      <w:r>
        <w:rPr>
          <w:rStyle w:val="17"/>
          <w:rFonts w:hint="eastAsia" w:ascii="仿宋" w:hAnsi="仿宋" w:eastAsia="仿宋"/>
          <w:bCs/>
          <w:sz w:val="32"/>
          <w:szCs w:val="32"/>
        </w:rPr>
        <w:t>（项）</w:t>
      </w:r>
      <w:r>
        <w:rPr>
          <w:rStyle w:val="17"/>
          <w:rFonts w:ascii="仿宋" w:hAnsi="仿宋" w:eastAsia="仿宋"/>
          <w:bCs/>
          <w:sz w:val="32"/>
          <w:szCs w:val="32"/>
        </w:rPr>
        <w:t>:</w:t>
      </w:r>
      <w:r>
        <w:rPr>
          <w:rStyle w:val="17"/>
          <w:rFonts w:hint="eastAsia" w:ascii="仿宋" w:hAnsi="仿宋" w:eastAsia="仿宋"/>
          <w:b w:val="0"/>
          <w:bCs/>
          <w:sz w:val="32"/>
          <w:szCs w:val="32"/>
        </w:rPr>
        <w:t>支出决算为</w:t>
      </w:r>
      <w:r>
        <w:rPr>
          <w:rStyle w:val="17"/>
          <w:rFonts w:hint="eastAsia" w:ascii="仿宋" w:hAnsi="仿宋" w:eastAsia="仿宋"/>
          <w:b w:val="0"/>
          <w:bCs/>
          <w:sz w:val="32"/>
          <w:szCs w:val="32"/>
          <w:lang w:val="en-US" w:eastAsia="zh-CN"/>
        </w:rPr>
        <w:t>0.3</w:t>
      </w:r>
      <w:r>
        <w:rPr>
          <w:rStyle w:val="17"/>
          <w:rFonts w:hint="eastAsia" w:ascii="仿宋" w:hAnsi="仿宋" w:eastAsia="仿宋"/>
          <w:b w:val="0"/>
          <w:bCs/>
          <w:sz w:val="32"/>
          <w:szCs w:val="32"/>
        </w:rPr>
        <w:t>万元，完成预算100</w:t>
      </w:r>
      <w:r>
        <w:rPr>
          <w:rStyle w:val="17"/>
          <w:rFonts w:ascii="仿宋" w:hAnsi="仿宋" w:eastAsia="仿宋"/>
          <w:b w:val="0"/>
          <w:bCs/>
          <w:sz w:val="32"/>
          <w:szCs w:val="32"/>
        </w:rPr>
        <w:t>%</w:t>
      </w:r>
      <w:r>
        <w:rPr>
          <w:rStyle w:val="17"/>
          <w:rFonts w:hint="eastAsia" w:ascii="仿宋" w:hAnsi="仿宋" w:eastAsia="仿宋"/>
          <w:b w:val="0"/>
          <w:bCs/>
          <w:sz w:val="32"/>
          <w:szCs w:val="32"/>
        </w:rPr>
        <w:t>，决算数等于预算数。</w:t>
      </w:r>
    </w:p>
    <w:p w14:paraId="533AC788">
      <w:pPr>
        <w:pStyle w:val="3"/>
        <w:ind w:left="0" w:leftChars="0" w:firstLine="643" w:firstLineChars="200"/>
        <w:rPr>
          <w:rStyle w:val="17"/>
          <w:rFonts w:hint="eastAsia" w:ascii="仿宋" w:hAnsi="仿宋" w:eastAsia="仿宋"/>
          <w:b w:val="0"/>
          <w:bCs/>
          <w:sz w:val="32"/>
          <w:szCs w:val="32"/>
        </w:rPr>
      </w:pPr>
      <w:r>
        <w:rPr>
          <w:rFonts w:hint="eastAsia" w:ascii="仿宋" w:hAnsi="仿宋" w:eastAsia="仿宋"/>
          <w:b/>
          <w:bCs/>
          <w:sz w:val="32"/>
          <w:szCs w:val="32"/>
          <w:lang w:val="en-US" w:eastAsia="zh-CN"/>
        </w:rPr>
        <w:t>12.</w:t>
      </w:r>
      <w:r>
        <w:rPr>
          <w:rFonts w:hint="eastAsia" w:ascii="仿宋" w:hAnsi="仿宋" w:eastAsia="仿宋"/>
          <w:b/>
          <w:bCs/>
          <w:sz w:val="32"/>
          <w:szCs w:val="32"/>
        </w:rPr>
        <w:t>卫生健康支出</w:t>
      </w:r>
      <w:r>
        <w:rPr>
          <w:rStyle w:val="17"/>
          <w:rFonts w:hint="eastAsia" w:ascii="仿宋" w:hAnsi="仿宋" w:eastAsia="仿宋"/>
          <w:bCs/>
          <w:sz w:val="32"/>
          <w:szCs w:val="32"/>
        </w:rPr>
        <w:t>（类）行政事业单位医疗（款）行政单位医疗（项）</w:t>
      </w:r>
      <w:r>
        <w:rPr>
          <w:rStyle w:val="17"/>
          <w:rFonts w:ascii="仿宋" w:hAnsi="仿宋" w:eastAsia="仿宋"/>
          <w:bCs/>
          <w:sz w:val="32"/>
          <w:szCs w:val="32"/>
        </w:rPr>
        <w:t>:</w:t>
      </w:r>
      <w:r>
        <w:rPr>
          <w:rStyle w:val="17"/>
          <w:rFonts w:hint="eastAsia" w:ascii="仿宋" w:hAnsi="仿宋" w:eastAsia="仿宋"/>
          <w:b w:val="0"/>
          <w:bCs/>
          <w:sz w:val="32"/>
          <w:szCs w:val="32"/>
        </w:rPr>
        <w:t>支出决算为</w:t>
      </w:r>
      <w:r>
        <w:rPr>
          <w:rStyle w:val="17"/>
          <w:rFonts w:hint="eastAsia" w:ascii="仿宋" w:hAnsi="仿宋" w:eastAsia="仿宋"/>
          <w:b w:val="0"/>
          <w:bCs/>
          <w:sz w:val="32"/>
          <w:szCs w:val="32"/>
          <w:lang w:val="en-US" w:eastAsia="zh-CN"/>
        </w:rPr>
        <w:t>534.41</w:t>
      </w:r>
      <w:r>
        <w:rPr>
          <w:rStyle w:val="17"/>
          <w:rFonts w:hint="eastAsia" w:ascii="仿宋" w:hAnsi="仿宋" w:eastAsia="仿宋"/>
          <w:b w:val="0"/>
          <w:bCs/>
          <w:sz w:val="32"/>
          <w:szCs w:val="32"/>
        </w:rPr>
        <w:t>万元，完成预算100</w:t>
      </w:r>
      <w:r>
        <w:rPr>
          <w:rStyle w:val="17"/>
          <w:rFonts w:ascii="仿宋" w:hAnsi="仿宋" w:eastAsia="仿宋"/>
          <w:b w:val="0"/>
          <w:bCs/>
          <w:sz w:val="32"/>
          <w:szCs w:val="32"/>
        </w:rPr>
        <w:t>%</w:t>
      </w:r>
      <w:r>
        <w:rPr>
          <w:rStyle w:val="17"/>
          <w:rFonts w:hint="eastAsia" w:ascii="仿宋" w:hAnsi="仿宋" w:eastAsia="仿宋"/>
          <w:b w:val="0"/>
          <w:bCs/>
          <w:sz w:val="32"/>
          <w:szCs w:val="32"/>
        </w:rPr>
        <w:t>，决算数等于预算数。</w:t>
      </w:r>
    </w:p>
    <w:p w14:paraId="080AD2CC">
      <w:pPr>
        <w:spacing w:line="600" w:lineRule="exact"/>
        <w:ind w:firstLine="643" w:firstLineChars="200"/>
        <w:rPr>
          <w:rStyle w:val="17"/>
          <w:rFonts w:hint="eastAsia" w:ascii="仿宋" w:hAnsi="仿宋" w:eastAsia="仿宋"/>
          <w:b w:val="0"/>
          <w:bCs/>
          <w:sz w:val="32"/>
          <w:szCs w:val="32"/>
        </w:rPr>
      </w:pPr>
      <w:r>
        <w:rPr>
          <w:rFonts w:hint="eastAsia" w:ascii="仿宋" w:hAnsi="仿宋" w:eastAsia="仿宋"/>
          <w:b/>
          <w:bCs/>
          <w:sz w:val="32"/>
          <w:szCs w:val="32"/>
          <w:lang w:val="en-US" w:eastAsia="zh-CN"/>
        </w:rPr>
        <w:t>13.</w:t>
      </w:r>
      <w:r>
        <w:rPr>
          <w:rFonts w:hint="eastAsia" w:ascii="仿宋" w:hAnsi="仿宋" w:eastAsia="仿宋"/>
          <w:b/>
          <w:bCs/>
          <w:sz w:val="32"/>
          <w:szCs w:val="32"/>
        </w:rPr>
        <w:t>卫生健康支出</w:t>
      </w:r>
      <w:r>
        <w:rPr>
          <w:rStyle w:val="17"/>
          <w:rFonts w:hint="eastAsia" w:ascii="仿宋" w:hAnsi="仿宋" w:eastAsia="仿宋"/>
          <w:bCs/>
          <w:sz w:val="32"/>
          <w:szCs w:val="32"/>
        </w:rPr>
        <w:t>（类）行政事业单位医疗（款）公务员医疗补助（项）</w:t>
      </w:r>
      <w:r>
        <w:rPr>
          <w:rStyle w:val="17"/>
          <w:rFonts w:ascii="仿宋" w:hAnsi="仿宋" w:eastAsia="仿宋"/>
          <w:bCs/>
          <w:sz w:val="32"/>
          <w:szCs w:val="32"/>
        </w:rPr>
        <w:t>:</w:t>
      </w:r>
      <w:r>
        <w:rPr>
          <w:rStyle w:val="17"/>
          <w:rFonts w:hint="eastAsia" w:ascii="仿宋" w:hAnsi="仿宋" w:eastAsia="仿宋"/>
          <w:b w:val="0"/>
          <w:bCs/>
          <w:sz w:val="32"/>
          <w:szCs w:val="32"/>
        </w:rPr>
        <w:t>支出决算为</w:t>
      </w:r>
      <w:r>
        <w:rPr>
          <w:rStyle w:val="17"/>
          <w:rFonts w:hint="eastAsia" w:ascii="仿宋" w:hAnsi="仿宋" w:eastAsia="仿宋"/>
          <w:b w:val="0"/>
          <w:bCs/>
          <w:sz w:val="32"/>
          <w:szCs w:val="32"/>
          <w:lang w:val="en-US" w:eastAsia="zh-CN"/>
        </w:rPr>
        <w:t>52.81</w:t>
      </w:r>
      <w:r>
        <w:rPr>
          <w:rStyle w:val="17"/>
          <w:rFonts w:hint="eastAsia" w:ascii="仿宋" w:hAnsi="仿宋" w:eastAsia="仿宋"/>
          <w:b w:val="0"/>
          <w:bCs/>
          <w:sz w:val="32"/>
          <w:szCs w:val="32"/>
        </w:rPr>
        <w:t>万元，完成预算100</w:t>
      </w:r>
      <w:r>
        <w:rPr>
          <w:rStyle w:val="17"/>
          <w:rFonts w:ascii="仿宋" w:hAnsi="仿宋" w:eastAsia="仿宋"/>
          <w:b w:val="0"/>
          <w:bCs/>
          <w:sz w:val="32"/>
          <w:szCs w:val="32"/>
        </w:rPr>
        <w:t>%</w:t>
      </w:r>
      <w:r>
        <w:rPr>
          <w:rStyle w:val="17"/>
          <w:rFonts w:hint="eastAsia" w:ascii="仿宋" w:hAnsi="仿宋" w:eastAsia="仿宋"/>
          <w:b w:val="0"/>
          <w:bCs/>
          <w:sz w:val="32"/>
          <w:szCs w:val="32"/>
        </w:rPr>
        <w:t>，决算数等于预算数。</w:t>
      </w:r>
    </w:p>
    <w:p w14:paraId="5A81278D">
      <w:pPr>
        <w:spacing w:line="600" w:lineRule="exact"/>
        <w:ind w:firstLine="643" w:firstLineChars="200"/>
        <w:rPr>
          <w:rFonts w:eastAsia="仿宋_GB2312" w:cs="仿宋_GB2312"/>
          <w:sz w:val="32"/>
          <w:szCs w:val="32"/>
        </w:rPr>
      </w:pPr>
      <w:r>
        <w:rPr>
          <w:rFonts w:hint="eastAsia" w:ascii="仿宋" w:hAnsi="仿宋" w:eastAsia="仿宋"/>
          <w:b/>
          <w:bCs/>
          <w:sz w:val="32"/>
          <w:szCs w:val="32"/>
          <w:lang w:val="en-US" w:eastAsia="zh-CN"/>
        </w:rPr>
        <w:t>14.</w:t>
      </w:r>
      <w:r>
        <w:rPr>
          <w:rFonts w:hint="eastAsia" w:ascii="仿宋" w:hAnsi="仿宋" w:eastAsia="仿宋"/>
          <w:b/>
          <w:bCs/>
          <w:sz w:val="32"/>
          <w:szCs w:val="32"/>
        </w:rPr>
        <w:t>住房保障支出</w:t>
      </w:r>
      <w:r>
        <w:rPr>
          <w:rStyle w:val="17"/>
          <w:rFonts w:hint="eastAsia" w:ascii="仿宋" w:hAnsi="仿宋" w:eastAsia="仿宋"/>
          <w:bCs/>
          <w:sz w:val="32"/>
          <w:szCs w:val="32"/>
        </w:rPr>
        <w:t>（类）住房改革支出（款）住房公积金（项）</w:t>
      </w:r>
      <w:r>
        <w:rPr>
          <w:rStyle w:val="17"/>
          <w:rFonts w:ascii="仿宋" w:hAnsi="仿宋" w:eastAsia="仿宋"/>
          <w:bCs/>
          <w:sz w:val="32"/>
          <w:szCs w:val="32"/>
        </w:rPr>
        <w:t>:</w:t>
      </w:r>
      <w:r>
        <w:rPr>
          <w:rStyle w:val="17"/>
          <w:rFonts w:hint="eastAsia" w:ascii="仿宋" w:hAnsi="仿宋" w:eastAsia="仿宋"/>
          <w:b w:val="0"/>
          <w:bCs/>
          <w:sz w:val="32"/>
          <w:szCs w:val="32"/>
        </w:rPr>
        <w:t>支出决算为</w:t>
      </w:r>
      <w:r>
        <w:rPr>
          <w:rStyle w:val="17"/>
          <w:rFonts w:hint="eastAsia" w:ascii="仿宋" w:hAnsi="仿宋" w:eastAsia="仿宋"/>
          <w:b w:val="0"/>
          <w:bCs/>
          <w:sz w:val="32"/>
          <w:szCs w:val="32"/>
          <w:lang w:val="en-US" w:eastAsia="zh-CN"/>
        </w:rPr>
        <w:t>916.52</w:t>
      </w:r>
      <w:r>
        <w:rPr>
          <w:rStyle w:val="17"/>
          <w:rFonts w:hint="eastAsia" w:ascii="仿宋" w:hAnsi="仿宋" w:eastAsia="仿宋"/>
          <w:b w:val="0"/>
          <w:bCs/>
          <w:sz w:val="32"/>
          <w:szCs w:val="32"/>
        </w:rPr>
        <w:t>万元，完成预算100</w:t>
      </w:r>
      <w:r>
        <w:rPr>
          <w:rStyle w:val="17"/>
          <w:rFonts w:ascii="仿宋" w:hAnsi="仿宋" w:eastAsia="仿宋"/>
          <w:b w:val="0"/>
          <w:bCs/>
          <w:sz w:val="32"/>
          <w:szCs w:val="32"/>
        </w:rPr>
        <w:t>%</w:t>
      </w:r>
      <w:r>
        <w:rPr>
          <w:rStyle w:val="17"/>
          <w:rFonts w:hint="eastAsia" w:ascii="仿宋" w:hAnsi="仿宋" w:eastAsia="仿宋"/>
          <w:b w:val="0"/>
          <w:bCs/>
          <w:sz w:val="32"/>
          <w:szCs w:val="32"/>
        </w:rPr>
        <w:t>，决算数等于预算数。</w:t>
      </w:r>
    </w:p>
    <w:p w14:paraId="44FF87E8">
      <w:pPr>
        <w:pStyle w:val="2"/>
        <w:rPr>
          <w:rFonts w:hint="eastAsia"/>
        </w:rPr>
      </w:pPr>
    </w:p>
    <w:p w14:paraId="154AC522">
      <w:pPr>
        <w:pStyle w:val="2"/>
        <w:rPr>
          <w:rFonts w:hint="eastAsia"/>
        </w:rPr>
      </w:pPr>
    </w:p>
    <w:p w14:paraId="50429702">
      <w:pPr>
        <w:rPr>
          <w:rFonts w:hint="eastAsia"/>
        </w:rPr>
      </w:pPr>
    </w:p>
    <w:p w14:paraId="4E1AF036"/>
    <w:p w14:paraId="367C49FC">
      <w:pPr>
        <w:pStyle w:val="38"/>
      </w:pPr>
    </w:p>
    <w:p w14:paraId="55FEF27A">
      <w:pPr>
        <w:tabs>
          <w:tab w:val="right" w:pos="8306"/>
        </w:tabs>
        <w:spacing w:line="600" w:lineRule="exact"/>
        <w:ind w:firstLine="640"/>
        <w:outlineLvl w:val="1"/>
        <w:rPr>
          <w:rStyle w:val="37"/>
          <w:rFonts w:ascii="Times New Roman" w:hAnsi="Times New Roman"/>
        </w:rPr>
      </w:pPr>
      <w:r>
        <w:rPr>
          <w:rFonts w:hint="eastAsia" w:eastAsia="黑体"/>
          <w:sz w:val="32"/>
          <w:szCs w:val="32"/>
        </w:rPr>
        <w:t>六</w:t>
      </w:r>
      <w:r>
        <w:rPr>
          <w:rFonts w:hint="eastAsia" w:eastAsia="黑体"/>
          <w:b/>
          <w:sz w:val="32"/>
          <w:szCs w:val="32"/>
        </w:rPr>
        <w:t>、一</w:t>
      </w:r>
      <w:r>
        <w:rPr>
          <w:rStyle w:val="37"/>
          <w:rFonts w:hint="eastAsia" w:ascii="Times New Roman" w:hAnsi="Times New Roman" w:eastAsia="黑体"/>
          <w:b w:val="0"/>
        </w:rPr>
        <w:t>般公共预算财政拨款基本支出决算情况说明</w:t>
      </w:r>
      <w:r>
        <w:rPr>
          <w:rStyle w:val="37"/>
          <w:rFonts w:ascii="Times New Roman" w:hAnsi="Times New Roman" w:eastAsia="黑体"/>
          <w:b w:val="0"/>
        </w:rPr>
        <w:tab/>
      </w:r>
    </w:p>
    <w:p w14:paraId="2408CEA0">
      <w:pPr>
        <w:spacing w:line="600" w:lineRule="exact"/>
        <w:ind w:firstLine="640"/>
        <w:rPr>
          <w:rFonts w:eastAsia="仿宋_GB2312" w:cs="仿宋_GB2312"/>
          <w:sz w:val="32"/>
          <w:szCs w:val="32"/>
        </w:rPr>
      </w:pPr>
      <w:r>
        <w:rPr>
          <w:rFonts w:hint="eastAsia" w:eastAsia="仿宋_GB2312" w:cs="仿宋_GB2312"/>
          <w:sz w:val="32"/>
          <w:szCs w:val="32"/>
        </w:rPr>
        <w:t>2025年度一般公共预算财政拨款基本支出</w:t>
      </w:r>
      <w:r>
        <w:rPr>
          <w:rFonts w:hint="eastAsia" w:eastAsia="仿宋_GB2312" w:cs="仿宋_GB2312"/>
          <w:sz w:val="32"/>
          <w:szCs w:val="32"/>
          <w:lang w:val="en-US" w:eastAsia="zh-CN"/>
        </w:rPr>
        <w:t>14315.89</w:t>
      </w:r>
      <w:r>
        <w:rPr>
          <w:rFonts w:hint="eastAsia" w:eastAsia="仿宋_GB2312" w:cs="仿宋_GB2312"/>
          <w:sz w:val="32"/>
          <w:szCs w:val="32"/>
        </w:rPr>
        <w:t>万元，其中：</w:t>
      </w:r>
    </w:p>
    <w:p w14:paraId="359783AB">
      <w:pPr>
        <w:ind w:right="105" w:rightChars="50" w:firstLine="640" w:firstLineChars="200"/>
        <w:rPr>
          <w:rFonts w:hint="eastAsia" w:eastAsia="仿宋_GB2312" w:cs="仿宋_GB2312"/>
          <w:sz w:val="32"/>
          <w:szCs w:val="32"/>
        </w:rPr>
      </w:pPr>
      <w:r>
        <w:rPr>
          <w:rFonts w:hint="eastAsia" w:eastAsia="仿宋_GB2312" w:cs="仿宋_GB2312"/>
          <w:sz w:val="32"/>
          <w:szCs w:val="32"/>
        </w:rPr>
        <w:t>人员经费</w:t>
      </w:r>
      <w:r>
        <w:rPr>
          <w:rFonts w:hint="eastAsia" w:eastAsia="仿宋_GB2312" w:cs="仿宋_GB2312"/>
          <w:sz w:val="32"/>
          <w:szCs w:val="32"/>
          <w:lang w:val="en-US" w:eastAsia="zh-CN"/>
        </w:rPr>
        <w:t>13355.17</w:t>
      </w:r>
      <w:r>
        <w:rPr>
          <w:rFonts w:hint="eastAsia" w:eastAsia="仿宋_GB2312" w:cs="仿宋_GB2312"/>
          <w:sz w:val="32"/>
          <w:szCs w:val="32"/>
        </w:rPr>
        <w:t>万元，主要包括：基本工资</w:t>
      </w:r>
      <w:r>
        <w:rPr>
          <w:rFonts w:hint="eastAsia" w:eastAsia="仿宋_GB2312" w:cs="仿宋_GB2312"/>
          <w:sz w:val="32"/>
          <w:szCs w:val="32"/>
          <w:lang w:val="en-US" w:eastAsia="zh-CN"/>
        </w:rPr>
        <w:t>2368.06万元</w:t>
      </w:r>
      <w:r>
        <w:rPr>
          <w:rFonts w:hint="eastAsia" w:eastAsia="仿宋_GB2312" w:cs="仿宋_GB2312"/>
          <w:sz w:val="32"/>
          <w:szCs w:val="32"/>
        </w:rPr>
        <w:t>、津贴补贴</w:t>
      </w:r>
      <w:r>
        <w:rPr>
          <w:rFonts w:hint="eastAsia" w:eastAsia="仿宋_GB2312" w:cs="仿宋_GB2312"/>
          <w:sz w:val="32"/>
          <w:szCs w:val="32"/>
          <w:lang w:val="en-US" w:eastAsia="zh-CN"/>
        </w:rPr>
        <w:t>2663.16万元</w:t>
      </w:r>
      <w:r>
        <w:rPr>
          <w:rFonts w:hint="eastAsia" w:eastAsia="仿宋_GB2312" w:cs="仿宋_GB2312"/>
          <w:sz w:val="32"/>
          <w:szCs w:val="32"/>
        </w:rPr>
        <w:t>、奖金</w:t>
      </w:r>
      <w:r>
        <w:rPr>
          <w:rFonts w:hint="eastAsia" w:eastAsia="仿宋_GB2312" w:cs="仿宋_GB2312"/>
          <w:sz w:val="32"/>
          <w:szCs w:val="32"/>
          <w:lang w:val="en-US" w:eastAsia="zh-CN"/>
        </w:rPr>
        <w:t>2488.41万元</w:t>
      </w:r>
      <w:r>
        <w:rPr>
          <w:rFonts w:hint="eastAsia" w:eastAsia="仿宋_GB2312" w:cs="仿宋_GB2312"/>
          <w:sz w:val="32"/>
          <w:szCs w:val="32"/>
        </w:rPr>
        <w:t>、机关事业单位基本养老保险缴费</w:t>
      </w:r>
      <w:r>
        <w:rPr>
          <w:rFonts w:hint="eastAsia" w:eastAsia="仿宋_GB2312" w:cs="仿宋_GB2312"/>
          <w:sz w:val="32"/>
          <w:szCs w:val="32"/>
          <w:lang w:val="en-US" w:eastAsia="zh-CN"/>
        </w:rPr>
        <w:t>979.85</w:t>
      </w:r>
      <w:r>
        <w:rPr>
          <w:rFonts w:hint="eastAsia" w:eastAsia="仿宋_GB2312" w:cs="仿宋_GB2312"/>
          <w:sz w:val="32"/>
          <w:szCs w:val="32"/>
        </w:rPr>
        <w:t>、职业年金缴费</w:t>
      </w:r>
      <w:r>
        <w:rPr>
          <w:rFonts w:hint="eastAsia" w:eastAsia="仿宋_GB2312" w:cs="仿宋_GB2312"/>
          <w:sz w:val="32"/>
          <w:szCs w:val="32"/>
          <w:lang w:val="en-US" w:eastAsia="zh-CN"/>
        </w:rPr>
        <w:t>218.06万元</w:t>
      </w:r>
      <w:r>
        <w:rPr>
          <w:rFonts w:hint="eastAsia" w:eastAsia="仿宋_GB2312" w:cs="仿宋_GB2312"/>
          <w:sz w:val="32"/>
          <w:szCs w:val="32"/>
        </w:rPr>
        <w:t>、</w:t>
      </w:r>
      <w:r>
        <w:rPr>
          <w:rFonts w:hint="eastAsia" w:eastAsia="仿宋_GB2312" w:cs="仿宋_GB2312"/>
          <w:sz w:val="32"/>
          <w:szCs w:val="32"/>
          <w:lang w:eastAsia="zh-CN"/>
        </w:rPr>
        <w:t>职工基本医疗保险缴费</w:t>
      </w:r>
      <w:r>
        <w:rPr>
          <w:rFonts w:hint="eastAsia" w:eastAsia="仿宋_GB2312" w:cs="仿宋_GB2312"/>
          <w:sz w:val="32"/>
          <w:szCs w:val="32"/>
          <w:lang w:val="en-US" w:eastAsia="zh-CN"/>
        </w:rPr>
        <w:t>534.41万元、</w:t>
      </w:r>
      <w:r>
        <w:rPr>
          <w:rFonts w:hint="eastAsia" w:eastAsia="仿宋_GB2312" w:cs="仿宋_GB2312"/>
          <w:sz w:val="32"/>
          <w:szCs w:val="32"/>
        </w:rPr>
        <w:t>其他社会保障缴费</w:t>
      </w:r>
      <w:r>
        <w:rPr>
          <w:rFonts w:hint="eastAsia" w:eastAsia="仿宋_GB2312" w:cs="仿宋_GB2312"/>
          <w:sz w:val="32"/>
          <w:szCs w:val="32"/>
          <w:lang w:val="en-US" w:eastAsia="zh-CN"/>
        </w:rPr>
        <w:t>14.11万元</w:t>
      </w:r>
      <w:r>
        <w:rPr>
          <w:rFonts w:hint="eastAsia" w:eastAsia="仿宋_GB2312" w:cs="仿宋_GB2312"/>
          <w:sz w:val="32"/>
          <w:szCs w:val="32"/>
        </w:rPr>
        <w:t>、其他工资福利支出</w:t>
      </w:r>
      <w:r>
        <w:rPr>
          <w:rFonts w:hint="eastAsia" w:eastAsia="仿宋_GB2312" w:cs="仿宋_GB2312"/>
          <w:sz w:val="32"/>
          <w:szCs w:val="32"/>
          <w:lang w:val="en-US" w:eastAsia="zh-CN"/>
        </w:rPr>
        <w:t>2001.87万元</w:t>
      </w:r>
      <w:r>
        <w:rPr>
          <w:rFonts w:hint="eastAsia" w:eastAsia="仿宋_GB2312" w:cs="仿宋_GB2312"/>
          <w:sz w:val="32"/>
          <w:szCs w:val="32"/>
        </w:rPr>
        <w:t>、抚恤金</w:t>
      </w:r>
      <w:r>
        <w:rPr>
          <w:rFonts w:hint="eastAsia" w:eastAsia="仿宋_GB2312" w:cs="仿宋_GB2312"/>
          <w:sz w:val="32"/>
          <w:szCs w:val="32"/>
          <w:lang w:val="en-US" w:eastAsia="zh-CN"/>
        </w:rPr>
        <w:t>109.97万元</w:t>
      </w:r>
      <w:r>
        <w:rPr>
          <w:rFonts w:hint="eastAsia" w:eastAsia="仿宋_GB2312" w:cs="仿宋_GB2312"/>
          <w:sz w:val="32"/>
          <w:szCs w:val="32"/>
        </w:rPr>
        <w:t>、生活补助</w:t>
      </w:r>
      <w:r>
        <w:rPr>
          <w:rFonts w:hint="eastAsia" w:eastAsia="仿宋_GB2312" w:cs="仿宋_GB2312"/>
          <w:sz w:val="32"/>
          <w:szCs w:val="32"/>
          <w:lang w:val="en-US" w:eastAsia="zh-CN"/>
        </w:rPr>
        <w:t>897.13万元</w:t>
      </w:r>
      <w:r>
        <w:rPr>
          <w:rFonts w:hint="eastAsia" w:eastAsia="仿宋_GB2312" w:cs="仿宋_GB2312"/>
          <w:sz w:val="32"/>
          <w:szCs w:val="32"/>
        </w:rPr>
        <w:t>、医疗费补助</w:t>
      </w:r>
      <w:r>
        <w:rPr>
          <w:rFonts w:hint="eastAsia" w:eastAsia="仿宋_GB2312" w:cs="仿宋_GB2312"/>
          <w:sz w:val="32"/>
          <w:szCs w:val="32"/>
          <w:lang w:val="en-US" w:eastAsia="zh-CN"/>
        </w:rPr>
        <w:t>36.62万元</w:t>
      </w:r>
      <w:r>
        <w:rPr>
          <w:rFonts w:hint="eastAsia" w:eastAsia="仿宋_GB2312" w:cs="仿宋_GB2312"/>
          <w:sz w:val="32"/>
          <w:szCs w:val="32"/>
        </w:rPr>
        <w:t>、</w:t>
      </w:r>
      <w:r>
        <w:rPr>
          <w:rFonts w:hint="eastAsia" w:eastAsia="仿宋_GB2312" w:cs="仿宋_GB2312"/>
          <w:sz w:val="32"/>
          <w:szCs w:val="32"/>
          <w:lang w:eastAsia="zh-CN"/>
        </w:rPr>
        <w:t>公务员医疗补助缴费</w:t>
      </w:r>
      <w:r>
        <w:rPr>
          <w:rFonts w:hint="eastAsia" w:eastAsia="仿宋_GB2312" w:cs="仿宋_GB2312"/>
          <w:sz w:val="32"/>
          <w:szCs w:val="32"/>
          <w:lang w:val="en-US" w:eastAsia="zh-CN"/>
        </w:rPr>
        <w:t>118.77万元、</w:t>
      </w:r>
      <w:r>
        <w:rPr>
          <w:rFonts w:hint="eastAsia" w:eastAsia="仿宋_GB2312" w:cs="仿宋_GB2312"/>
          <w:sz w:val="32"/>
          <w:szCs w:val="32"/>
        </w:rPr>
        <w:t>奖励金</w:t>
      </w:r>
      <w:r>
        <w:rPr>
          <w:rFonts w:hint="eastAsia" w:eastAsia="仿宋_GB2312" w:cs="仿宋_GB2312"/>
          <w:sz w:val="32"/>
          <w:szCs w:val="32"/>
          <w:lang w:val="en-US" w:eastAsia="zh-CN"/>
        </w:rPr>
        <w:t>0.23万元</w:t>
      </w:r>
      <w:r>
        <w:rPr>
          <w:rFonts w:hint="eastAsia" w:eastAsia="仿宋_GB2312" w:cs="仿宋_GB2312"/>
          <w:sz w:val="32"/>
          <w:szCs w:val="32"/>
        </w:rPr>
        <w:t>、住房公积金</w:t>
      </w:r>
      <w:r>
        <w:rPr>
          <w:rFonts w:hint="eastAsia" w:eastAsia="仿宋_GB2312" w:cs="仿宋_GB2312"/>
          <w:sz w:val="32"/>
          <w:szCs w:val="32"/>
          <w:lang w:val="en-US" w:eastAsia="zh-CN"/>
        </w:rPr>
        <w:t>916.52万元</w:t>
      </w:r>
      <w:r>
        <w:rPr>
          <w:rFonts w:hint="eastAsia" w:eastAsia="仿宋_GB2312" w:cs="仿宋_GB2312"/>
          <w:sz w:val="32"/>
          <w:szCs w:val="32"/>
        </w:rPr>
        <w:t>、其他对个人和家庭的补助</w:t>
      </w:r>
      <w:r>
        <w:rPr>
          <w:rFonts w:hint="eastAsia" w:eastAsia="仿宋_GB2312" w:cs="仿宋_GB2312"/>
          <w:sz w:val="32"/>
          <w:szCs w:val="32"/>
          <w:lang w:val="en-US" w:eastAsia="zh-CN"/>
        </w:rPr>
        <w:t>8万元</w:t>
      </w:r>
      <w:r>
        <w:rPr>
          <w:rFonts w:hint="eastAsia" w:eastAsia="仿宋_GB2312" w:cs="仿宋_GB2312"/>
          <w:sz w:val="32"/>
          <w:szCs w:val="32"/>
        </w:rPr>
        <w:t>。</w:t>
      </w:r>
      <w:r>
        <w:rPr>
          <w:rFonts w:hint="eastAsia" w:eastAsia="仿宋_GB2312" w:cs="仿宋_GB2312"/>
          <w:sz w:val="32"/>
          <w:szCs w:val="32"/>
        </w:rPr>
        <w:br w:type="textWrapping"/>
      </w:r>
      <w:r>
        <w:rPr>
          <w:rFonts w:hint="eastAsia" w:eastAsia="仿宋_GB2312" w:cs="仿宋_GB2312"/>
          <w:sz w:val="32"/>
          <w:szCs w:val="32"/>
        </w:rPr>
        <w:t>　　公用经费</w:t>
      </w:r>
      <w:r>
        <w:rPr>
          <w:rFonts w:hint="eastAsia" w:eastAsia="仿宋_GB2312" w:cs="仿宋_GB2312"/>
          <w:sz w:val="32"/>
          <w:szCs w:val="32"/>
          <w:lang w:val="en-US" w:eastAsia="zh-CN"/>
        </w:rPr>
        <w:t>960.72</w:t>
      </w:r>
      <w:r>
        <w:rPr>
          <w:rFonts w:hint="eastAsia" w:eastAsia="仿宋_GB2312" w:cs="仿宋_GB2312"/>
          <w:sz w:val="32"/>
          <w:szCs w:val="32"/>
        </w:rPr>
        <w:t>万元，主要包括：办公费</w:t>
      </w:r>
      <w:r>
        <w:rPr>
          <w:rFonts w:hint="eastAsia" w:eastAsia="仿宋_GB2312" w:cs="仿宋_GB2312"/>
          <w:sz w:val="32"/>
          <w:szCs w:val="32"/>
          <w:lang w:val="en-US" w:eastAsia="zh-CN"/>
        </w:rPr>
        <w:t>54.68万元</w:t>
      </w:r>
      <w:r>
        <w:rPr>
          <w:rFonts w:hint="eastAsia" w:eastAsia="仿宋_GB2312" w:cs="仿宋_GB2312"/>
          <w:sz w:val="32"/>
          <w:szCs w:val="32"/>
        </w:rPr>
        <w:t>、印刷费</w:t>
      </w:r>
      <w:r>
        <w:rPr>
          <w:rFonts w:hint="eastAsia" w:eastAsia="仿宋_GB2312" w:cs="仿宋_GB2312"/>
          <w:sz w:val="32"/>
          <w:szCs w:val="32"/>
          <w:lang w:val="en-US" w:eastAsia="zh-CN"/>
        </w:rPr>
        <w:t>3.62万元</w:t>
      </w:r>
      <w:r>
        <w:rPr>
          <w:rFonts w:hint="eastAsia" w:eastAsia="仿宋_GB2312" w:cs="仿宋_GB2312"/>
          <w:sz w:val="32"/>
          <w:szCs w:val="32"/>
        </w:rPr>
        <w:t>、水费</w:t>
      </w:r>
      <w:r>
        <w:rPr>
          <w:rFonts w:hint="eastAsia" w:eastAsia="仿宋_GB2312" w:cs="仿宋_GB2312"/>
          <w:sz w:val="32"/>
          <w:szCs w:val="32"/>
          <w:lang w:val="en-US" w:eastAsia="zh-CN"/>
        </w:rPr>
        <w:t>38.29万元</w:t>
      </w:r>
      <w:r>
        <w:rPr>
          <w:rFonts w:hint="eastAsia" w:eastAsia="仿宋_GB2312" w:cs="仿宋_GB2312"/>
          <w:sz w:val="32"/>
          <w:szCs w:val="32"/>
        </w:rPr>
        <w:t>、电费</w:t>
      </w:r>
      <w:r>
        <w:rPr>
          <w:rFonts w:hint="eastAsia" w:eastAsia="仿宋_GB2312" w:cs="仿宋_GB2312"/>
          <w:sz w:val="32"/>
          <w:szCs w:val="32"/>
          <w:lang w:val="en-US" w:eastAsia="zh-CN"/>
        </w:rPr>
        <w:t>59.93万元</w:t>
      </w:r>
      <w:r>
        <w:rPr>
          <w:rFonts w:hint="eastAsia" w:eastAsia="仿宋_GB2312" w:cs="仿宋_GB2312"/>
          <w:sz w:val="32"/>
          <w:szCs w:val="32"/>
        </w:rPr>
        <w:t>、邮电费</w:t>
      </w:r>
      <w:r>
        <w:rPr>
          <w:rFonts w:hint="eastAsia" w:eastAsia="仿宋_GB2312" w:cs="仿宋_GB2312"/>
          <w:sz w:val="32"/>
          <w:szCs w:val="32"/>
          <w:lang w:val="en-US" w:eastAsia="zh-CN"/>
        </w:rPr>
        <w:t>7.91万元</w:t>
      </w:r>
      <w:r>
        <w:rPr>
          <w:rFonts w:hint="eastAsia" w:eastAsia="仿宋_GB2312" w:cs="仿宋_GB2312"/>
          <w:sz w:val="32"/>
          <w:szCs w:val="32"/>
        </w:rPr>
        <w:t>、物业管理费</w:t>
      </w:r>
      <w:r>
        <w:rPr>
          <w:rFonts w:hint="eastAsia" w:eastAsia="仿宋_GB2312" w:cs="仿宋_GB2312"/>
          <w:sz w:val="32"/>
          <w:szCs w:val="32"/>
          <w:lang w:val="en-US" w:eastAsia="zh-CN"/>
        </w:rPr>
        <w:t>16.8万元</w:t>
      </w:r>
      <w:r>
        <w:rPr>
          <w:rFonts w:hint="eastAsia" w:eastAsia="仿宋_GB2312" w:cs="仿宋_GB2312"/>
          <w:sz w:val="32"/>
          <w:szCs w:val="32"/>
        </w:rPr>
        <w:t>、差旅费</w:t>
      </w:r>
      <w:r>
        <w:rPr>
          <w:rFonts w:hint="eastAsia" w:eastAsia="仿宋_GB2312" w:cs="仿宋_GB2312"/>
          <w:sz w:val="32"/>
          <w:szCs w:val="32"/>
          <w:lang w:val="en-US" w:eastAsia="zh-CN"/>
        </w:rPr>
        <w:t>60万元</w:t>
      </w:r>
      <w:r>
        <w:rPr>
          <w:rFonts w:hint="eastAsia" w:eastAsia="仿宋_GB2312" w:cs="仿宋_GB2312"/>
          <w:sz w:val="32"/>
          <w:szCs w:val="32"/>
        </w:rPr>
        <w:t>、维修（护）费</w:t>
      </w:r>
      <w:r>
        <w:rPr>
          <w:rFonts w:hint="eastAsia" w:eastAsia="仿宋_GB2312" w:cs="仿宋_GB2312"/>
          <w:sz w:val="32"/>
          <w:szCs w:val="32"/>
          <w:lang w:val="en-US" w:eastAsia="zh-CN"/>
        </w:rPr>
        <w:t>9万元</w:t>
      </w:r>
      <w:r>
        <w:rPr>
          <w:rFonts w:hint="eastAsia" w:eastAsia="仿宋_GB2312" w:cs="仿宋_GB2312"/>
          <w:sz w:val="32"/>
          <w:szCs w:val="32"/>
        </w:rPr>
        <w:t>、租赁费、会议费</w:t>
      </w:r>
      <w:r>
        <w:rPr>
          <w:rFonts w:hint="eastAsia" w:eastAsia="仿宋_GB2312" w:cs="仿宋_GB2312"/>
          <w:sz w:val="32"/>
          <w:szCs w:val="32"/>
          <w:lang w:val="en-US" w:eastAsia="zh-CN"/>
        </w:rPr>
        <w:t>0.99万元</w:t>
      </w:r>
      <w:r>
        <w:rPr>
          <w:rFonts w:hint="eastAsia" w:eastAsia="仿宋_GB2312" w:cs="仿宋_GB2312"/>
          <w:sz w:val="32"/>
          <w:szCs w:val="32"/>
        </w:rPr>
        <w:t>、培训费</w:t>
      </w:r>
      <w:r>
        <w:rPr>
          <w:rFonts w:hint="eastAsia" w:eastAsia="仿宋_GB2312" w:cs="仿宋_GB2312"/>
          <w:sz w:val="32"/>
          <w:szCs w:val="32"/>
          <w:lang w:val="en-US" w:eastAsia="zh-CN"/>
        </w:rPr>
        <w:t>9.63万元</w:t>
      </w:r>
      <w:r>
        <w:rPr>
          <w:rFonts w:hint="eastAsia" w:eastAsia="仿宋_GB2312" w:cs="仿宋_GB2312"/>
          <w:sz w:val="32"/>
          <w:szCs w:val="32"/>
        </w:rPr>
        <w:t>、劳务费</w:t>
      </w:r>
      <w:r>
        <w:rPr>
          <w:rFonts w:hint="eastAsia" w:eastAsia="仿宋_GB2312" w:cs="仿宋_GB2312"/>
          <w:sz w:val="32"/>
          <w:szCs w:val="32"/>
          <w:lang w:val="en-US" w:eastAsia="zh-CN"/>
        </w:rPr>
        <w:t>21.03万元</w:t>
      </w:r>
      <w:r>
        <w:rPr>
          <w:rFonts w:hint="eastAsia" w:eastAsia="仿宋_GB2312" w:cs="仿宋_GB2312"/>
          <w:sz w:val="32"/>
          <w:szCs w:val="32"/>
        </w:rPr>
        <w:t>、委托业务费</w:t>
      </w:r>
      <w:r>
        <w:rPr>
          <w:rFonts w:hint="eastAsia" w:eastAsia="仿宋_GB2312" w:cs="仿宋_GB2312"/>
          <w:sz w:val="32"/>
          <w:szCs w:val="32"/>
          <w:lang w:val="en-US" w:eastAsia="zh-CN"/>
        </w:rPr>
        <w:t>8.13万元</w:t>
      </w:r>
      <w:r>
        <w:rPr>
          <w:rFonts w:hint="eastAsia" w:eastAsia="仿宋_GB2312" w:cs="仿宋_GB2312"/>
          <w:sz w:val="32"/>
          <w:szCs w:val="32"/>
        </w:rPr>
        <w:t>、工会经费</w:t>
      </w:r>
      <w:r>
        <w:rPr>
          <w:rFonts w:hint="eastAsia" w:eastAsia="仿宋_GB2312" w:cs="仿宋_GB2312"/>
          <w:sz w:val="32"/>
          <w:szCs w:val="32"/>
          <w:lang w:val="en-US" w:eastAsia="zh-CN"/>
        </w:rPr>
        <w:t>61.45万元</w:t>
      </w:r>
      <w:r>
        <w:rPr>
          <w:rFonts w:hint="eastAsia" w:eastAsia="仿宋_GB2312" w:cs="仿宋_GB2312"/>
          <w:sz w:val="32"/>
          <w:szCs w:val="32"/>
        </w:rPr>
        <w:t>、福利费</w:t>
      </w:r>
      <w:r>
        <w:rPr>
          <w:rFonts w:hint="eastAsia" w:eastAsia="仿宋_GB2312" w:cs="仿宋_GB2312"/>
          <w:sz w:val="32"/>
          <w:szCs w:val="32"/>
          <w:lang w:val="en-US" w:eastAsia="zh-CN"/>
        </w:rPr>
        <w:t>54.31万元</w:t>
      </w:r>
      <w:r>
        <w:rPr>
          <w:rFonts w:hint="eastAsia" w:eastAsia="仿宋_GB2312" w:cs="仿宋_GB2312"/>
          <w:sz w:val="32"/>
          <w:szCs w:val="32"/>
        </w:rPr>
        <w:t>、公务用车运行维护费</w:t>
      </w:r>
      <w:r>
        <w:rPr>
          <w:rFonts w:hint="eastAsia" w:eastAsia="仿宋_GB2312" w:cs="仿宋_GB2312"/>
          <w:sz w:val="32"/>
          <w:szCs w:val="32"/>
          <w:lang w:val="en-US" w:eastAsia="zh-CN"/>
        </w:rPr>
        <w:t>88.11</w:t>
      </w:r>
    </w:p>
    <w:p w14:paraId="0D40C10B">
      <w:pPr>
        <w:spacing w:line="600" w:lineRule="exact"/>
        <w:rPr>
          <w:rFonts w:hint="eastAsia" w:eastAsia="仿宋_GB2312" w:cs="仿宋_GB2312"/>
          <w:sz w:val="32"/>
          <w:szCs w:val="32"/>
          <w:lang w:val="en-US" w:eastAsia="zh-CN"/>
        </w:rPr>
      </w:pPr>
      <w:r>
        <w:rPr>
          <w:rFonts w:hint="eastAsia" w:eastAsia="仿宋_GB2312" w:cs="仿宋_GB2312"/>
          <w:sz w:val="32"/>
          <w:szCs w:val="32"/>
          <w:lang w:val="en-US" w:eastAsia="zh-CN"/>
        </w:rPr>
        <w:t>万元</w:t>
      </w:r>
      <w:r>
        <w:rPr>
          <w:rFonts w:hint="eastAsia" w:eastAsia="仿宋_GB2312" w:cs="仿宋_GB2312"/>
          <w:sz w:val="32"/>
          <w:szCs w:val="32"/>
        </w:rPr>
        <w:t>、其他交通费</w:t>
      </w:r>
      <w:r>
        <w:rPr>
          <w:rFonts w:hint="eastAsia" w:eastAsia="仿宋_GB2312" w:cs="仿宋_GB2312"/>
          <w:sz w:val="32"/>
          <w:szCs w:val="32"/>
          <w:lang w:val="en-US" w:eastAsia="zh-CN"/>
        </w:rPr>
        <w:t>403.42万元</w:t>
      </w:r>
      <w:r>
        <w:rPr>
          <w:rFonts w:hint="eastAsia" w:eastAsia="仿宋_GB2312" w:cs="仿宋_GB2312"/>
          <w:sz w:val="32"/>
          <w:szCs w:val="32"/>
        </w:rPr>
        <w:t>、其他商品和服务支出</w:t>
      </w:r>
      <w:r>
        <w:rPr>
          <w:rFonts w:hint="eastAsia" w:eastAsia="仿宋_GB2312" w:cs="仿宋_GB2312"/>
          <w:sz w:val="32"/>
          <w:szCs w:val="32"/>
          <w:lang w:val="en-US" w:eastAsia="zh-CN"/>
        </w:rPr>
        <w:t>63.42。</w:t>
      </w:r>
    </w:p>
    <w:p w14:paraId="35F4419D">
      <w:pPr>
        <w:spacing w:line="600" w:lineRule="exact"/>
        <w:ind w:firstLine="640"/>
        <w:outlineLvl w:val="1"/>
        <w:rPr>
          <w:rStyle w:val="37"/>
          <w:rFonts w:ascii="Times New Roman" w:hAnsi="Times New Roman" w:eastAsia="黑体"/>
          <w:b w:val="0"/>
        </w:rPr>
      </w:pPr>
      <w:r>
        <w:rPr>
          <w:rFonts w:hint="eastAsia" w:eastAsia="黑体"/>
          <w:sz w:val="32"/>
          <w:szCs w:val="32"/>
        </w:rPr>
        <w:t>七、</w:t>
      </w:r>
      <w:r>
        <w:rPr>
          <w:rStyle w:val="37"/>
          <w:rFonts w:hint="eastAsia" w:ascii="Times New Roman" w:hAnsi="Times New Roman" w:eastAsia="黑体"/>
          <w:b w:val="0"/>
        </w:rPr>
        <w:t>财政拨款</w:t>
      </w:r>
      <w:r>
        <w:rPr>
          <w:rStyle w:val="37"/>
          <w:rFonts w:hint="eastAsia" w:ascii="Times New Roman" w:hAnsi="Times New Roman" w:eastAsia="黑体"/>
        </w:rPr>
        <w:t>“</w:t>
      </w:r>
      <w:r>
        <w:rPr>
          <w:rStyle w:val="37"/>
          <w:rFonts w:hint="eastAsia" w:ascii="Times New Roman" w:hAnsi="Times New Roman" w:eastAsia="黑体"/>
          <w:b w:val="0"/>
        </w:rPr>
        <w:t>三公”经费支出决算情况说明</w:t>
      </w:r>
    </w:p>
    <w:p w14:paraId="7AA360A9">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（一）财政拨款“三公”经费支出决算总体情况说明</w:t>
      </w:r>
    </w:p>
    <w:p w14:paraId="4BA4C880">
      <w:pPr>
        <w:spacing w:line="600" w:lineRule="exact"/>
        <w:ind w:firstLine="640"/>
        <w:rPr>
          <w:rFonts w:hint="eastAsia" w:eastAsia="仿宋_GB2312" w:cs="仿宋_GB2312"/>
          <w:sz w:val="32"/>
          <w:szCs w:val="32"/>
          <w:lang w:eastAsia="zh-CN"/>
        </w:rPr>
      </w:pPr>
      <w:r>
        <w:rPr>
          <w:rFonts w:hint="eastAsia" w:eastAsia="仿宋_GB2312" w:cs="仿宋_GB2312"/>
          <w:sz w:val="32"/>
          <w:szCs w:val="32"/>
        </w:rPr>
        <w:t>2025年度财政拨款“三公”经费支出决算为</w:t>
      </w:r>
      <w:r>
        <w:rPr>
          <w:rFonts w:hint="eastAsia" w:eastAsia="仿宋_GB2312" w:cs="仿宋_GB2312"/>
          <w:sz w:val="32"/>
          <w:szCs w:val="32"/>
          <w:lang w:val="en-US" w:eastAsia="zh-CN"/>
        </w:rPr>
        <w:t>88.11</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%，较上年度增加/减少</w:t>
      </w:r>
      <w:r>
        <w:rPr>
          <w:rFonts w:hint="eastAsia" w:eastAsia="仿宋_GB2312" w:cs="仿宋_GB2312"/>
          <w:sz w:val="32"/>
          <w:szCs w:val="32"/>
          <w:lang w:val="en-US" w:eastAsia="zh-CN"/>
        </w:rPr>
        <w:t>37.46</w:t>
      </w:r>
      <w:r>
        <w:rPr>
          <w:rFonts w:hint="eastAsia" w:eastAsia="仿宋_GB2312" w:cs="仿宋_GB2312"/>
          <w:sz w:val="32"/>
          <w:szCs w:val="32"/>
        </w:rPr>
        <w:t>万元，下降</w:t>
      </w:r>
      <w:r>
        <w:rPr>
          <w:rFonts w:hint="eastAsia" w:eastAsia="仿宋_GB2312" w:cs="仿宋_GB2312"/>
          <w:sz w:val="32"/>
          <w:szCs w:val="32"/>
          <w:lang w:val="en-US" w:eastAsia="zh-CN"/>
        </w:rPr>
        <w:t>29.83</w:t>
      </w:r>
      <w:r>
        <w:rPr>
          <w:rFonts w:hint="eastAsia" w:eastAsia="仿宋_GB2312" w:cs="仿宋_GB2312"/>
          <w:sz w:val="32"/>
          <w:szCs w:val="32"/>
        </w:rPr>
        <w:t>%。决算数与预算数持平</w:t>
      </w:r>
      <w:r>
        <w:rPr>
          <w:rFonts w:hint="eastAsia" w:eastAsia="仿宋_GB2312" w:cs="仿宋_GB2312"/>
          <w:sz w:val="32"/>
          <w:szCs w:val="32"/>
          <w:lang w:eastAsia="zh-CN"/>
        </w:rPr>
        <w:t>。</w:t>
      </w:r>
    </w:p>
    <w:p w14:paraId="27826C9A">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（二）财政拨款“三公”经费支出决算具体情况说明</w:t>
      </w:r>
    </w:p>
    <w:p w14:paraId="62DBC1B6">
      <w:pPr>
        <w:spacing w:line="600" w:lineRule="exact"/>
        <w:ind w:firstLine="640"/>
        <w:rPr>
          <w:rFonts w:eastAsia="仿宋_GB2312" w:cs="仿宋_GB2312"/>
          <w:sz w:val="32"/>
          <w:szCs w:val="32"/>
        </w:rPr>
      </w:pPr>
      <w:r>
        <w:rPr>
          <w:rFonts w:hint="eastAsia" w:eastAsia="仿宋_GB2312" w:cs="仿宋_GB2312"/>
          <w:sz w:val="32"/>
          <w:szCs w:val="32"/>
        </w:rPr>
        <w:t>2025年度财政拨款“三公”经费支出决算中，因公出国（境）费支出决算</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%；公务用车购置及运行维护费支出决算</w:t>
      </w:r>
      <w:r>
        <w:rPr>
          <w:rFonts w:hint="eastAsia" w:eastAsia="仿宋_GB2312" w:cs="仿宋_GB2312"/>
          <w:sz w:val="32"/>
          <w:szCs w:val="32"/>
          <w:lang w:val="en-US" w:eastAsia="zh-CN"/>
        </w:rPr>
        <w:t>88.11</w:t>
      </w:r>
      <w:r>
        <w:rPr>
          <w:rFonts w:hint="eastAsia" w:eastAsia="仿宋_GB2312" w:cs="仿宋_GB2312"/>
          <w:sz w:val="32"/>
          <w:szCs w:val="32"/>
        </w:rPr>
        <w:t>万元，占</w:t>
      </w:r>
      <w:r>
        <w:rPr>
          <w:rFonts w:hint="eastAsia" w:eastAsia="仿宋_GB2312" w:cs="仿宋_GB2312"/>
          <w:sz w:val="32"/>
          <w:szCs w:val="32"/>
          <w:lang w:val="en-US" w:eastAsia="zh-CN"/>
        </w:rPr>
        <w:t>100</w:t>
      </w:r>
      <w:r>
        <w:rPr>
          <w:rFonts w:hint="eastAsia" w:eastAsia="仿宋_GB2312" w:cs="仿宋_GB2312"/>
          <w:sz w:val="32"/>
          <w:szCs w:val="32"/>
        </w:rPr>
        <w:t>%；公务接待费支出决算</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%。具体情况如下：</w:t>
      </w:r>
    </w:p>
    <w:p w14:paraId="0D505144">
      <w:pPr>
        <w:spacing w:line="600" w:lineRule="exact"/>
        <w:ind w:firstLine="640"/>
        <w:rPr>
          <w:rFonts w:hint="eastAsia" w:eastAsia="仿宋_GB2312" w:cs="仿宋_GB2312"/>
          <w:sz w:val="32"/>
          <w:szCs w:val="32"/>
        </w:rPr>
      </w:pPr>
      <w:r>
        <w:rPr>
          <w:rFonts w:hint="eastAsia" w:eastAsia="仿宋_GB2312" w:cs="仿宋_GB2312"/>
          <w:sz w:val="32"/>
          <w:szCs w:val="32"/>
        </w:rPr>
        <w:t>（图7：财政拨款“三公”经费支出结构）（饼状图）</w:t>
      </w:r>
    </w:p>
    <w:p w14:paraId="3B6C8A9B">
      <w:pPr>
        <w:rPr>
          <w:rFonts w:hint="eastAsia" w:eastAsia="仿宋_GB2312" w:cs="仿宋_GB2312"/>
          <w:sz w:val="32"/>
          <w:szCs w:val="32"/>
        </w:rPr>
      </w:pPr>
      <w:r>
        <w:drawing>
          <wp:inline distT="0" distB="0" distL="0" distR="0">
            <wp:extent cx="5102860" cy="2724785"/>
            <wp:effectExtent l="4445" t="4445" r="17145" b="13970"/>
            <wp:docPr id="1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D06969B">
      <w:pPr>
        <w:spacing w:line="600" w:lineRule="exact"/>
        <w:ind w:firstLine="640"/>
        <w:rPr>
          <w:rFonts w:ascii="仿宋_GB2312" w:eastAsia="仿宋_GB2312"/>
          <w:b/>
          <w:sz w:val="32"/>
          <w:szCs w:val="32"/>
        </w:rPr>
      </w:pPr>
      <w:r>
        <w:rPr>
          <w:rFonts w:hint="eastAsia" w:eastAsia="仿宋_GB2312" w:cs="仿宋_GB2312"/>
          <w:b/>
          <w:bCs/>
          <w:sz w:val="32"/>
          <w:szCs w:val="32"/>
        </w:rPr>
        <w:t>1.因公出国（境）经费支出</w:t>
      </w:r>
      <w:r>
        <w:rPr>
          <w:rFonts w:hint="eastAsia" w:eastAsia="仿宋_GB2312" w:cs="仿宋_GB2312"/>
          <w:b/>
          <w:bCs/>
          <w:sz w:val="32"/>
          <w:szCs w:val="32"/>
          <w:lang w:val="en-US" w:eastAsia="zh-CN"/>
        </w:rPr>
        <w:t>0</w:t>
      </w:r>
      <w:r>
        <w:rPr>
          <w:rFonts w:hint="eastAsia" w:eastAsia="仿宋_GB2312" w:cs="仿宋_GB2312"/>
          <w:b/>
          <w:bCs/>
          <w:sz w:val="32"/>
          <w:szCs w:val="32"/>
        </w:rPr>
        <w:t>万元，完成预算</w:t>
      </w:r>
      <w:r>
        <w:rPr>
          <w:rFonts w:hint="eastAsia" w:eastAsia="仿宋_GB2312" w:cs="仿宋_GB2312"/>
          <w:b/>
          <w:bCs/>
          <w:sz w:val="32"/>
          <w:szCs w:val="32"/>
          <w:lang w:val="en-US" w:eastAsia="zh-CN"/>
        </w:rPr>
        <w:t>0</w:t>
      </w:r>
      <w:r>
        <w:rPr>
          <w:rFonts w:hint="eastAsia" w:eastAsia="仿宋_GB2312" w:cs="仿宋_GB2312"/>
          <w:b/>
          <w:bCs/>
          <w:sz w:val="32"/>
          <w:szCs w:val="32"/>
        </w:rPr>
        <w:t>%。</w:t>
      </w:r>
      <w:r>
        <w:rPr>
          <w:rFonts w:hint="eastAsia" w:eastAsia="仿宋_GB2312" w:cs="仿宋_GB2312"/>
          <w:sz w:val="32"/>
          <w:szCs w:val="32"/>
        </w:rPr>
        <w:t>全年安排因公出国（境）团组</w:t>
      </w:r>
      <w:r>
        <w:rPr>
          <w:rFonts w:hint="eastAsia" w:eastAsia="仿宋_GB2312" w:cs="仿宋_GB2312"/>
          <w:sz w:val="32"/>
          <w:szCs w:val="32"/>
          <w:lang w:val="en-US" w:eastAsia="zh-CN"/>
        </w:rPr>
        <w:t>0</w:t>
      </w:r>
      <w:r>
        <w:rPr>
          <w:rFonts w:hint="eastAsia" w:eastAsia="仿宋_GB2312" w:cs="仿宋_GB2312"/>
          <w:sz w:val="32"/>
          <w:szCs w:val="32"/>
        </w:rPr>
        <w:t>次，出国（境）</w:t>
      </w:r>
      <w:r>
        <w:rPr>
          <w:rFonts w:hint="eastAsia" w:eastAsia="仿宋_GB2312" w:cs="仿宋_GB2312"/>
          <w:sz w:val="32"/>
          <w:szCs w:val="32"/>
          <w:lang w:val="en-US" w:eastAsia="zh-CN"/>
        </w:rPr>
        <w:t>0</w:t>
      </w:r>
      <w:r>
        <w:rPr>
          <w:rFonts w:hint="eastAsia" w:eastAsia="仿宋_GB2312" w:cs="仿宋_GB2312"/>
          <w:sz w:val="32"/>
          <w:szCs w:val="32"/>
        </w:rPr>
        <w:t>人。</w:t>
      </w:r>
      <w:r>
        <w:rPr>
          <w:rFonts w:hint="eastAsia" w:ascii="仿宋_GB2312" w:eastAsia="仿宋_GB2312"/>
          <w:sz w:val="32"/>
          <w:szCs w:val="32"/>
        </w:rPr>
        <w:t>因公出国（境）支出决算与202</w:t>
      </w:r>
      <w:r>
        <w:rPr>
          <w:rFonts w:hint="eastAsia" w:ascii="仿宋_GB2312" w:eastAsia="仿宋_GB2312"/>
          <w:sz w:val="32"/>
          <w:szCs w:val="32"/>
          <w:lang w:val="en-US" w:eastAsia="zh-CN"/>
        </w:rPr>
        <w:t>4</w:t>
      </w:r>
      <w:r>
        <w:rPr>
          <w:rFonts w:hint="eastAsia" w:ascii="仿宋_GB2312" w:eastAsia="仿宋_GB2312"/>
          <w:sz w:val="32"/>
          <w:szCs w:val="32"/>
        </w:rPr>
        <w:t>年持平，皆为0。</w:t>
      </w:r>
    </w:p>
    <w:p w14:paraId="411CCC97">
      <w:pPr>
        <w:snapToGrid w:val="0"/>
        <w:spacing w:line="520" w:lineRule="exact"/>
        <w:ind w:firstLine="643" w:firstLineChars="200"/>
        <w:rPr>
          <w:rFonts w:hint="eastAsia"/>
        </w:rPr>
      </w:pPr>
      <w:r>
        <w:rPr>
          <w:rFonts w:hint="eastAsia" w:eastAsia="仿宋_GB2312" w:cs="仿宋_GB2312"/>
          <w:b/>
          <w:bCs/>
          <w:sz w:val="32"/>
          <w:szCs w:val="32"/>
        </w:rPr>
        <w:t>2.公务用车购置及运行维护费支出</w:t>
      </w:r>
      <w:r>
        <w:rPr>
          <w:rFonts w:hint="eastAsia" w:eastAsia="仿宋_GB2312" w:cs="仿宋_GB2312"/>
          <w:b/>
          <w:bCs/>
          <w:sz w:val="32"/>
          <w:szCs w:val="32"/>
          <w:lang w:val="en-US" w:eastAsia="zh-CN"/>
        </w:rPr>
        <w:t>88.11</w:t>
      </w:r>
      <w:r>
        <w:rPr>
          <w:rFonts w:hint="eastAsia" w:eastAsia="仿宋_GB2312" w:cs="仿宋_GB2312"/>
          <w:b/>
          <w:bCs/>
          <w:sz w:val="32"/>
          <w:szCs w:val="32"/>
        </w:rPr>
        <w:t>万元，完成预算</w:t>
      </w:r>
      <w:r>
        <w:rPr>
          <w:rFonts w:hint="eastAsia" w:eastAsia="仿宋_GB2312" w:cs="仿宋_GB2312"/>
          <w:b/>
          <w:bCs/>
          <w:sz w:val="32"/>
          <w:szCs w:val="32"/>
          <w:lang w:val="en-US" w:eastAsia="zh-CN"/>
        </w:rPr>
        <w:t>100</w:t>
      </w:r>
      <w:r>
        <w:rPr>
          <w:rFonts w:hint="eastAsia" w:eastAsia="仿宋_GB2312" w:cs="仿宋_GB2312"/>
          <w:b/>
          <w:bCs/>
          <w:sz w:val="32"/>
          <w:szCs w:val="32"/>
        </w:rPr>
        <w:t>%。</w:t>
      </w:r>
      <w:r>
        <w:rPr>
          <w:rFonts w:hint="eastAsia" w:eastAsia="仿宋_GB2312" w:cs="仿宋_GB2312"/>
          <w:sz w:val="32"/>
          <w:szCs w:val="32"/>
        </w:rPr>
        <w:t>公务用车购置及运行维护费支出决算比上年度增减少</w:t>
      </w:r>
      <w:r>
        <w:rPr>
          <w:rFonts w:hint="eastAsia" w:eastAsia="仿宋_GB2312" w:cs="仿宋_GB2312"/>
          <w:sz w:val="32"/>
          <w:szCs w:val="32"/>
          <w:lang w:val="en-US" w:eastAsia="zh-CN"/>
        </w:rPr>
        <w:t>37.46</w:t>
      </w:r>
      <w:r>
        <w:rPr>
          <w:rFonts w:hint="eastAsia" w:eastAsia="仿宋_GB2312" w:cs="仿宋_GB2312"/>
          <w:sz w:val="32"/>
          <w:szCs w:val="32"/>
        </w:rPr>
        <w:t>万元，下降</w:t>
      </w:r>
      <w:r>
        <w:rPr>
          <w:rFonts w:hint="eastAsia" w:eastAsia="仿宋_GB2312" w:cs="仿宋_GB2312"/>
          <w:sz w:val="32"/>
          <w:szCs w:val="32"/>
          <w:lang w:val="en-US" w:eastAsia="zh-CN"/>
        </w:rPr>
        <w:t>29.83</w:t>
      </w:r>
      <w:r>
        <w:rPr>
          <w:rFonts w:hint="eastAsia" w:eastAsia="仿宋_GB2312" w:cs="仿宋_GB2312"/>
          <w:sz w:val="32"/>
          <w:szCs w:val="32"/>
        </w:rPr>
        <w:t>%。</w:t>
      </w:r>
      <w:r>
        <w:rPr>
          <w:rFonts w:hint="eastAsia" w:eastAsia="仿宋_GB2312" w:cs="仿宋_GB2312"/>
          <w:sz w:val="32"/>
          <w:szCs w:val="32"/>
          <w:lang w:eastAsia="zh-CN"/>
        </w:rPr>
        <w:t>主要原因是：</w:t>
      </w:r>
      <w:r>
        <w:rPr>
          <w:rFonts w:hint="eastAsia" w:ascii="仿宋_GB2312" w:hAnsi="仿宋" w:eastAsia="仿宋_GB2312"/>
          <w:sz w:val="32"/>
          <w:szCs w:val="32"/>
          <w:lang w:val="en-US" w:eastAsia="zh-CN"/>
        </w:rPr>
        <w:t>因为出台了新的车辆管理办法，且老旧车辆减少，总的维修费用减少</w:t>
      </w:r>
      <w:r>
        <w:rPr>
          <w:rFonts w:hint="eastAsia" w:ascii="仿宋_GB2312" w:hAnsi="仿宋" w:eastAsia="仿宋_GB2312"/>
          <w:sz w:val="32"/>
          <w:szCs w:val="32"/>
        </w:rPr>
        <w:t>。</w:t>
      </w:r>
    </w:p>
    <w:p w14:paraId="0F68B63A">
      <w:pPr>
        <w:spacing w:line="600" w:lineRule="exact"/>
        <w:ind w:firstLine="640"/>
        <w:rPr>
          <w:rFonts w:eastAsia="仿宋_GB2312" w:cs="仿宋_GB2312"/>
          <w:sz w:val="32"/>
          <w:szCs w:val="32"/>
        </w:rPr>
      </w:pPr>
      <w:r>
        <w:rPr>
          <w:rFonts w:hint="eastAsia" w:eastAsia="仿宋_GB2312" w:cs="仿宋_GB2312"/>
          <w:sz w:val="32"/>
          <w:szCs w:val="32"/>
        </w:rPr>
        <w:t>其中：公务用车购置支出</w:t>
      </w:r>
      <w:r>
        <w:rPr>
          <w:rFonts w:hint="eastAsia" w:eastAsia="仿宋_GB2312" w:cs="仿宋_GB2312"/>
          <w:sz w:val="32"/>
          <w:szCs w:val="32"/>
          <w:lang w:val="en-US" w:eastAsia="zh-CN"/>
        </w:rPr>
        <w:t>0</w:t>
      </w:r>
      <w:r>
        <w:rPr>
          <w:rFonts w:hint="eastAsia" w:eastAsia="仿宋_GB2312" w:cs="仿宋_GB2312"/>
          <w:sz w:val="32"/>
          <w:szCs w:val="32"/>
        </w:rPr>
        <w:t>万元。全年按规定更新购置公务用车</w:t>
      </w:r>
      <w:r>
        <w:rPr>
          <w:rFonts w:hint="eastAsia" w:eastAsia="仿宋_GB2312" w:cs="仿宋_GB2312"/>
          <w:sz w:val="32"/>
          <w:szCs w:val="32"/>
          <w:lang w:val="en-US" w:eastAsia="zh-CN"/>
        </w:rPr>
        <w:t>0</w:t>
      </w:r>
      <w:r>
        <w:rPr>
          <w:rFonts w:hint="eastAsia" w:eastAsia="仿宋_GB2312" w:cs="仿宋_GB2312"/>
          <w:sz w:val="32"/>
          <w:szCs w:val="32"/>
        </w:rPr>
        <w:t>辆，其中：轿车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万元，越野车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万元，载客汽车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万元。截至2025年12月31日，单位共有公务用车</w:t>
      </w:r>
      <w:r>
        <w:rPr>
          <w:rFonts w:hint="eastAsia" w:eastAsia="仿宋_GB2312" w:cs="仿宋_GB2312"/>
          <w:sz w:val="32"/>
          <w:szCs w:val="32"/>
          <w:lang w:val="en-US" w:eastAsia="zh-CN"/>
        </w:rPr>
        <w:t>91</w:t>
      </w:r>
      <w:r>
        <w:rPr>
          <w:rFonts w:hint="eastAsia" w:eastAsia="仿宋_GB2312" w:cs="仿宋_GB2312"/>
          <w:sz w:val="32"/>
          <w:szCs w:val="32"/>
        </w:rPr>
        <w:t>辆，其中：轿车</w:t>
      </w:r>
      <w:r>
        <w:rPr>
          <w:rFonts w:hint="eastAsia" w:eastAsia="仿宋_GB2312" w:cs="仿宋_GB2312"/>
          <w:sz w:val="32"/>
          <w:szCs w:val="32"/>
          <w:lang w:val="en-US" w:eastAsia="zh-CN"/>
        </w:rPr>
        <w:t>52</w:t>
      </w:r>
      <w:r>
        <w:rPr>
          <w:rFonts w:hint="eastAsia" w:eastAsia="仿宋_GB2312" w:cs="仿宋_GB2312"/>
          <w:sz w:val="32"/>
          <w:szCs w:val="32"/>
        </w:rPr>
        <w:t>辆、越野车</w:t>
      </w:r>
      <w:r>
        <w:rPr>
          <w:rFonts w:hint="eastAsia" w:eastAsia="仿宋_GB2312" w:cs="仿宋_GB2312"/>
          <w:sz w:val="32"/>
          <w:szCs w:val="32"/>
          <w:lang w:val="en-US" w:eastAsia="zh-CN"/>
        </w:rPr>
        <w:t>19</w:t>
      </w:r>
      <w:r>
        <w:rPr>
          <w:rFonts w:hint="eastAsia" w:eastAsia="仿宋_GB2312" w:cs="仿宋_GB2312"/>
          <w:sz w:val="32"/>
          <w:szCs w:val="32"/>
        </w:rPr>
        <w:t>辆、载客汽车</w:t>
      </w:r>
      <w:r>
        <w:rPr>
          <w:rFonts w:hint="eastAsia" w:eastAsia="仿宋_GB2312" w:cs="仿宋_GB2312"/>
          <w:sz w:val="32"/>
          <w:szCs w:val="32"/>
          <w:lang w:val="en-US" w:eastAsia="zh-CN"/>
        </w:rPr>
        <w:t>20</w:t>
      </w:r>
      <w:r>
        <w:rPr>
          <w:rFonts w:hint="eastAsia" w:eastAsia="仿宋_GB2312" w:cs="仿宋_GB2312"/>
          <w:sz w:val="32"/>
          <w:szCs w:val="32"/>
        </w:rPr>
        <w:t>辆。</w:t>
      </w:r>
    </w:p>
    <w:p w14:paraId="471134CD">
      <w:pPr>
        <w:spacing w:line="600" w:lineRule="exact"/>
        <w:ind w:firstLine="640"/>
        <w:rPr>
          <w:rFonts w:ascii="仿宋_GB2312" w:eastAsia="仿宋_GB2312"/>
          <w:sz w:val="32"/>
          <w:szCs w:val="32"/>
        </w:rPr>
      </w:pPr>
      <w:r>
        <w:rPr>
          <w:rFonts w:hint="eastAsia" w:eastAsia="仿宋_GB2312" w:cs="仿宋_GB2312"/>
          <w:sz w:val="32"/>
          <w:szCs w:val="32"/>
        </w:rPr>
        <w:t>公务用车运行维护费支出</w:t>
      </w:r>
      <w:r>
        <w:rPr>
          <w:rFonts w:hint="eastAsia" w:eastAsia="仿宋_GB2312" w:cs="仿宋_GB2312"/>
          <w:sz w:val="32"/>
          <w:szCs w:val="32"/>
          <w:lang w:val="en-US" w:eastAsia="zh-CN"/>
        </w:rPr>
        <w:t>88.11</w:t>
      </w:r>
      <w:r>
        <w:rPr>
          <w:rFonts w:hint="eastAsia" w:eastAsia="仿宋_GB2312" w:cs="仿宋_GB2312"/>
          <w:sz w:val="32"/>
          <w:szCs w:val="32"/>
        </w:rPr>
        <w:t>万元。</w:t>
      </w:r>
      <w:r>
        <w:rPr>
          <w:rFonts w:hint="eastAsia" w:ascii="仿宋_GB2312" w:eastAsia="仿宋_GB2312"/>
          <w:sz w:val="32"/>
          <w:szCs w:val="32"/>
        </w:rPr>
        <w:t>主要用于侦查、办案、巡逻等所需的公务用车燃料费、维修费、过路过桥费、保险费等支出。</w:t>
      </w:r>
    </w:p>
    <w:p w14:paraId="68668E02">
      <w:pPr>
        <w:spacing w:line="600" w:lineRule="exact"/>
        <w:ind w:firstLine="640"/>
        <w:rPr>
          <w:rFonts w:eastAsia="仿宋_GB2312" w:cs="仿宋_GB2312"/>
          <w:sz w:val="32"/>
          <w:szCs w:val="32"/>
        </w:rPr>
      </w:pPr>
      <w:r>
        <w:rPr>
          <w:rFonts w:hint="eastAsia" w:eastAsia="仿宋_GB2312" w:cs="仿宋_GB2312"/>
          <w:b/>
          <w:bCs/>
          <w:sz w:val="32"/>
          <w:szCs w:val="32"/>
        </w:rPr>
        <w:t>3.公务接待费支出</w:t>
      </w:r>
      <w:r>
        <w:rPr>
          <w:rFonts w:hint="eastAsia" w:eastAsia="仿宋_GB2312" w:cs="仿宋_GB2312"/>
          <w:b/>
          <w:bCs/>
          <w:sz w:val="32"/>
          <w:szCs w:val="32"/>
          <w:lang w:val="en-US" w:eastAsia="zh-CN"/>
        </w:rPr>
        <w:t>0</w:t>
      </w:r>
      <w:r>
        <w:rPr>
          <w:rFonts w:hint="eastAsia" w:eastAsia="仿宋_GB2312" w:cs="仿宋_GB2312"/>
          <w:b/>
          <w:bCs/>
          <w:sz w:val="32"/>
          <w:szCs w:val="32"/>
        </w:rPr>
        <w:t>万元，完成预算</w:t>
      </w:r>
      <w:r>
        <w:rPr>
          <w:rFonts w:hint="eastAsia" w:eastAsia="仿宋_GB2312" w:cs="仿宋_GB2312"/>
          <w:b/>
          <w:bCs/>
          <w:sz w:val="32"/>
          <w:szCs w:val="32"/>
          <w:lang w:val="en-US" w:eastAsia="zh-CN"/>
        </w:rPr>
        <w:t>0</w:t>
      </w:r>
      <w:r>
        <w:rPr>
          <w:rFonts w:hint="eastAsia" w:eastAsia="仿宋_GB2312" w:cs="仿宋_GB2312"/>
          <w:b/>
          <w:bCs/>
          <w:sz w:val="32"/>
          <w:szCs w:val="32"/>
        </w:rPr>
        <w:t>%。</w:t>
      </w:r>
      <w:r>
        <w:rPr>
          <w:rFonts w:hint="eastAsia" w:eastAsia="仿宋_GB2312" w:cs="仿宋_GB2312"/>
          <w:sz w:val="32"/>
          <w:szCs w:val="32"/>
        </w:rPr>
        <w:t>公务接待费支出决算比上年度减少</w:t>
      </w:r>
      <w:r>
        <w:rPr>
          <w:rFonts w:hint="eastAsia" w:eastAsia="仿宋_GB2312" w:cs="仿宋_GB2312"/>
          <w:sz w:val="32"/>
          <w:szCs w:val="32"/>
          <w:lang w:val="en-US" w:eastAsia="zh-CN"/>
        </w:rPr>
        <w:t>0.1</w:t>
      </w:r>
      <w:r>
        <w:rPr>
          <w:rFonts w:hint="eastAsia" w:eastAsia="仿宋_GB2312" w:cs="仿宋_GB2312"/>
          <w:sz w:val="32"/>
          <w:szCs w:val="32"/>
        </w:rPr>
        <w:t>万元，下降</w:t>
      </w:r>
      <w:r>
        <w:rPr>
          <w:rFonts w:hint="eastAsia" w:eastAsia="仿宋_GB2312" w:cs="仿宋_GB2312"/>
          <w:sz w:val="32"/>
          <w:szCs w:val="32"/>
          <w:lang w:val="en-US" w:eastAsia="zh-CN"/>
        </w:rPr>
        <w:t>100</w:t>
      </w:r>
      <w:r>
        <w:rPr>
          <w:rFonts w:hint="eastAsia" w:eastAsia="仿宋_GB2312" w:cs="仿宋_GB2312"/>
          <w:sz w:val="32"/>
          <w:szCs w:val="32"/>
        </w:rPr>
        <w:t>%。主要原因是</w:t>
      </w:r>
      <w:r>
        <w:rPr>
          <w:rFonts w:hint="eastAsia" w:eastAsia="仿宋_GB2312" w:cs="仿宋_GB2312"/>
          <w:sz w:val="32"/>
          <w:szCs w:val="32"/>
          <w:lang w:val="en-US" w:eastAsia="zh-CN"/>
        </w:rPr>
        <w:t>2025年没有接待业务</w:t>
      </w:r>
      <w:r>
        <w:rPr>
          <w:rFonts w:hint="eastAsia" w:eastAsia="仿宋_GB2312" w:cs="仿宋_GB2312"/>
          <w:sz w:val="32"/>
          <w:szCs w:val="32"/>
        </w:rPr>
        <w:t>。</w:t>
      </w:r>
    </w:p>
    <w:p w14:paraId="3D70AD50">
      <w:pPr>
        <w:spacing w:line="600" w:lineRule="exact"/>
        <w:ind w:firstLine="643" w:firstLineChars="200"/>
        <w:rPr>
          <w:rFonts w:hint="eastAsia" w:ascii="仿宋_GB2312" w:eastAsia="仿宋_GB2312"/>
          <w:sz w:val="32"/>
          <w:szCs w:val="32"/>
        </w:rPr>
      </w:pPr>
      <w:r>
        <w:rPr>
          <w:rFonts w:hint="eastAsia" w:ascii="仿宋" w:hAnsi="仿宋" w:eastAsia="仿宋"/>
          <w:b/>
          <w:sz w:val="32"/>
          <w:szCs w:val="32"/>
        </w:rPr>
        <w:t>外事接待支出</w:t>
      </w:r>
      <w:r>
        <w:rPr>
          <w:rFonts w:ascii="仿宋" w:hAnsi="仿宋" w:eastAsia="仿宋"/>
          <w:b/>
          <w:sz w:val="32"/>
          <w:szCs w:val="32"/>
        </w:rPr>
        <w:t>0</w:t>
      </w:r>
      <w:r>
        <w:rPr>
          <w:rFonts w:hint="eastAsia" w:ascii="仿宋_GB2312" w:eastAsia="仿宋_GB2312"/>
          <w:sz w:val="32"/>
          <w:szCs w:val="32"/>
        </w:rPr>
        <w:t>万元，外事接待0批次，0人次（不包括陪同人员），共计支出0万元。</w:t>
      </w:r>
    </w:p>
    <w:p w14:paraId="75E893A3">
      <w:pPr>
        <w:spacing w:line="600" w:lineRule="exact"/>
        <w:ind w:firstLine="640"/>
        <w:outlineLvl w:val="1"/>
        <w:rPr>
          <w:rStyle w:val="37"/>
          <w:rFonts w:ascii="Times New Roman" w:hAnsi="Times New Roman" w:eastAsia="黑体"/>
        </w:rPr>
      </w:pPr>
      <w:r>
        <w:rPr>
          <w:rFonts w:hint="eastAsia" w:eastAsia="黑体"/>
          <w:sz w:val="32"/>
          <w:szCs w:val="32"/>
        </w:rPr>
        <w:t>八、</w:t>
      </w:r>
      <w:r>
        <w:rPr>
          <w:rStyle w:val="37"/>
          <w:rFonts w:hint="eastAsia" w:ascii="Times New Roman" w:hAnsi="Times New Roman" w:eastAsia="黑体"/>
          <w:b w:val="0"/>
        </w:rPr>
        <w:t>政府性基金预算支出决算情况说明</w:t>
      </w:r>
    </w:p>
    <w:p w14:paraId="1CC7924A">
      <w:pPr>
        <w:ind w:left="105" w:leftChars="50" w:right="105" w:rightChars="50" w:firstLine="640" w:firstLineChars="200"/>
        <w:rPr>
          <w:rFonts w:hint="eastAsia" w:eastAsia="仿宋_GB2312" w:cs="仿宋_GB2312"/>
          <w:sz w:val="32"/>
          <w:szCs w:val="32"/>
        </w:rPr>
      </w:pPr>
      <w:r>
        <w:rPr>
          <w:rFonts w:hint="eastAsia" w:eastAsia="仿宋_GB2312" w:cs="仿宋_GB2312"/>
          <w:sz w:val="32"/>
          <w:szCs w:val="32"/>
        </w:rPr>
        <w:t>2025年度政府性基金预算财政拨款支出</w:t>
      </w:r>
      <w:r>
        <w:rPr>
          <w:rFonts w:hint="eastAsia" w:eastAsia="仿宋_GB2312" w:cs="仿宋_GB2312"/>
          <w:sz w:val="32"/>
          <w:szCs w:val="32"/>
          <w:lang w:val="en-US" w:eastAsia="zh-CN"/>
        </w:rPr>
        <w:t>0</w:t>
      </w:r>
      <w:r>
        <w:rPr>
          <w:rFonts w:hint="eastAsia" w:eastAsia="仿宋_GB2312" w:cs="仿宋_GB2312"/>
          <w:sz w:val="32"/>
          <w:szCs w:val="32"/>
        </w:rPr>
        <w:t>万元，占本年支出合计的</w:t>
      </w:r>
      <w:r>
        <w:rPr>
          <w:rFonts w:hint="eastAsia" w:eastAsia="仿宋_GB2312" w:cs="仿宋_GB2312"/>
          <w:sz w:val="32"/>
          <w:szCs w:val="32"/>
          <w:lang w:val="en-US" w:eastAsia="zh-CN"/>
        </w:rPr>
        <w:t>0</w:t>
      </w:r>
      <w:r>
        <w:rPr>
          <w:rFonts w:hint="eastAsia" w:eastAsia="仿宋_GB2312" w:cs="仿宋_GB2312"/>
          <w:sz w:val="32"/>
          <w:szCs w:val="32"/>
        </w:rPr>
        <w:t>%。与上年度相比，政府性基金预算财政拨款支出不变，都为0万元。</w:t>
      </w:r>
    </w:p>
    <w:p w14:paraId="51A596AA">
      <w:pPr>
        <w:spacing w:line="600" w:lineRule="exact"/>
        <w:ind w:left="630"/>
        <w:outlineLvl w:val="1"/>
        <w:rPr>
          <w:rStyle w:val="37"/>
          <w:rFonts w:ascii="Times New Roman" w:hAnsi="Times New Roman" w:eastAsia="黑体"/>
          <w:b w:val="0"/>
        </w:rPr>
      </w:pPr>
      <w:r>
        <w:rPr>
          <w:rStyle w:val="37"/>
          <w:rFonts w:hint="eastAsia" w:ascii="Times New Roman" w:hAnsi="Times New Roman" w:eastAsia="黑体"/>
          <w:b w:val="0"/>
        </w:rPr>
        <w:t>九、国有资本经营预算支出决算情况说明</w:t>
      </w:r>
    </w:p>
    <w:p w14:paraId="14927292">
      <w:pPr>
        <w:pStyle w:val="38"/>
        <w:rPr>
          <w:rFonts w:hint="eastAsia" w:eastAsia="仿宋_GB2312" w:cs="仿宋_GB2312"/>
          <w:sz w:val="32"/>
          <w:szCs w:val="32"/>
          <w:lang w:val="en-US" w:eastAsia="zh-CN"/>
        </w:rPr>
      </w:pPr>
      <w:r>
        <w:rPr>
          <w:rFonts w:hint="eastAsia" w:eastAsia="仿宋_GB2312" w:cs="仿宋_GB2312"/>
          <w:sz w:val="32"/>
          <w:szCs w:val="32"/>
        </w:rPr>
        <w:t>2025年度国有资本经营预算财政拨款支出</w:t>
      </w:r>
      <w:r>
        <w:rPr>
          <w:rFonts w:hint="eastAsia" w:eastAsia="仿宋_GB2312" w:cs="仿宋_GB2312"/>
          <w:sz w:val="32"/>
          <w:szCs w:val="32"/>
          <w:lang w:val="en-US" w:eastAsia="zh-CN"/>
        </w:rPr>
        <w:t>0</w:t>
      </w:r>
      <w:r>
        <w:rPr>
          <w:rFonts w:hint="eastAsia" w:eastAsia="仿宋_GB2312" w:cs="仿宋_GB2312"/>
          <w:sz w:val="32"/>
          <w:szCs w:val="32"/>
        </w:rPr>
        <w:t>万元，占本年支出合计的</w:t>
      </w:r>
      <w:r>
        <w:rPr>
          <w:rFonts w:hint="eastAsia" w:eastAsia="仿宋_GB2312" w:cs="仿宋_GB2312"/>
          <w:sz w:val="32"/>
          <w:szCs w:val="32"/>
          <w:lang w:val="en-US" w:eastAsia="zh-CN"/>
        </w:rPr>
        <w:t>0</w:t>
      </w:r>
      <w:r>
        <w:rPr>
          <w:rFonts w:hint="eastAsia" w:eastAsia="仿宋_GB2312" w:cs="仿宋_GB2312"/>
          <w:sz w:val="32"/>
          <w:szCs w:val="32"/>
        </w:rPr>
        <w:t>%。与上年度相比，国有资本经营预算财政拨款支出</w:t>
      </w:r>
      <w:r>
        <w:rPr>
          <w:rFonts w:hint="eastAsia" w:eastAsia="仿宋_GB2312" w:cs="仿宋_GB2312"/>
          <w:sz w:val="32"/>
          <w:szCs w:val="32"/>
          <w:lang w:eastAsia="zh-CN"/>
        </w:rPr>
        <w:t>不变，都为</w:t>
      </w:r>
      <w:r>
        <w:rPr>
          <w:rFonts w:hint="eastAsia" w:eastAsia="仿宋_GB2312" w:cs="仿宋_GB2312"/>
          <w:sz w:val="32"/>
          <w:szCs w:val="32"/>
          <w:lang w:val="en-US" w:eastAsia="zh-CN"/>
        </w:rPr>
        <w:t>0万元。</w:t>
      </w:r>
    </w:p>
    <w:p w14:paraId="4A59C309">
      <w:pPr>
        <w:spacing w:line="600" w:lineRule="exact"/>
        <w:ind w:left="630"/>
        <w:outlineLvl w:val="1"/>
        <w:rPr>
          <w:rStyle w:val="37"/>
          <w:rFonts w:ascii="Times New Roman" w:hAnsi="Times New Roman" w:eastAsia="黑体"/>
          <w:b w:val="0"/>
        </w:rPr>
      </w:pPr>
      <w:r>
        <w:rPr>
          <w:rStyle w:val="37"/>
          <w:rFonts w:hint="eastAsia" w:ascii="Times New Roman" w:hAnsi="Times New Roman" w:eastAsia="黑体"/>
          <w:b w:val="0"/>
        </w:rPr>
        <w:t>十、其他重要事项的情况说明</w:t>
      </w:r>
    </w:p>
    <w:p w14:paraId="53E8F5C6">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（一）机关运行经费支出情况</w:t>
      </w:r>
    </w:p>
    <w:p w14:paraId="16FB45B6">
      <w:pPr>
        <w:snapToGrid w:val="0"/>
        <w:spacing w:line="520" w:lineRule="exact"/>
        <w:ind w:firstLine="640" w:firstLineChars="200"/>
        <w:rPr>
          <w:rFonts w:hint="default" w:eastAsia="仿宋_GB2312" w:cs="仿宋_GB2312"/>
          <w:sz w:val="32"/>
          <w:szCs w:val="32"/>
          <w:lang w:val="en-US"/>
        </w:rPr>
      </w:pPr>
      <w:r>
        <w:rPr>
          <w:rFonts w:hint="eastAsia" w:eastAsia="仿宋_GB2312" w:cs="仿宋_GB2312"/>
          <w:sz w:val="32"/>
          <w:szCs w:val="32"/>
        </w:rPr>
        <w:t>2025年度，</w:t>
      </w:r>
      <w:r>
        <w:rPr>
          <w:rFonts w:hint="eastAsia" w:ascii="仿宋_GB2312" w:hAnsi="仿宋_GB2312" w:eastAsia="仿宋_GB2312" w:cs="仿宋_GB2312"/>
          <w:sz w:val="32"/>
          <w:szCs w:val="32"/>
        </w:rPr>
        <w:t>攀枝花市公安局东区分局</w:t>
      </w:r>
      <w:r>
        <w:rPr>
          <w:rFonts w:hint="eastAsia" w:eastAsia="仿宋_GB2312" w:cs="仿宋_GB2312"/>
          <w:sz w:val="32"/>
          <w:szCs w:val="32"/>
        </w:rPr>
        <w:t>机关运行经费支出</w:t>
      </w:r>
      <w:r>
        <w:rPr>
          <w:rFonts w:hint="eastAsia" w:eastAsia="仿宋_GB2312" w:cs="仿宋_GB2312"/>
          <w:sz w:val="32"/>
          <w:szCs w:val="32"/>
          <w:lang w:val="en-US" w:eastAsia="zh-CN"/>
        </w:rPr>
        <w:t>960.72</w:t>
      </w:r>
      <w:r>
        <w:rPr>
          <w:rFonts w:hint="eastAsia" w:eastAsia="仿宋_GB2312" w:cs="仿宋_GB2312"/>
          <w:sz w:val="32"/>
          <w:szCs w:val="32"/>
        </w:rPr>
        <w:t>万元，比上年度减少</w:t>
      </w:r>
      <w:r>
        <w:rPr>
          <w:rFonts w:hint="eastAsia" w:eastAsia="仿宋_GB2312" w:cs="仿宋_GB2312"/>
          <w:sz w:val="32"/>
          <w:szCs w:val="32"/>
          <w:lang w:val="en-US" w:eastAsia="zh-CN"/>
        </w:rPr>
        <w:t>64.8</w:t>
      </w:r>
      <w:r>
        <w:rPr>
          <w:rFonts w:hint="eastAsia" w:eastAsia="仿宋_GB2312" w:cs="仿宋_GB2312"/>
          <w:sz w:val="32"/>
          <w:szCs w:val="32"/>
        </w:rPr>
        <w:t>万元，下降</w:t>
      </w:r>
      <w:r>
        <w:rPr>
          <w:rFonts w:hint="eastAsia" w:eastAsia="仿宋_GB2312" w:cs="仿宋_GB2312"/>
          <w:sz w:val="32"/>
          <w:szCs w:val="32"/>
          <w:lang w:val="en-US" w:eastAsia="zh-CN"/>
        </w:rPr>
        <w:t>6</w:t>
      </w:r>
      <w:r>
        <w:rPr>
          <w:rFonts w:hint="eastAsia" w:eastAsia="仿宋_GB2312" w:cs="仿宋_GB2312"/>
          <w:sz w:val="32"/>
          <w:szCs w:val="32"/>
        </w:rPr>
        <w:t>%。主要原因是</w:t>
      </w:r>
      <w:r>
        <w:rPr>
          <w:rFonts w:hint="eastAsia" w:ascii="仿宋_GB2312" w:hAnsi="仿宋" w:eastAsia="仿宋_GB2312"/>
          <w:sz w:val="32"/>
          <w:szCs w:val="32"/>
          <w:lang w:val="en-US" w:eastAsia="zh-CN"/>
        </w:rPr>
        <w:t>公务用车运行维护费减少。</w:t>
      </w:r>
    </w:p>
    <w:p w14:paraId="18B2D91C">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（二）政府采购支出情况</w:t>
      </w:r>
    </w:p>
    <w:p w14:paraId="4EFFADC3">
      <w:pPr>
        <w:spacing w:line="600" w:lineRule="exact"/>
        <w:ind w:firstLine="640"/>
        <w:rPr>
          <w:rFonts w:eastAsia="仿宋_GB2312" w:cs="仿宋_GB2312"/>
          <w:sz w:val="32"/>
          <w:szCs w:val="32"/>
        </w:rPr>
      </w:pPr>
      <w:r>
        <w:rPr>
          <w:rFonts w:hint="eastAsia" w:eastAsia="仿宋_GB2312" w:cs="仿宋_GB2312"/>
          <w:sz w:val="32"/>
          <w:szCs w:val="32"/>
        </w:rPr>
        <w:t>2025年度，</w:t>
      </w:r>
      <w:r>
        <w:rPr>
          <w:rFonts w:hint="eastAsia" w:eastAsia="仿宋_GB2312" w:cs="仿宋_GB2312"/>
          <w:sz w:val="32"/>
          <w:szCs w:val="32"/>
          <w:lang w:eastAsia="zh-CN"/>
        </w:rPr>
        <w:t>攀枝花市公安局东区分局</w:t>
      </w:r>
      <w:r>
        <w:rPr>
          <w:rFonts w:hint="eastAsia" w:eastAsia="仿宋_GB2312" w:cs="仿宋_GB2312"/>
          <w:sz w:val="32"/>
          <w:szCs w:val="32"/>
        </w:rPr>
        <w:t>政府采购支出总额</w:t>
      </w:r>
      <w:r>
        <w:rPr>
          <w:rFonts w:hint="eastAsia" w:eastAsia="仿宋_GB2312" w:cs="仿宋_GB2312"/>
          <w:sz w:val="32"/>
          <w:szCs w:val="32"/>
          <w:lang w:val="en-US" w:eastAsia="zh-CN"/>
        </w:rPr>
        <w:t>130.12</w:t>
      </w:r>
      <w:r>
        <w:rPr>
          <w:rFonts w:hint="eastAsia" w:eastAsia="仿宋_GB2312" w:cs="仿宋_GB2312"/>
          <w:sz w:val="32"/>
          <w:szCs w:val="32"/>
        </w:rPr>
        <w:t>万元，其中：政府采购货物支出</w:t>
      </w:r>
      <w:r>
        <w:rPr>
          <w:rFonts w:hint="eastAsia" w:eastAsia="仿宋_GB2312" w:cs="仿宋_GB2312"/>
          <w:sz w:val="32"/>
          <w:szCs w:val="32"/>
          <w:lang w:val="en-US" w:eastAsia="zh-CN"/>
        </w:rPr>
        <w:t>75.45</w:t>
      </w:r>
      <w:r>
        <w:rPr>
          <w:rFonts w:hint="eastAsia" w:eastAsia="仿宋_GB2312" w:cs="仿宋_GB2312"/>
          <w:sz w:val="32"/>
          <w:szCs w:val="32"/>
        </w:rPr>
        <w:t>万元、政府采购工程支出</w:t>
      </w:r>
      <w:r>
        <w:rPr>
          <w:rFonts w:hint="eastAsia" w:eastAsia="仿宋_GB2312" w:cs="仿宋_GB2312"/>
          <w:sz w:val="32"/>
          <w:szCs w:val="32"/>
          <w:lang w:val="en-US" w:eastAsia="zh-CN"/>
        </w:rPr>
        <w:t>0</w:t>
      </w:r>
      <w:r>
        <w:rPr>
          <w:rFonts w:hint="eastAsia" w:eastAsia="仿宋_GB2312" w:cs="仿宋_GB2312"/>
          <w:sz w:val="32"/>
          <w:szCs w:val="32"/>
        </w:rPr>
        <w:t>万元、政府采购服务支出</w:t>
      </w:r>
      <w:r>
        <w:rPr>
          <w:rFonts w:hint="eastAsia" w:eastAsia="仿宋_GB2312" w:cs="仿宋_GB2312"/>
          <w:sz w:val="32"/>
          <w:szCs w:val="32"/>
          <w:lang w:val="en-US" w:eastAsia="zh-CN"/>
        </w:rPr>
        <w:t>54.67</w:t>
      </w:r>
      <w:r>
        <w:rPr>
          <w:rFonts w:hint="eastAsia" w:eastAsia="仿宋_GB2312" w:cs="仿宋_GB2312"/>
          <w:sz w:val="32"/>
          <w:szCs w:val="32"/>
        </w:rPr>
        <w:t>万元。主要用于</w:t>
      </w:r>
      <w:r>
        <w:rPr>
          <w:rFonts w:hint="eastAsia" w:ascii="仿宋_GB2312" w:eastAsia="仿宋_GB2312"/>
          <w:sz w:val="32"/>
          <w:szCs w:val="32"/>
        </w:rPr>
        <w:t>办公设备采购、装备采购</w:t>
      </w:r>
      <w:r>
        <w:rPr>
          <w:rFonts w:hint="eastAsia" w:ascii="仿宋_GB2312" w:eastAsia="仿宋_GB2312"/>
          <w:sz w:val="32"/>
          <w:szCs w:val="32"/>
          <w:lang w:eastAsia="zh-CN"/>
        </w:rPr>
        <w:t>、</w:t>
      </w:r>
      <w:r>
        <w:rPr>
          <w:rFonts w:hint="eastAsia" w:ascii="仿宋_GB2312" w:eastAsia="仿宋_GB2312"/>
          <w:sz w:val="32"/>
          <w:szCs w:val="32"/>
        </w:rPr>
        <w:t>刑侦设备的采购以及门卫、保安、食堂食材、劳务、物业等的服务采购</w:t>
      </w:r>
      <w:r>
        <w:rPr>
          <w:rFonts w:hint="eastAsia" w:eastAsia="仿宋_GB2312" w:cs="仿宋_GB2312"/>
          <w:sz w:val="32"/>
          <w:szCs w:val="32"/>
        </w:rPr>
        <w:t>。授予中小企业合同金额</w:t>
      </w:r>
      <w:r>
        <w:rPr>
          <w:rFonts w:hint="eastAsia" w:eastAsia="仿宋_GB2312" w:cs="仿宋_GB2312"/>
          <w:sz w:val="32"/>
          <w:szCs w:val="32"/>
          <w:lang w:val="en-US" w:eastAsia="zh-CN"/>
        </w:rPr>
        <w:t>126.6</w:t>
      </w:r>
      <w:r>
        <w:rPr>
          <w:rFonts w:hint="eastAsia" w:eastAsia="仿宋_GB2312" w:cs="仿宋_GB2312"/>
          <w:sz w:val="32"/>
          <w:szCs w:val="32"/>
        </w:rPr>
        <w:t>万元，占政府采购支出总额的</w:t>
      </w:r>
      <w:r>
        <w:rPr>
          <w:rFonts w:hint="eastAsia" w:eastAsia="仿宋_GB2312" w:cs="仿宋_GB2312"/>
          <w:sz w:val="32"/>
          <w:szCs w:val="32"/>
          <w:lang w:val="en-US" w:eastAsia="zh-CN"/>
        </w:rPr>
        <w:t>97</w:t>
      </w:r>
      <w:r>
        <w:rPr>
          <w:rFonts w:hint="eastAsia" w:eastAsia="仿宋_GB2312" w:cs="仿宋_GB2312"/>
          <w:sz w:val="32"/>
          <w:szCs w:val="32"/>
        </w:rPr>
        <w:t>%，其中：授予小微企业合同金额</w:t>
      </w:r>
      <w:r>
        <w:rPr>
          <w:rFonts w:hint="eastAsia" w:eastAsia="仿宋_GB2312" w:cs="仿宋_GB2312"/>
          <w:sz w:val="32"/>
          <w:szCs w:val="32"/>
          <w:lang w:val="en-US" w:eastAsia="zh-CN"/>
        </w:rPr>
        <w:t>83.28</w:t>
      </w:r>
      <w:r>
        <w:rPr>
          <w:rFonts w:hint="eastAsia" w:eastAsia="仿宋_GB2312" w:cs="仿宋_GB2312"/>
          <w:sz w:val="32"/>
          <w:szCs w:val="32"/>
        </w:rPr>
        <w:t>万元，占政府采购支出总额的</w:t>
      </w:r>
      <w:r>
        <w:rPr>
          <w:rFonts w:hint="eastAsia" w:eastAsia="仿宋_GB2312" w:cs="仿宋_GB2312"/>
          <w:sz w:val="32"/>
          <w:szCs w:val="32"/>
          <w:lang w:val="en-US" w:eastAsia="zh-CN"/>
        </w:rPr>
        <w:t>64</w:t>
      </w:r>
      <w:r>
        <w:rPr>
          <w:rFonts w:hint="eastAsia" w:eastAsia="仿宋_GB2312" w:cs="仿宋_GB2312"/>
          <w:sz w:val="32"/>
          <w:szCs w:val="32"/>
        </w:rPr>
        <w:t>%。</w:t>
      </w:r>
    </w:p>
    <w:p w14:paraId="7B754DE5">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（三）国有资产占有使用情况</w:t>
      </w:r>
    </w:p>
    <w:p w14:paraId="0AA0231E">
      <w:pPr>
        <w:spacing w:line="600" w:lineRule="exact"/>
        <w:ind w:firstLine="640"/>
        <w:rPr>
          <w:rFonts w:eastAsia="仿宋_GB2312" w:cs="仿宋_GB2312"/>
          <w:sz w:val="32"/>
          <w:szCs w:val="32"/>
        </w:rPr>
      </w:pPr>
      <w:r>
        <w:rPr>
          <w:rFonts w:hint="eastAsia" w:eastAsia="仿宋_GB2312" w:cs="仿宋_GB2312"/>
          <w:sz w:val="32"/>
          <w:szCs w:val="32"/>
        </w:rPr>
        <w:t>截至2025年12月31日，</w:t>
      </w:r>
      <w:r>
        <w:rPr>
          <w:rFonts w:hint="eastAsia" w:eastAsia="仿宋_GB2312" w:cs="仿宋_GB2312"/>
          <w:sz w:val="32"/>
          <w:szCs w:val="32"/>
          <w:lang w:eastAsia="zh-CN"/>
        </w:rPr>
        <w:t>攀枝花市公安局东区分局</w:t>
      </w:r>
      <w:r>
        <w:rPr>
          <w:rFonts w:hint="eastAsia" w:eastAsia="仿宋_GB2312" w:cs="仿宋_GB2312"/>
          <w:sz w:val="32"/>
          <w:szCs w:val="32"/>
        </w:rPr>
        <w:t>共有车辆</w:t>
      </w:r>
      <w:r>
        <w:rPr>
          <w:rFonts w:hint="eastAsia" w:eastAsia="仿宋_GB2312" w:cs="仿宋_GB2312"/>
          <w:sz w:val="32"/>
          <w:szCs w:val="32"/>
          <w:lang w:val="en-US" w:eastAsia="zh-CN"/>
        </w:rPr>
        <w:t>91</w:t>
      </w:r>
      <w:r>
        <w:rPr>
          <w:rFonts w:hint="eastAsia" w:eastAsia="仿宋_GB2312" w:cs="仿宋_GB2312"/>
          <w:sz w:val="32"/>
          <w:szCs w:val="32"/>
        </w:rPr>
        <w:t>辆，其中：副部（省）级及以上领导用车</w:t>
      </w:r>
      <w:r>
        <w:rPr>
          <w:rFonts w:hint="eastAsia" w:eastAsia="仿宋_GB2312" w:cs="仿宋_GB2312"/>
          <w:sz w:val="32"/>
          <w:szCs w:val="32"/>
          <w:lang w:val="en-US" w:eastAsia="zh-CN"/>
        </w:rPr>
        <w:t>0</w:t>
      </w:r>
      <w:r>
        <w:rPr>
          <w:rFonts w:hint="eastAsia" w:eastAsia="仿宋_GB2312" w:cs="仿宋_GB2312"/>
          <w:sz w:val="32"/>
          <w:szCs w:val="32"/>
        </w:rPr>
        <w:t>辆、主要负责人用车</w:t>
      </w:r>
      <w:r>
        <w:rPr>
          <w:rFonts w:hint="eastAsia" w:eastAsia="仿宋_GB2312" w:cs="仿宋_GB2312"/>
          <w:sz w:val="32"/>
          <w:szCs w:val="32"/>
          <w:lang w:val="en-US" w:eastAsia="zh-CN"/>
        </w:rPr>
        <w:t>0</w:t>
      </w:r>
      <w:r>
        <w:rPr>
          <w:rFonts w:hint="eastAsia" w:eastAsia="仿宋_GB2312" w:cs="仿宋_GB2312"/>
          <w:sz w:val="32"/>
          <w:szCs w:val="32"/>
        </w:rPr>
        <w:t>辆、机要通信用车</w:t>
      </w:r>
      <w:r>
        <w:rPr>
          <w:rFonts w:hint="eastAsia" w:eastAsia="仿宋_GB2312" w:cs="仿宋_GB2312"/>
          <w:sz w:val="32"/>
          <w:szCs w:val="32"/>
          <w:lang w:val="en-US" w:eastAsia="zh-CN"/>
        </w:rPr>
        <w:t>0</w:t>
      </w:r>
      <w:r>
        <w:rPr>
          <w:rFonts w:hint="eastAsia" w:eastAsia="仿宋_GB2312" w:cs="仿宋_GB2312"/>
          <w:sz w:val="32"/>
          <w:szCs w:val="32"/>
        </w:rPr>
        <w:t>辆、应急保障用车</w:t>
      </w:r>
      <w:r>
        <w:rPr>
          <w:rFonts w:hint="eastAsia" w:eastAsia="仿宋_GB2312" w:cs="仿宋_GB2312"/>
          <w:sz w:val="32"/>
          <w:szCs w:val="32"/>
          <w:lang w:val="en-US" w:eastAsia="zh-CN"/>
        </w:rPr>
        <w:t>0</w:t>
      </w:r>
      <w:r>
        <w:rPr>
          <w:rFonts w:hint="eastAsia" w:eastAsia="仿宋_GB2312" w:cs="仿宋_GB2312"/>
          <w:sz w:val="32"/>
          <w:szCs w:val="32"/>
        </w:rPr>
        <w:t>辆、执法执勤用车</w:t>
      </w:r>
      <w:r>
        <w:rPr>
          <w:rFonts w:hint="eastAsia" w:eastAsia="仿宋_GB2312" w:cs="仿宋_GB2312"/>
          <w:sz w:val="32"/>
          <w:szCs w:val="32"/>
          <w:lang w:val="en-US" w:eastAsia="zh-CN"/>
        </w:rPr>
        <w:t>91</w:t>
      </w:r>
      <w:r>
        <w:rPr>
          <w:rFonts w:hint="eastAsia" w:eastAsia="仿宋_GB2312" w:cs="仿宋_GB2312"/>
          <w:sz w:val="32"/>
          <w:szCs w:val="32"/>
        </w:rPr>
        <w:t>辆、特种专业技术用车</w:t>
      </w:r>
      <w:r>
        <w:rPr>
          <w:rFonts w:hint="eastAsia" w:eastAsia="仿宋_GB2312" w:cs="仿宋_GB2312"/>
          <w:sz w:val="32"/>
          <w:szCs w:val="32"/>
          <w:lang w:val="en-US" w:eastAsia="zh-CN"/>
        </w:rPr>
        <w:t>0</w:t>
      </w:r>
      <w:r>
        <w:rPr>
          <w:rFonts w:hint="eastAsia" w:eastAsia="仿宋_GB2312" w:cs="仿宋_GB2312"/>
          <w:sz w:val="32"/>
          <w:szCs w:val="32"/>
        </w:rPr>
        <w:t>辆、离退休干部服务用车</w:t>
      </w:r>
      <w:r>
        <w:rPr>
          <w:rFonts w:hint="eastAsia" w:eastAsia="仿宋_GB2312" w:cs="仿宋_GB2312"/>
          <w:sz w:val="32"/>
          <w:szCs w:val="32"/>
          <w:lang w:val="en-US" w:eastAsia="zh-CN"/>
        </w:rPr>
        <w:t>0</w:t>
      </w:r>
      <w:r>
        <w:rPr>
          <w:rFonts w:hint="eastAsia" w:eastAsia="仿宋_GB2312" w:cs="仿宋_GB2312"/>
          <w:sz w:val="32"/>
          <w:szCs w:val="32"/>
        </w:rPr>
        <w:t>辆、其他用车</w:t>
      </w:r>
      <w:r>
        <w:rPr>
          <w:rFonts w:hint="eastAsia" w:eastAsia="仿宋_GB2312" w:cs="仿宋_GB2312"/>
          <w:sz w:val="32"/>
          <w:szCs w:val="32"/>
          <w:lang w:val="en-US" w:eastAsia="zh-CN"/>
        </w:rPr>
        <w:t>0</w:t>
      </w:r>
      <w:r>
        <w:rPr>
          <w:rFonts w:hint="eastAsia" w:eastAsia="仿宋_GB2312" w:cs="仿宋_GB2312"/>
          <w:sz w:val="32"/>
          <w:szCs w:val="32"/>
        </w:rPr>
        <w:t>辆。单价100万元（含）以上设备（不含车辆）</w:t>
      </w:r>
      <w:r>
        <w:rPr>
          <w:rFonts w:hint="eastAsia" w:eastAsia="仿宋_GB2312" w:cs="仿宋_GB2312"/>
          <w:sz w:val="32"/>
          <w:szCs w:val="32"/>
          <w:lang w:val="en-US" w:eastAsia="zh-CN"/>
        </w:rPr>
        <w:t>0</w:t>
      </w:r>
      <w:r>
        <w:rPr>
          <w:rFonts w:hint="eastAsia" w:eastAsia="仿宋_GB2312" w:cs="仿宋_GB2312"/>
          <w:sz w:val="32"/>
          <w:szCs w:val="32"/>
        </w:rPr>
        <w:t>台（套）。</w:t>
      </w:r>
    </w:p>
    <w:p w14:paraId="3DB4668B">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（四）预算绩效管理情况</w:t>
      </w:r>
    </w:p>
    <w:p w14:paraId="5B440FE7">
      <w:pPr>
        <w:spacing w:line="600" w:lineRule="exact"/>
        <w:ind w:firstLine="640"/>
        <w:rPr>
          <w:rFonts w:eastAsia="仿宋_GB2312" w:cs="仿宋_GB2312"/>
          <w:sz w:val="32"/>
          <w:szCs w:val="32"/>
        </w:rPr>
      </w:pPr>
      <w:r>
        <w:rPr>
          <w:rFonts w:hint="eastAsia" w:eastAsia="仿宋_GB2312" w:cs="仿宋_GB2312"/>
          <w:sz w:val="32"/>
          <w:szCs w:val="32"/>
        </w:rPr>
        <w:t>根据预算绩效管理要求，</w:t>
      </w:r>
      <w:r>
        <w:rPr>
          <w:rFonts w:hint="eastAsia" w:eastAsia="仿宋_GB2312" w:cs="仿宋_GB2312"/>
          <w:sz w:val="32"/>
          <w:szCs w:val="32"/>
          <w:lang w:eastAsia="zh-CN"/>
        </w:rPr>
        <w:t>攀枝花市公安局东区</w:t>
      </w:r>
      <w:r>
        <w:rPr>
          <w:rFonts w:hint="eastAsia" w:eastAsia="仿宋_GB2312" w:cs="仿宋_GB2312"/>
          <w:sz w:val="32"/>
          <w:szCs w:val="32"/>
        </w:rPr>
        <w:t>在2025年度，组织对</w:t>
      </w:r>
      <w:r>
        <w:rPr>
          <w:rFonts w:hint="eastAsia" w:ascii="仿宋_GB2312" w:hAnsi="仿宋" w:eastAsia="仿宋_GB2312"/>
          <w:sz w:val="32"/>
          <w:szCs w:val="32"/>
        </w:rPr>
        <w:t>政法转移1</w:t>
      </w:r>
      <w:r>
        <w:rPr>
          <w:rFonts w:hint="eastAsia" w:ascii="仿宋_GB2312" w:hAnsi="仿宋" w:eastAsia="仿宋_GB2312"/>
          <w:sz w:val="32"/>
          <w:szCs w:val="32"/>
          <w:lang w:eastAsia="zh-CN"/>
        </w:rPr>
        <w:t>、</w:t>
      </w:r>
      <w:r>
        <w:rPr>
          <w:rFonts w:hint="eastAsia" w:ascii="仿宋_GB2312" w:hAnsi="仿宋" w:eastAsia="仿宋_GB2312"/>
          <w:sz w:val="32"/>
          <w:szCs w:val="32"/>
        </w:rPr>
        <w:t>2024年第二批</w:t>
      </w:r>
      <w:r>
        <w:rPr>
          <w:rFonts w:hint="eastAsia" w:ascii="仿宋_GB2312" w:hAnsi="仿宋" w:eastAsia="仿宋_GB2312" w:cs="Times New Roman"/>
          <w:sz w:val="32"/>
          <w:szCs w:val="32"/>
          <w:lang w:val="en-US" w:eastAsia="zh-CN"/>
        </w:rPr>
        <w:t>转移支付、2025年政法转移支付资金、司法救助、2025年攀枝花市公安局东区分局特别业务费</w:t>
      </w:r>
      <w:r>
        <w:rPr>
          <w:rFonts w:hint="eastAsia" w:eastAsia="仿宋_GB2312" w:cs="仿宋_GB2312"/>
          <w:sz w:val="32"/>
          <w:szCs w:val="32"/>
        </w:rPr>
        <w:t>等</w:t>
      </w:r>
      <w:r>
        <w:rPr>
          <w:rFonts w:hint="eastAsia" w:eastAsia="仿宋_GB2312" w:cs="仿宋_GB2312"/>
          <w:sz w:val="32"/>
          <w:szCs w:val="32"/>
          <w:lang w:val="en-US" w:eastAsia="zh-CN"/>
        </w:rPr>
        <w:t>5</w:t>
      </w:r>
      <w:r>
        <w:rPr>
          <w:rFonts w:hint="eastAsia" w:eastAsia="仿宋_GB2312" w:cs="仿宋_GB2312"/>
          <w:sz w:val="32"/>
          <w:szCs w:val="32"/>
        </w:rPr>
        <w:t>个项目涉及金额</w:t>
      </w:r>
      <w:r>
        <w:rPr>
          <w:rFonts w:hint="eastAsia" w:eastAsia="仿宋_GB2312" w:cs="仿宋_GB2312"/>
          <w:sz w:val="32"/>
          <w:szCs w:val="32"/>
          <w:lang w:val="en-US" w:eastAsia="zh-CN"/>
        </w:rPr>
        <w:t>982.98</w:t>
      </w:r>
      <w:r>
        <w:rPr>
          <w:rFonts w:hint="eastAsia" w:eastAsia="仿宋_GB2312" w:cs="仿宋_GB2312"/>
          <w:sz w:val="32"/>
          <w:szCs w:val="32"/>
        </w:rPr>
        <w:t>万元开展了事前绩效评估，对</w:t>
      </w:r>
      <w:r>
        <w:rPr>
          <w:rFonts w:hint="eastAsia" w:eastAsia="仿宋_GB2312" w:cs="仿宋_GB2312"/>
          <w:sz w:val="32"/>
          <w:szCs w:val="32"/>
          <w:lang w:val="en-US" w:eastAsia="zh-CN"/>
        </w:rPr>
        <w:t>5</w:t>
      </w:r>
      <w:r>
        <w:rPr>
          <w:rFonts w:hint="eastAsia" w:eastAsia="仿宋_GB2312" w:cs="仿宋_GB2312"/>
          <w:sz w:val="32"/>
          <w:szCs w:val="32"/>
        </w:rPr>
        <w:t>个项目编制了绩效目标，预算执行过程中，选取</w:t>
      </w:r>
      <w:r>
        <w:rPr>
          <w:rFonts w:hint="eastAsia" w:eastAsia="仿宋_GB2312" w:cs="仿宋_GB2312"/>
          <w:sz w:val="32"/>
          <w:szCs w:val="32"/>
          <w:lang w:val="en-US" w:eastAsia="zh-CN"/>
        </w:rPr>
        <w:t>5</w:t>
      </w:r>
      <w:r>
        <w:rPr>
          <w:rFonts w:hint="eastAsia" w:eastAsia="仿宋_GB2312" w:cs="仿宋_GB2312"/>
          <w:sz w:val="32"/>
          <w:szCs w:val="32"/>
        </w:rPr>
        <w:t>个项目开展绩效监控。</w:t>
      </w:r>
    </w:p>
    <w:p w14:paraId="1E187E58">
      <w:pPr>
        <w:spacing w:line="600" w:lineRule="exact"/>
        <w:ind w:firstLine="640"/>
        <w:rPr>
          <w:rFonts w:hint="eastAsia" w:eastAsia="仿宋_GB2312" w:cs="仿宋_GB2312"/>
          <w:sz w:val="32"/>
          <w:szCs w:val="32"/>
        </w:rPr>
      </w:pPr>
      <w:r>
        <w:rPr>
          <w:rFonts w:hint="eastAsia" w:eastAsia="仿宋_GB2312" w:cs="仿宋_GB2312"/>
          <w:sz w:val="32"/>
          <w:szCs w:val="32"/>
        </w:rPr>
        <w:t>组织对2025年度一般公共预算形成</w:t>
      </w:r>
      <w:r>
        <w:rPr>
          <w:rFonts w:hint="eastAsia" w:eastAsia="仿宋_GB2312" w:cs="仿宋_GB2312"/>
          <w:sz w:val="32"/>
          <w:szCs w:val="32"/>
          <w:lang w:eastAsia="zh-CN"/>
        </w:rPr>
        <w:t>攀枝花市公安局东区分局</w:t>
      </w:r>
      <w:r>
        <w:rPr>
          <w:rFonts w:hint="eastAsia" w:eastAsia="仿宋_GB2312" w:cs="仿宋_GB2312"/>
          <w:sz w:val="32"/>
          <w:szCs w:val="32"/>
        </w:rPr>
        <w:t>部门预算绩效自评报告、</w:t>
      </w:r>
      <w:r>
        <w:rPr>
          <w:rFonts w:hint="eastAsia" w:eastAsia="仿宋_GB2312" w:cs="仿宋_GB2312"/>
          <w:sz w:val="32"/>
          <w:szCs w:val="32"/>
          <w:lang w:eastAsia="zh-CN"/>
        </w:rPr>
        <w:t>攀枝花市公安局东区分局司法补助</w:t>
      </w:r>
      <w:r>
        <w:rPr>
          <w:rFonts w:hint="eastAsia" w:eastAsia="仿宋_GB2312" w:cs="仿宋_GB2312"/>
          <w:sz w:val="32"/>
          <w:szCs w:val="32"/>
        </w:rPr>
        <w:t>专项预算项目绩效自评报告，其中，</w:t>
      </w:r>
      <w:r>
        <w:rPr>
          <w:rFonts w:hint="eastAsia" w:eastAsia="仿宋_GB2312" w:cs="仿宋_GB2312"/>
          <w:sz w:val="32"/>
          <w:szCs w:val="32"/>
          <w:lang w:eastAsia="zh-CN"/>
        </w:rPr>
        <w:t>攀枝花市公安局东区分局</w:t>
      </w:r>
      <w:r>
        <w:rPr>
          <w:rFonts w:hint="eastAsia" w:eastAsia="仿宋_GB2312" w:cs="仿宋_GB2312"/>
          <w:sz w:val="32"/>
          <w:szCs w:val="32"/>
        </w:rPr>
        <w:t>部门预算绩效自评得分为</w:t>
      </w:r>
      <w:r>
        <w:rPr>
          <w:rFonts w:hint="eastAsia" w:eastAsia="仿宋_GB2312" w:cs="仿宋_GB2312"/>
          <w:sz w:val="32"/>
          <w:szCs w:val="32"/>
          <w:lang w:val="en-US" w:eastAsia="zh-CN"/>
        </w:rPr>
        <w:t>93</w:t>
      </w:r>
      <w:r>
        <w:rPr>
          <w:rFonts w:hint="eastAsia" w:eastAsia="仿宋_GB2312" w:cs="仿宋_GB2312"/>
          <w:sz w:val="32"/>
          <w:szCs w:val="32"/>
        </w:rPr>
        <w:t>分，绩效自评综述</w:t>
      </w:r>
      <w:r>
        <w:rPr>
          <w:rFonts w:hint="eastAsia" w:eastAsia="仿宋_GB2312" w:cs="仿宋_GB2312"/>
          <w:sz w:val="32"/>
          <w:szCs w:val="32"/>
          <w:lang w:eastAsia="zh-CN"/>
        </w:rPr>
        <w:t>严格执行预算管理制度，资金使用合规安全，预算执行总体到位、各项绩效目标基本完成</w:t>
      </w:r>
      <w:r>
        <w:rPr>
          <w:rFonts w:hint="eastAsia" w:eastAsia="仿宋_GB2312" w:cs="仿宋_GB2312"/>
          <w:sz w:val="32"/>
          <w:szCs w:val="32"/>
        </w:rPr>
        <w:t>；</w:t>
      </w:r>
      <w:r>
        <w:rPr>
          <w:rFonts w:hint="eastAsia" w:eastAsia="仿宋_GB2312" w:cs="仿宋_GB2312"/>
          <w:sz w:val="32"/>
          <w:szCs w:val="32"/>
          <w:lang w:eastAsia="zh-CN"/>
        </w:rPr>
        <w:t>攀枝花市公安局东区分局司法补助</w:t>
      </w:r>
      <w:r>
        <w:rPr>
          <w:rFonts w:hint="eastAsia" w:eastAsia="仿宋_GB2312" w:cs="仿宋_GB2312"/>
          <w:sz w:val="32"/>
          <w:szCs w:val="32"/>
        </w:rPr>
        <w:t>专项预算项目绩效自评得分为</w:t>
      </w:r>
      <w:r>
        <w:rPr>
          <w:rFonts w:hint="eastAsia" w:eastAsia="仿宋_GB2312" w:cs="仿宋_GB2312"/>
          <w:sz w:val="32"/>
          <w:szCs w:val="32"/>
          <w:lang w:val="en-US" w:eastAsia="zh-CN"/>
        </w:rPr>
        <w:t>85</w:t>
      </w:r>
      <w:r>
        <w:rPr>
          <w:rFonts w:hint="eastAsia" w:eastAsia="仿宋_GB2312" w:cs="仿宋_GB2312"/>
          <w:sz w:val="32"/>
          <w:szCs w:val="32"/>
        </w:rPr>
        <w:t>分，绩效自评综述</w:t>
      </w:r>
      <w:r>
        <w:rPr>
          <w:rFonts w:hint="eastAsia" w:eastAsia="仿宋_GB2312" w:cs="仿宋_GB2312"/>
          <w:sz w:val="32"/>
          <w:szCs w:val="32"/>
          <w:lang w:eastAsia="zh-CN"/>
        </w:rPr>
        <w:t>：</w:t>
      </w:r>
      <w:r>
        <w:rPr>
          <w:rFonts w:hint="eastAsia" w:eastAsia="仿宋_GB2312" w:cs="仿宋_GB2312"/>
          <w:sz w:val="32"/>
          <w:szCs w:val="32"/>
        </w:rPr>
        <w:t>本年度司法救助项目立项依据充分、资金管理规范、实施成效明显，较好完成了各项绩效目标，在保障困难群众权益、化解社会矛盾、维护社会稳定等方面发挥了重要作用。绩效自评报告详见附件。</w:t>
      </w:r>
    </w:p>
    <w:p w14:paraId="4581956C">
      <w:pPr>
        <w:spacing w:line="600" w:lineRule="exact"/>
        <w:jc w:val="center"/>
        <w:outlineLvl w:val="0"/>
        <w:rPr>
          <w:rFonts w:hint="eastAsia" w:eastAsia="黑体"/>
          <w:sz w:val="44"/>
          <w:szCs w:val="44"/>
        </w:rPr>
      </w:pPr>
    </w:p>
    <w:p w14:paraId="43BC037F">
      <w:pPr>
        <w:spacing w:line="600" w:lineRule="exact"/>
        <w:jc w:val="center"/>
        <w:outlineLvl w:val="0"/>
        <w:rPr>
          <w:rFonts w:hint="eastAsia" w:eastAsia="黑体"/>
          <w:sz w:val="44"/>
          <w:szCs w:val="44"/>
        </w:rPr>
      </w:pPr>
    </w:p>
    <w:p w14:paraId="0328BFB3">
      <w:pPr>
        <w:spacing w:line="600" w:lineRule="exact"/>
        <w:jc w:val="center"/>
        <w:outlineLvl w:val="0"/>
        <w:rPr>
          <w:rFonts w:hint="eastAsia" w:eastAsia="黑体"/>
          <w:sz w:val="44"/>
          <w:szCs w:val="44"/>
        </w:rPr>
      </w:pPr>
    </w:p>
    <w:p w14:paraId="13018865">
      <w:pPr>
        <w:pStyle w:val="2"/>
        <w:rPr>
          <w:rFonts w:hint="eastAsia"/>
        </w:rPr>
      </w:pPr>
    </w:p>
    <w:p w14:paraId="5B79B846">
      <w:pPr>
        <w:spacing w:line="600" w:lineRule="exact"/>
        <w:jc w:val="center"/>
        <w:outlineLvl w:val="0"/>
        <w:rPr>
          <w:rFonts w:hint="eastAsia" w:eastAsia="黑体"/>
          <w:sz w:val="44"/>
          <w:szCs w:val="44"/>
        </w:rPr>
      </w:pPr>
    </w:p>
    <w:p w14:paraId="4A89D642">
      <w:pPr>
        <w:spacing w:line="600" w:lineRule="exact"/>
        <w:jc w:val="center"/>
        <w:outlineLvl w:val="0"/>
        <w:rPr>
          <w:rFonts w:hint="eastAsia" w:eastAsia="黑体"/>
          <w:sz w:val="44"/>
          <w:szCs w:val="44"/>
        </w:rPr>
      </w:pPr>
    </w:p>
    <w:p w14:paraId="3F9A3415">
      <w:pPr>
        <w:spacing w:line="600" w:lineRule="exact"/>
        <w:jc w:val="center"/>
        <w:outlineLvl w:val="0"/>
        <w:rPr>
          <w:rFonts w:hint="eastAsia" w:eastAsia="黑体"/>
          <w:sz w:val="44"/>
          <w:szCs w:val="44"/>
        </w:rPr>
      </w:pPr>
    </w:p>
    <w:p w14:paraId="693C8523">
      <w:pPr>
        <w:spacing w:line="600" w:lineRule="exact"/>
        <w:jc w:val="center"/>
        <w:outlineLvl w:val="0"/>
        <w:rPr>
          <w:rFonts w:hint="eastAsia" w:eastAsia="黑体"/>
          <w:sz w:val="44"/>
          <w:szCs w:val="44"/>
        </w:rPr>
      </w:pPr>
    </w:p>
    <w:p w14:paraId="20E18DCB">
      <w:pPr>
        <w:spacing w:line="600" w:lineRule="exact"/>
        <w:jc w:val="center"/>
        <w:outlineLvl w:val="0"/>
        <w:rPr>
          <w:rFonts w:hint="eastAsia" w:eastAsia="黑体"/>
          <w:sz w:val="44"/>
          <w:szCs w:val="44"/>
        </w:rPr>
      </w:pPr>
    </w:p>
    <w:p w14:paraId="28B0A6BA">
      <w:pPr>
        <w:spacing w:line="600" w:lineRule="exact"/>
        <w:jc w:val="center"/>
        <w:outlineLvl w:val="0"/>
        <w:rPr>
          <w:rFonts w:hint="eastAsia" w:eastAsia="黑体"/>
          <w:sz w:val="44"/>
          <w:szCs w:val="44"/>
        </w:rPr>
      </w:pPr>
    </w:p>
    <w:p w14:paraId="7A2AA336">
      <w:pPr>
        <w:spacing w:line="600" w:lineRule="exact"/>
        <w:jc w:val="center"/>
        <w:outlineLvl w:val="0"/>
        <w:rPr>
          <w:rFonts w:hint="eastAsia" w:eastAsia="黑体"/>
          <w:sz w:val="44"/>
          <w:szCs w:val="44"/>
        </w:rPr>
      </w:pPr>
    </w:p>
    <w:p w14:paraId="0422992A">
      <w:pPr>
        <w:spacing w:line="600" w:lineRule="exact"/>
        <w:jc w:val="center"/>
        <w:outlineLvl w:val="0"/>
        <w:rPr>
          <w:rFonts w:eastAsia="黑体"/>
          <w:sz w:val="44"/>
          <w:szCs w:val="44"/>
        </w:rPr>
      </w:pPr>
      <w:r>
        <w:rPr>
          <w:rFonts w:hint="eastAsia" w:eastAsia="黑体"/>
          <w:sz w:val="44"/>
          <w:szCs w:val="44"/>
        </w:rPr>
        <w:t>第三部分  名词解释</w:t>
      </w:r>
    </w:p>
    <w:p w14:paraId="11A268E4">
      <w:pPr>
        <w:spacing w:line="600" w:lineRule="exact"/>
        <w:jc w:val="left"/>
        <w:rPr>
          <w:b/>
          <w:sz w:val="44"/>
          <w:szCs w:val="44"/>
        </w:rPr>
      </w:pPr>
    </w:p>
    <w:p w14:paraId="33B67493">
      <w:pPr>
        <w:pStyle w:val="26"/>
        <w:spacing w:after="160" w:line="560" w:lineRule="exact"/>
        <w:ind w:firstLine="640" w:firstLineChars="200"/>
        <w:rPr>
          <w:rFonts w:ascii="仿宋_GB2312" w:eastAsia="仿宋_GB2312"/>
          <w:color w:val="auto"/>
          <w:sz w:val="32"/>
          <w:szCs w:val="32"/>
        </w:rPr>
      </w:pPr>
      <w:r>
        <w:rPr>
          <w:rFonts w:ascii="仿宋_GB2312" w:eastAsia="仿宋_GB2312"/>
          <w:color w:val="auto"/>
          <w:sz w:val="32"/>
          <w:szCs w:val="32"/>
        </w:rPr>
        <w:t>1.</w:t>
      </w:r>
      <w:r>
        <w:rPr>
          <w:rFonts w:hint="eastAsia" w:ascii="仿宋_GB2312" w:eastAsia="仿宋_GB2312"/>
          <w:color w:val="auto"/>
          <w:sz w:val="32"/>
          <w:szCs w:val="32"/>
        </w:rPr>
        <w:t>财政拨款收入：指单位从同级财政部门取得的财政预算资金。</w:t>
      </w:r>
    </w:p>
    <w:p w14:paraId="169EFF2F">
      <w:pPr>
        <w:pStyle w:val="26"/>
        <w:spacing w:after="160" w:line="560" w:lineRule="exact"/>
        <w:ind w:firstLine="640" w:firstLineChars="200"/>
        <w:rPr>
          <w:rFonts w:ascii="仿宋_GB2312" w:eastAsia="仿宋_GB2312"/>
          <w:color w:val="auto"/>
          <w:sz w:val="32"/>
          <w:szCs w:val="32"/>
        </w:rPr>
      </w:pPr>
      <w:r>
        <w:rPr>
          <w:rFonts w:ascii="仿宋_GB2312" w:eastAsia="仿宋_GB2312"/>
          <w:color w:val="auto"/>
          <w:sz w:val="32"/>
          <w:szCs w:val="32"/>
        </w:rPr>
        <w:t>2.</w:t>
      </w:r>
      <w:r>
        <w:rPr>
          <w:rFonts w:hint="eastAsia" w:ascii="仿宋_GB2312" w:eastAsia="仿宋_GB2312"/>
          <w:color w:val="auto"/>
          <w:sz w:val="32"/>
          <w:szCs w:val="32"/>
        </w:rPr>
        <w:t>事业收入：指事业单位开展专业业务活动及辅助活动取得的收入。</w:t>
      </w:r>
    </w:p>
    <w:p w14:paraId="511111BF">
      <w:pPr>
        <w:pStyle w:val="26"/>
        <w:spacing w:after="160" w:line="560" w:lineRule="exact"/>
        <w:ind w:firstLine="640" w:firstLineChars="200"/>
        <w:rPr>
          <w:rFonts w:ascii="仿宋_GB2312" w:eastAsia="仿宋_GB2312"/>
          <w:color w:val="auto"/>
          <w:sz w:val="32"/>
          <w:szCs w:val="32"/>
        </w:rPr>
      </w:pPr>
      <w:r>
        <w:rPr>
          <w:rFonts w:ascii="仿宋_GB2312" w:eastAsia="仿宋_GB2312"/>
          <w:color w:val="auto"/>
          <w:sz w:val="32"/>
          <w:szCs w:val="32"/>
        </w:rPr>
        <w:t>3.</w:t>
      </w:r>
      <w:r>
        <w:rPr>
          <w:rFonts w:hint="eastAsia" w:ascii="仿宋_GB2312" w:eastAsia="仿宋_GB2312"/>
          <w:color w:val="auto"/>
          <w:sz w:val="32"/>
          <w:szCs w:val="32"/>
        </w:rPr>
        <w:t>经营收入：指事业单位在专业业务活动及其辅助活动之外开展非独立核算经营活动取得的收入。</w:t>
      </w:r>
    </w:p>
    <w:p w14:paraId="03940465">
      <w:pPr>
        <w:pStyle w:val="26"/>
        <w:spacing w:after="160" w:line="560" w:lineRule="exact"/>
        <w:ind w:firstLine="640" w:firstLineChars="200"/>
        <w:rPr>
          <w:rFonts w:ascii="仿宋_GB2312" w:eastAsia="仿宋_GB2312"/>
          <w:color w:val="auto"/>
          <w:sz w:val="32"/>
          <w:szCs w:val="32"/>
        </w:rPr>
      </w:pPr>
      <w:r>
        <w:rPr>
          <w:rFonts w:ascii="仿宋_GB2312" w:eastAsia="仿宋_GB2312"/>
          <w:color w:val="auto"/>
          <w:sz w:val="32"/>
          <w:szCs w:val="32"/>
        </w:rPr>
        <w:t>4.</w:t>
      </w:r>
      <w:r>
        <w:rPr>
          <w:rFonts w:hint="eastAsia" w:ascii="仿宋_GB2312" w:eastAsia="仿宋_GB2312"/>
          <w:color w:val="auto"/>
          <w:sz w:val="32"/>
          <w:szCs w:val="32"/>
        </w:rPr>
        <w:t>其他收入：指单位取得的除上述收入以外的各项收入。</w:t>
      </w:r>
    </w:p>
    <w:p w14:paraId="1E7AD583">
      <w:pPr>
        <w:pStyle w:val="26"/>
        <w:spacing w:after="160" w:line="560" w:lineRule="exact"/>
        <w:ind w:firstLine="640" w:firstLineChars="200"/>
        <w:rPr>
          <w:rFonts w:ascii="仿宋_GB2312" w:eastAsia="仿宋_GB2312"/>
          <w:color w:val="auto"/>
          <w:sz w:val="32"/>
          <w:szCs w:val="32"/>
        </w:rPr>
      </w:pPr>
      <w:r>
        <w:rPr>
          <w:rFonts w:ascii="仿宋_GB2312" w:eastAsia="仿宋_GB2312"/>
          <w:color w:val="auto"/>
          <w:sz w:val="32"/>
          <w:szCs w:val="32"/>
        </w:rPr>
        <w:t>5.</w:t>
      </w:r>
      <w:r>
        <w:rPr>
          <w:rFonts w:hint="eastAsia" w:ascii="仿宋_GB2312" w:eastAsia="仿宋_GB2312"/>
          <w:color w:val="auto"/>
          <w:sz w:val="32"/>
          <w:szCs w:val="32"/>
        </w:rPr>
        <w:t>使用非财政拨款结余：指事业单位使用以前年度积累的非财政拨款结余弥补当年收支差额的金额。</w:t>
      </w:r>
    </w:p>
    <w:p w14:paraId="4AE01211">
      <w:pPr>
        <w:pStyle w:val="26"/>
        <w:spacing w:after="160" w:line="560" w:lineRule="exact"/>
        <w:ind w:firstLine="640" w:firstLineChars="200"/>
        <w:rPr>
          <w:rFonts w:ascii="仿宋_GB2312" w:eastAsia="仿宋_GB2312"/>
          <w:color w:val="auto"/>
          <w:sz w:val="32"/>
          <w:szCs w:val="32"/>
        </w:rPr>
      </w:pPr>
      <w:r>
        <w:rPr>
          <w:rFonts w:ascii="仿宋_GB2312" w:eastAsia="仿宋_GB2312"/>
          <w:color w:val="auto"/>
          <w:sz w:val="32"/>
          <w:szCs w:val="32"/>
        </w:rPr>
        <w:t>6.</w:t>
      </w:r>
      <w:r>
        <w:rPr>
          <w:rFonts w:hint="eastAsia" w:ascii="仿宋_GB2312" w:eastAsia="仿宋_GB2312"/>
          <w:color w:val="auto"/>
          <w:sz w:val="32"/>
          <w:szCs w:val="32"/>
        </w:rPr>
        <w:t>年初结转和结余：指以前年度尚未完成、结转到本年按有关规定继续使用的资金。</w:t>
      </w:r>
    </w:p>
    <w:p w14:paraId="7C2AB369">
      <w:pPr>
        <w:pStyle w:val="26"/>
        <w:spacing w:after="160" w:line="560" w:lineRule="exact"/>
        <w:ind w:firstLine="640" w:firstLineChars="200"/>
        <w:rPr>
          <w:rFonts w:ascii="仿宋_GB2312" w:eastAsia="仿宋_GB2312"/>
          <w:color w:val="auto"/>
          <w:sz w:val="32"/>
          <w:szCs w:val="32"/>
        </w:rPr>
      </w:pPr>
      <w:r>
        <w:rPr>
          <w:rFonts w:ascii="仿宋_GB2312" w:eastAsia="仿宋_GB2312"/>
          <w:color w:val="auto"/>
          <w:sz w:val="32"/>
          <w:szCs w:val="32"/>
        </w:rPr>
        <w:t>7.</w:t>
      </w:r>
      <w:r>
        <w:rPr>
          <w:rFonts w:hint="eastAsia" w:ascii="仿宋_GB2312" w:eastAsia="仿宋_GB2312"/>
          <w:color w:val="auto"/>
          <w:sz w:val="32"/>
          <w:szCs w:val="32"/>
        </w:rPr>
        <w:t>结余分配：指事业单位按照会计制度规定缴纳的所得税、提取的专用结余以及转入非财政拨款结余的金额等。</w:t>
      </w:r>
    </w:p>
    <w:p w14:paraId="417334C8">
      <w:pPr>
        <w:pStyle w:val="26"/>
        <w:spacing w:after="160" w:line="560" w:lineRule="exact"/>
        <w:ind w:firstLine="640" w:firstLineChars="200"/>
        <w:rPr>
          <w:rFonts w:ascii="仿宋_GB2312" w:eastAsia="仿宋_GB2312"/>
          <w:color w:val="auto"/>
          <w:sz w:val="32"/>
          <w:szCs w:val="32"/>
        </w:rPr>
      </w:pPr>
      <w:r>
        <w:rPr>
          <w:rFonts w:ascii="仿宋_GB2312" w:eastAsia="仿宋_GB2312"/>
          <w:color w:val="auto"/>
          <w:sz w:val="32"/>
          <w:szCs w:val="32"/>
        </w:rPr>
        <w:t>8</w:t>
      </w:r>
      <w:r>
        <w:rPr>
          <w:rFonts w:hint="eastAsia" w:ascii="仿宋_GB2312" w:eastAsia="仿宋_GB2312"/>
          <w:color w:val="auto"/>
          <w:sz w:val="32"/>
          <w:szCs w:val="32"/>
        </w:rPr>
        <w:t>.年末结转和结余：指单位按有关规定结转到下年或以后年度继续使用的资金。</w:t>
      </w:r>
    </w:p>
    <w:p w14:paraId="4C4F2F22">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9.公共安全支出（类）公安（款）行政运行（项）：指反映行政单位（包括实行公务员管理的事业单位）的基本支出。</w:t>
      </w:r>
    </w:p>
    <w:p w14:paraId="65186D9B">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10. 公共安全支出（类）公安（款）一般行政管理事务（项）: 反映行政单位（包括实行公务员管理的事业单位）未单独设置项级科目的其他项目支出。</w:t>
      </w:r>
    </w:p>
    <w:p w14:paraId="22CB211C">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11. 公共安全支出（类）其他公共安全支出（款）其他公共安全支出（项）: 反映其他用于公安方面的支出。</w:t>
      </w:r>
    </w:p>
    <w:p w14:paraId="7D2EB917">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12.社会保障和就业支出（类）行政事业单位养老支出（款）行政单位离退休（项）：指反映行政单位（包括实行公务员管理的事业单位）开支的离退休经费。</w:t>
      </w:r>
    </w:p>
    <w:p w14:paraId="38DDDF74">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13. 社会保障和就业支出（类）行政事业单位养老支出（款）机关事业单位基本养老保险缴费支出（项）:反映机关事业单位实施养老保险制度由单位缴纳的基本养老保险费支出。</w:t>
      </w:r>
    </w:p>
    <w:p w14:paraId="61759723">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14. 社会保障和就业支出（类）行政事业单位养老支出（款）机关事业单位职业年金缴费支出（项）:反映机关事业单位为其编制内工作人员建立和缴纳职业年金所发生的费用支出。</w:t>
      </w:r>
    </w:p>
    <w:p w14:paraId="3F36BB67">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15. 社会保障和就业支出（类）抚恤（款）死亡抚恤（项）:反映按规定用于烈士和牺牲、病故人员家属的一次性和定期抚恤金、丧葬补助费以及烈士褒扬金。</w:t>
      </w:r>
    </w:p>
    <w:p w14:paraId="680CAE2A">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16. 卫生健康支出（类）行政事业单位医疗支出（款）行政单位医疗支出（项）: 反映财政部门安排的行政单位（包括实行公务员管理的事业单位，下同）基本医疗保险缴费经费，未参加医疗保险的行政单位的公费医疗经费，按国家规定享受离休人员、红军老战士待遇人员的医疗经费。</w:t>
      </w:r>
    </w:p>
    <w:p w14:paraId="1A6C2E6E">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17. 卫生健康支出（类）行政事业单位医疗支出（款）公务员医疗补助（项）: 反映财政部门安排的公务员医疗补助经费。</w:t>
      </w:r>
    </w:p>
    <w:p w14:paraId="02D27EEE">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18.住房保障支出（类）住房改革支出（款）住房公积金（项）:反映行政事业单位按人力资源和社会保障部、财政部规定的基本工资何津贴补贴以及规定比例为职工缴纳的住房公积金。</w:t>
      </w:r>
    </w:p>
    <w:p w14:paraId="2D20DA98">
      <w:pPr>
        <w:pStyle w:val="26"/>
        <w:spacing w:after="160" w:line="560" w:lineRule="exact"/>
        <w:ind w:firstLine="640" w:firstLineChars="200"/>
        <w:rPr>
          <w:rFonts w:hint="eastAsia" w:ascii="仿宋_GB2312" w:eastAsia="仿宋_GB2312"/>
          <w:color w:val="auto"/>
          <w:sz w:val="32"/>
          <w:szCs w:val="32"/>
          <w:lang w:eastAsia="zh-CN"/>
        </w:rPr>
      </w:pPr>
      <w:r>
        <w:rPr>
          <w:rFonts w:hint="eastAsia" w:ascii="仿宋_GB2312" w:eastAsia="仿宋_GB2312"/>
          <w:color w:val="auto"/>
          <w:sz w:val="32"/>
          <w:szCs w:val="32"/>
        </w:rPr>
        <w:t>19.</w:t>
      </w:r>
      <w:r>
        <w:rPr>
          <w:rFonts w:hint="eastAsia" w:ascii="仿宋_GB2312" w:eastAsia="仿宋_GB2312"/>
          <w:color w:val="auto"/>
          <w:sz w:val="32"/>
          <w:szCs w:val="32"/>
          <w:lang w:eastAsia="zh-CN"/>
        </w:rPr>
        <w:t>一般公共服务支出（类）其他共产党事务支出（款）其他共产党事务支出：反映其他用于中国共产党事务的支出。</w:t>
      </w:r>
    </w:p>
    <w:p w14:paraId="5901F015">
      <w:pPr>
        <w:pStyle w:val="26"/>
        <w:spacing w:after="160" w:line="560" w:lineRule="exact"/>
        <w:ind w:firstLine="640" w:firstLineChars="200"/>
        <w:rPr>
          <w:rFonts w:hint="default" w:ascii="仿宋_GB2312" w:eastAsia="仿宋_GB2312"/>
          <w:color w:val="auto"/>
          <w:sz w:val="32"/>
          <w:szCs w:val="32"/>
          <w:lang w:val="en-US" w:eastAsia="zh-CN"/>
        </w:rPr>
      </w:pPr>
      <w:r>
        <w:rPr>
          <w:rFonts w:hint="eastAsia" w:ascii="仿宋_GB2312" w:eastAsia="仿宋_GB2312"/>
          <w:color w:val="auto"/>
          <w:sz w:val="32"/>
          <w:szCs w:val="32"/>
          <w:lang w:val="en-US" w:eastAsia="zh-CN"/>
        </w:rPr>
        <w:t>20.</w:t>
      </w:r>
      <w:r>
        <w:rPr>
          <w:rFonts w:hint="eastAsia" w:ascii="仿宋_GB2312" w:eastAsia="仿宋_GB2312"/>
          <w:color w:val="auto"/>
          <w:sz w:val="32"/>
          <w:szCs w:val="32"/>
          <w:lang w:eastAsia="zh-CN"/>
        </w:rPr>
        <w:t>一般公共服务支出（类）信访事务（款）信访业务（项）：反映各级政府用于接待群众来信来访方面的支出。</w:t>
      </w:r>
    </w:p>
    <w:p w14:paraId="3EE5123A">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21.</w:t>
      </w:r>
      <w:r>
        <w:rPr>
          <w:rFonts w:hint="eastAsia" w:ascii="仿宋_GB2312" w:eastAsia="仿宋_GB2312"/>
          <w:color w:val="auto"/>
          <w:sz w:val="32"/>
          <w:szCs w:val="32"/>
        </w:rPr>
        <w:t>基本支出：指为保障机构正常运转、完成日常工作任务而发生的人员支出和公用支出。</w:t>
      </w:r>
    </w:p>
    <w:p w14:paraId="56136D4F">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2</w:t>
      </w:r>
      <w:r>
        <w:rPr>
          <w:rFonts w:hint="eastAsia" w:ascii="仿宋_GB2312" w:eastAsia="仿宋_GB2312"/>
          <w:color w:val="auto"/>
          <w:sz w:val="32"/>
          <w:szCs w:val="32"/>
          <w:lang w:val="en-US" w:eastAsia="zh-CN"/>
        </w:rPr>
        <w:t>2</w:t>
      </w:r>
      <w:r>
        <w:rPr>
          <w:rFonts w:hint="eastAsia" w:ascii="仿宋_GB2312" w:eastAsia="仿宋_GB2312"/>
          <w:color w:val="auto"/>
          <w:sz w:val="32"/>
          <w:szCs w:val="32"/>
        </w:rPr>
        <w:t xml:space="preserve">.项目支出：指在基本支出之外为完成特定行政任务和事业发展目标所发生的支出。 </w:t>
      </w:r>
    </w:p>
    <w:p w14:paraId="0913E855">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2</w:t>
      </w:r>
      <w:r>
        <w:rPr>
          <w:rFonts w:hint="eastAsia" w:ascii="仿宋_GB2312" w:eastAsia="仿宋_GB2312"/>
          <w:color w:val="auto"/>
          <w:sz w:val="32"/>
          <w:szCs w:val="32"/>
          <w:lang w:val="en-US" w:eastAsia="zh-CN"/>
        </w:rPr>
        <w:t>3</w:t>
      </w:r>
      <w:r>
        <w:rPr>
          <w:rFonts w:hint="eastAsia" w:ascii="仿宋_GB2312" w:eastAsia="仿宋_GB2312"/>
          <w:color w:val="auto"/>
          <w:sz w:val="32"/>
          <w:szCs w:val="32"/>
        </w:rPr>
        <w:t>.经营支出：指事业单位在专业业务活动及其辅助活动之外开展非独立核算经营活动发生的支出。</w:t>
      </w:r>
    </w:p>
    <w:p w14:paraId="27F35C2E">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2</w:t>
      </w:r>
      <w:r>
        <w:rPr>
          <w:rFonts w:hint="eastAsia" w:ascii="仿宋_GB2312" w:eastAsia="仿宋_GB2312"/>
          <w:color w:val="auto"/>
          <w:sz w:val="32"/>
          <w:szCs w:val="32"/>
          <w:lang w:val="en-US" w:eastAsia="zh-CN"/>
        </w:rPr>
        <w:t>4</w:t>
      </w:r>
      <w:r>
        <w:rPr>
          <w:rFonts w:hint="eastAsia" w:ascii="仿宋_GB2312" w:eastAsia="仿宋_GB2312"/>
          <w:color w:val="auto"/>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571A4ED7">
      <w:pPr>
        <w:pStyle w:val="26"/>
        <w:spacing w:after="160"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rPr>
        <w:t>2</w:t>
      </w:r>
      <w:r>
        <w:rPr>
          <w:rFonts w:hint="eastAsia" w:ascii="仿宋_GB2312" w:eastAsia="仿宋_GB2312"/>
          <w:color w:val="auto"/>
          <w:sz w:val="32"/>
          <w:szCs w:val="32"/>
          <w:lang w:val="en-US" w:eastAsia="zh-CN"/>
        </w:rPr>
        <w:t>5</w:t>
      </w:r>
      <w:r>
        <w:rPr>
          <w:rFonts w:hint="eastAsia" w:ascii="仿宋_GB2312" w:eastAsia="仿宋_GB2312"/>
          <w:color w:val="auto"/>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542FA132">
      <w:pPr>
        <w:pStyle w:val="3"/>
        <w:ind w:left="105" w:leftChars="50" w:right="105" w:rightChars="50" w:firstLine="0" w:firstLineChars="0"/>
      </w:pPr>
    </w:p>
    <w:p w14:paraId="6292347B">
      <w:pPr>
        <w:pStyle w:val="3"/>
        <w:ind w:left="105" w:leftChars="50" w:right="105" w:rightChars="50" w:firstLine="0" w:firstLineChars="0"/>
      </w:pPr>
    </w:p>
    <w:p w14:paraId="0B4BA958"/>
    <w:p w14:paraId="4F9003CB">
      <w:pPr>
        <w:pStyle w:val="2"/>
      </w:pPr>
    </w:p>
    <w:p w14:paraId="17F12A66">
      <w:pPr>
        <w:pStyle w:val="3"/>
      </w:pPr>
    </w:p>
    <w:p w14:paraId="565D5D3B"/>
    <w:p w14:paraId="4F0B44AF">
      <w:pPr>
        <w:pStyle w:val="2"/>
      </w:pPr>
    </w:p>
    <w:p w14:paraId="0183BF4F">
      <w:pPr>
        <w:pStyle w:val="3"/>
      </w:pPr>
    </w:p>
    <w:p w14:paraId="7F704408"/>
    <w:p w14:paraId="78F59C34">
      <w:pPr>
        <w:pStyle w:val="2"/>
      </w:pPr>
    </w:p>
    <w:p w14:paraId="12626957">
      <w:pPr>
        <w:pStyle w:val="3"/>
      </w:pPr>
    </w:p>
    <w:p w14:paraId="177CBFF9"/>
    <w:p w14:paraId="66B88EB2">
      <w:pPr>
        <w:pStyle w:val="2"/>
      </w:pPr>
    </w:p>
    <w:p w14:paraId="32EA4FAD">
      <w:pPr>
        <w:pStyle w:val="3"/>
      </w:pPr>
    </w:p>
    <w:p w14:paraId="76BDCB62"/>
    <w:p w14:paraId="02255509">
      <w:pPr>
        <w:pStyle w:val="2"/>
      </w:pPr>
    </w:p>
    <w:p w14:paraId="5E1D9D1E">
      <w:pPr>
        <w:pStyle w:val="3"/>
      </w:pPr>
    </w:p>
    <w:p w14:paraId="664B3548"/>
    <w:p w14:paraId="7397C086">
      <w:pPr>
        <w:pStyle w:val="2"/>
      </w:pPr>
    </w:p>
    <w:p w14:paraId="0C675290">
      <w:pPr>
        <w:pStyle w:val="3"/>
      </w:pPr>
    </w:p>
    <w:p w14:paraId="46DA79BE"/>
    <w:p w14:paraId="6CA0F1D9">
      <w:pPr>
        <w:pStyle w:val="2"/>
      </w:pPr>
    </w:p>
    <w:p w14:paraId="301FBC32">
      <w:pPr>
        <w:pStyle w:val="3"/>
      </w:pPr>
    </w:p>
    <w:p w14:paraId="7F332098"/>
    <w:p w14:paraId="7DB0A902">
      <w:pPr>
        <w:pStyle w:val="2"/>
      </w:pPr>
    </w:p>
    <w:p w14:paraId="05F7329B">
      <w:pPr>
        <w:pStyle w:val="3"/>
      </w:pPr>
    </w:p>
    <w:p w14:paraId="536F5DB6"/>
    <w:p w14:paraId="7B2DAD1E">
      <w:pPr>
        <w:pStyle w:val="2"/>
      </w:pPr>
    </w:p>
    <w:p w14:paraId="2D3F0CE2">
      <w:pPr>
        <w:pStyle w:val="3"/>
      </w:pPr>
    </w:p>
    <w:p w14:paraId="73746064"/>
    <w:p w14:paraId="23466FDD">
      <w:pPr>
        <w:pStyle w:val="2"/>
      </w:pPr>
    </w:p>
    <w:p w14:paraId="329320B3">
      <w:pPr>
        <w:spacing w:line="600" w:lineRule="exact"/>
        <w:jc w:val="center"/>
        <w:rPr>
          <w:rStyle w:val="36"/>
          <w:rFonts w:eastAsia="黑体"/>
          <w:b w:val="0"/>
        </w:rPr>
      </w:pPr>
      <w:bookmarkStart w:id="16" w:name="_Toc15396614"/>
      <w:r>
        <w:rPr>
          <w:rFonts w:hint="eastAsia" w:eastAsia="黑体"/>
          <w:sz w:val="44"/>
          <w:szCs w:val="44"/>
        </w:rPr>
        <w:t>第四部分  附件</w:t>
      </w:r>
      <w:bookmarkEnd w:id="16"/>
    </w:p>
    <w:p w14:paraId="39015B86">
      <w:pPr>
        <w:spacing w:line="600" w:lineRule="exact"/>
        <w:jc w:val="center"/>
        <w:outlineLvl w:val="0"/>
        <w:rPr>
          <w:sz w:val="32"/>
          <w:szCs w:val="32"/>
        </w:rPr>
      </w:pPr>
      <w:r>
        <w:rPr>
          <w:rFonts w:hint="eastAsia"/>
          <w:sz w:val="32"/>
          <w:szCs w:val="32"/>
        </w:rPr>
        <w:t xml:space="preserve">  </w:t>
      </w:r>
      <w:bookmarkStart w:id="17" w:name="_Toc208392013"/>
      <w:r>
        <w:rPr>
          <w:rFonts w:hint="eastAsia"/>
          <w:sz w:val="32"/>
          <w:szCs w:val="32"/>
          <w:lang w:val="en-US" w:eastAsia="zh-CN"/>
        </w:rPr>
        <w:t xml:space="preserve">    </w:t>
      </w:r>
      <w:r>
        <w:rPr>
          <w:rFonts w:hint="eastAsia"/>
          <w:sz w:val="32"/>
          <w:szCs w:val="32"/>
        </w:rPr>
        <w:t>部门预算项目支出绩效自评表（202</w:t>
      </w:r>
      <w:r>
        <w:rPr>
          <w:rFonts w:hint="eastAsia"/>
          <w:sz w:val="32"/>
          <w:szCs w:val="32"/>
          <w:lang w:val="en-US" w:eastAsia="zh-CN"/>
        </w:rPr>
        <w:t>5</w:t>
      </w:r>
      <w:r>
        <w:rPr>
          <w:rFonts w:hint="eastAsia"/>
          <w:sz w:val="32"/>
          <w:szCs w:val="32"/>
        </w:rPr>
        <w:t>年度）见附件《攀枝花市公安局东区分局部门预算项目支出绩效自评表》。</w:t>
      </w:r>
      <w:bookmarkEnd w:id="17"/>
    </w:p>
    <w:p w14:paraId="2A304991">
      <w:pPr>
        <w:pStyle w:val="3"/>
      </w:pPr>
    </w:p>
    <w:p w14:paraId="4A987540"/>
    <w:p w14:paraId="140D1E48">
      <w:pPr>
        <w:pStyle w:val="2"/>
      </w:pPr>
    </w:p>
    <w:p w14:paraId="6E244573">
      <w:pPr>
        <w:pStyle w:val="3"/>
      </w:pPr>
    </w:p>
    <w:p w14:paraId="071ABD0E"/>
    <w:p w14:paraId="51F5596B">
      <w:pPr>
        <w:pStyle w:val="2"/>
      </w:pPr>
    </w:p>
    <w:p w14:paraId="112DD727">
      <w:pPr>
        <w:pStyle w:val="3"/>
      </w:pPr>
    </w:p>
    <w:p w14:paraId="2A26BBB9"/>
    <w:p w14:paraId="636480B8">
      <w:pPr>
        <w:pStyle w:val="2"/>
      </w:pPr>
    </w:p>
    <w:p w14:paraId="1CF65946">
      <w:pPr>
        <w:pStyle w:val="3"/>
      </w:pPr>
    </w:p>
    <w:p w14:paraId="06E467A8"/>
    <w:p w14:paraId="2446847F">
      <w:pPr>
        <w:pStyle w:val="2"/>
      </w:pPr>
    </w:p>
    <w:p w14:paraId="4492D7BD">
      <w:pPr>
        <w:pStyle w:val="3"/>
      </w:pPr>
    </w:p>
    <w:p w14:paraId="50BA3CCB"/>
    <w:p w14:paraId="64E88743">
      <w:pPr>
        <w:pStyle w:val="2"/>
      </w:pPr>
    </w:p>
    <w:p w14:paraId="27E2666A">
      <w:pPr>
        <w:pStyle w:val="3"/>
      </w:pPr>
    </w:p>
    <w:p w14:paraId="0220B975"/>
    <w:p w14:paraId="2F2E41D6">
      <w:pPr>
        <w:pStyle w:val="2"/>
      </w:pPr>
    </w:p>
    <w:p w14:paraId="2E427573">
      <w:pPr>
        <w:pStyle w:val="3"/>
      </w:pPr>
    </w:p>
    <w:p w14:paraId="2B3B9AD2"/>
    <w:p w14:paraId="0F17F3A9">
      <w:pPr>
        <w:pStyle w:val="2"/>
      </w:pPr>
    </w:p>
    <w:p w14:paraId="375F9720">
      <w:pPr>
        <w:pStyle w:val="3"/>
      </w:pPr>
    </w:p>
    <w:p w14:paraId="1761C049"/>
    <w:p w14:paraId="259BAEE6">
      <w:pPr>
        <w:pStyle w:val="2"/>
      </w:pPr>
    </w:p>
    <w:p w14:paraId="6DD80180">
      <w:pPr>
        <w:pStyle w:val="3"/>
      </w:pPr>
    </w:p>
    <w:p w14:paraId="3E7F5186"/>
    <w:p w14:paraId="3FE31387">
      <w:pPr>
        <w:pStyle w:val="2"/>
      </w:pPr>
    </w:p>
    <w:p w14:paraId="0C53D679">
      <w:pPr>
        <w:pStyle w:val="3"/>
      </w:pPr>
    </w:p>
    <w:p w14:paraId="71080CD7"/>
    <w:p w14:paraId="1939D129">
      <w:pPr>
        <w:pStyle w:val="2"/>
      </w:pPr>
    </w:p>
    <w:p w14:paraId="1A06F6D1">
      <w:pPr>
        <w:pStyle w:val="3"/>
      </w:pPr>
    </w:p>
    <w:p w14:paraId="6CD36B2E"/>
    <w:p w14:paraId="4AECA90E">
      <w:pPr>
        <w:pStyle w:val="2"/>
      </w:pPr>
    </w:p>
    <w:p w14:paraId="6AE70AEF">
      <w:pPr>
        <w:pStyle w:val="3"/>
      </w:pPr>
    </w:p>
    <w:p w14:paraId="681E2D1A"/>
    <w:p w14:paraId="31EBB920">
      <w:pPr>
        <w:pStyle w:val="2"/>
      </w:pPr>
    </w:p>
    <w:p w14:paraId="737FCBFF">
      <w:pPr>
        <w:pStyle w:val="3"/>
      </w:pPr>
    </w:p>
    <w:p w14:paraId="3A2D5EFE"/>
    <w:p w14:paraId="7238C32A">
      <w:pPr>
        <w:widowControl/>
        <w:jc w:val="center"/>
        <w:rPr>
          <w:rFonts w:eastAsia="仿宋"/>
        </w:rPr>
      </w:pPr>
      <w:r>
        <w:rPr>
          <w:rFonts w:hint="eastAsia" w:eastAsia="黑体"/>
          <w:sz w:val="44"/>
          <w:szCs w:val="44"/>
        </w:rPr>
        <w:t>第</w:t>
      </w:r>
      <w:r>
        <w:rPr>
          <w:rStyle w:val="36"/>
          <w:rFonts w:hint="eastAsia" w:eastAsia="黑体"/>
          <w:b w:val="0"/>
        </w:rPr>
        <w:t>五部分 附表</w:t>
      </w:r>
      <w:bookmarkStart w:id="18" w:name="_Toc15396619"/>
    </w:p>
    <w:p w14:paraId="0F36052B">
      <w:pPr>
        <w:pStyle w:val="14"/>
        <w:adjustRightInd w:val="0"/>
        <w:snapToGrid w:val="0"/>
        <w:spacing w:line="560" w:lineRule="exact"/>
        <w:jc w:val="left"/>
        <w:rPr>
          <w:rFonts w:eastAsia="仿宋_GB2312" w:cs="仿宋_GB2312"/>
          <w:sz w:val="32"/>
          <w:szCs w:val="32"/>
        </w:rPr>
      </w:pPr>
    </w:p>
    <w:p w14:paraId="5DF314C9">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一、收入支出决算总表</w:t>
      </w:r>
      <w:bookmarkEnd w:id="18"/>
    </w:p>
    <w:p w14:paraId="059C3216">
      <w:pPr>
        <w:pStyle w:val="14"/>
        <w:adjustRightInd w:val="0"/>
        <w:snapToGrid w:val="0"/>
        <w:spacing w:line="560" w:lineRule="exact"/>
        <w:jc w:val="left"/>
        <w:rPr>
          <w:rFonts w:eastAsia="仿宋_GB2312" w:cs="仿宋_GB2312"/>
          <w:sz w:val="32"/>
          <w:szCs w:val="32"/>
        </w:rPr>
      </w:pPr>
      <w:bookmarkStart w:id="19" w:name="_Toc15396620"/>
      <w:r>
        <w:rPr>
          <w:rFonts w:hint="eastAsia" w:eastAsia="仿宋_GB2312" w:cs="仿宋_GB2312"/>
          <w:sz w:val="32"/>
          <w:szCs w:val="32"/>
        </w:rPr>
        <w:t>二、收入决算表</w:t>
      </w:r>
      <w:bookmarkEnd w:id="19"/>
    </w:p>
    <w:p w14:paraId="5733A7D5">
      <w:pPr>
        <w:pStyle w:val="14"/>
        <w:adjustRightInd w:val="0"/>
        <w:snapToGrid w:val="0"/>
        <w:spacing w:line="560" w:lineRule="exact"/>
        <w:jc w:val="left"/>
        <w:rPr>
          <w:rFonts w:eastAsia="仿宋_GB2312" w:cs="仿宋_GB2312"/>
          <w:sz w:val="32"/>
          <w:szCs w:val="32"/>
        </w:rPr>
      </w:pPr>
      <w:bookmarkStart w:id="20" w:name="_Toc15396621"/>
      <w:r>
        <w:rPr>
          <w:rFonts w:hint="eastAsia" w:eastAsia="仿宋_GB2312" w:cs="仿宋_GB2312"/>
          <w:sz w:val="32"/>
          <w:szCs w:val="32"/>
        </w:rPr>
        <w:t>三、支出决算表</w:t>
      </w:r>
      <w:bookmarkEnd w:id="20"/>
    </w:p>
    <w:p w14:paraId="22BB5F23">
      <w:pPr>
        <w:pStyle w:val="14"/>
        <w:adjustRightInd w:val="0"/>
        <w:snapToGrid w:val="0"/>
        <w:spacing w:line="560" w:lineRule="exact"/>
        <w:jc w:val="left"/>
        <w:rPr>
          <w:rFonts w:eastAsia="仿宋_GB2312" w:cs="仿宋_GB2312"/>
          <w:sz w:val="32"/>
          <w:szCs w:val="32"/>
        </w:rPr>
      </w:pPr>
      <w:bookmarkStart w:id="21" w:name="_Toc15396622"/>
      <w:r>
        <w:rPr>
          <w:rFonts w:hint="eastAsia" w:eastAsia="仿宋_GB2312" w:cs="仿宋_GB2312"/>
          <w:sz w:val="32"/>
          <w:szCs w:val="32"/>
        </w:rPr>
        <w:t>四、财政拨款收入支出决算总表</w:t>
      </w:r>
      <w:bookmarkEnd w:id="21"/>
    </w:p>
    <w:p w14:paraId="57EF2CC6">
      <w:pPr>
        <w:pStyle w:val="14"/>
        <w:adjustRightInd w:val="0"/>
        <w:snapToGrid w:val="0"/>
        <w:spacing w:line="560" w:lineRule="exact"/>
        <w:jc w:val="left"/>
        <w:rPr>
          <w:rFonts w:eastAsia="仿宋_GB2312" w:cs="仿宋_GB2312"/>
          <w:sz w:val="32"/>
          <w:szCs w:val="32"/>
        </w:rPr>
      </w:pPr>
      <w:bookmarkStart w:id="22" w:name="_Toc15396623"/>
      <w:r>
        <w:rPr>
          <w:rFonts w:hint="eastAsia" w:eastAsia="仿宋_GB2312" w:cs="仿宋_GB2312"/>
          <w:sz w:val="32"/>
          <w:szCs w:val="32"/>
        </w:rPr>
        <w:t>五、财政拨款支出决算明细表</w:t>
      </w:r>
      <w:bookmarkEnd w:id="22"/>
      <w:bookmarkStart w:id="23" w:name="_Toc15396624"/>
    </w:p>
    <w:p w14:paraId="5F24D4FC">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六、一般公共预算财政拨款支出决算表</w:t>
      </w:r>
      <w:bookmarkEnd w:id="23"/>
    </w:p>
    <w:p w14:paraId="48B48E84">
      <w:pPr>
        <w:pStyle w:val="14"/>
        <w:adjustRightInd w:val="0"/>
        <w:snapToGrid w:val="0"/>
        <w:spacing w:line="560" w:lineRule="exact"/>
        <w:jc w:val="left"/>
        <w:rPr>
          <w:rFonts w:eastAsia="仿宋_GB2312" w:cs="仿宋_GB2312"/>
          <w:sz w:val="32"/>
          <w:szCs w:val="32"/>
        </w:rPr>
      </w:pPr>
      <w:bookmarkStart w:id="24" w:name="_Toc15396625"/>
      <w:r>
        <w:rPr>
          <w:rFonts w:hint="eastAsia" w:eastAsia="仿宋_GB2312" w:cs="仿宋_GB2312"/>
          <w:sz w:val="32"/>
          <w:szCs w:val="32"/>
        </w:rPr>
        <w:t>七、一般公共预算财政拨款支出决算明细表</w:t>
      </w:r>
      <w:bookmarkEnd w:id="24"/>
    </w:p>
    <w:p w14:paraId="7A9484CE">
      <w:pPr>
        <w:pStyle w:val="14"/>
        <w:adjustRightInd w:val="0"/>
        <w:snapToGrid w:val="0"/>
        <w:spacing w:line="560" w:lineRule="exact"/>
        <w:jc w:val="left"/>
        <w:rPr>
          <w:rFonts w:eastAsia="仿宋_GB2312" w:cs="仿宋_GB2312"/>
          <w:sz w:val="32"/>
          <w:szCs w:val="32"/>
        </w:rPr>
      </w:pPr>
      <w:bookmarkStart w:id="25" w:name="_Toc15396626"/>
      <w:r>
        <w:rPr>
          <w:rFonts w:hint="eastAsia" w:eastAsia="仿宋_GB2312" w:cs="仿宋_GB2312"/>
          <w:sz w:val="32"/>
          <w:szCs w:val="32"/>
        </w:rPr>
        <w:t>八、一般公共预算财政拨款基本支出决算表</w:t>
      </w:r>
      <w:bookmarkEnd w:id="25"/>
    </w:p>
    <w:p w14:paraId="1B954009">
      <w:pPr>
        <w:pStyle w:val="14"/>
        <w:adjustRightInd w:val="0"/>
        <w:snapToGrid w:val="0"/>
        <w:spacing w:line="560" w:lineRule="exact"/>
        <w:jc w:val="left"/>
        <w:rPr>
          <w:rFonts w:eastAsia="仿宋_GB2312" w:cs="仿宋_GB2312"/>
          <w:sz w:val="32"/>
          <w:szCs w:val="32"/>
        </w:rPr>
      </w:pPr>
      <w:bookmarkStart w:id="26" w:name="_Toc15396627"/>
      <w:r>
        <w:rPr>
          <w:rFonts w:hint="eastAsia" w:eastAsia="仿宋_GB2312" w:cs="仿宋_GB2312"/>
          <w:sz w:val="32"/>
          <w:szCs w:val="32"/>
        </w:rPr>
        <w:t>九、一般公共预算财政拨款项目支出决算表</w:t>
      </w:r>
      <w:bookmarkEnd w:id="26"/>
    </w:p>
    <w:p w14:paraId="4CDB014C">
      <w:pPr>
        <w:pStyle w:val="14"/>
        <w:adjustRightInd w:val="0"/>
        <w:snapToGrid w:val="0"/>
        <w:spacing w:line="560" w:lineRule="exact"/>
        <w:jc w:val="left"/>
        <w:rPr>
          <w:rFonts w:eastAsia="仿宋_GB2312" w:cs="仿宋_GB2312"/>
          <w:sz w:val="32"/>
          <w:szCs w:val="32"/>
        </w:rPr>
      </w:pPr>
      <w:bookmarkStart w:id="27" w:name="_Toc15396628"/>
      <w:r>
        <w:rPr>
          <w:rFonts w:hint="eastAsia" w:eastAsia="仿宋_GB2312" w:cs="仿宋_GB2312"/>
          <w:sz w:val="32"/>
          <w:szCs w:val="32"/>
        </w:rPr>
        <w:t>十、</w:t>
      </w:r>
      <w:bookmarkEnd w:id="27"/>
      <w:r>
        <w:rPr>
          <w:rFonts w:hint="eastAsia" w:eastAsia="仿宋_GB2312" w:cs="仿宋_GB2312"/>
          <w:sz w:val="32"/>
          <w:szCs w:val="32"/>
        </w:rPr>
        <w:t>政府性基金预算财政拨款收入支出决算表</w:t>
      </w:r>
    </w:p>
    <w:p w14:paraId="387D8496">
      <w:pPr>
        <w:pStyle w:val="14"/>
        <w:adjustRightInd w:val="0"/>
        <w:snapToGrid w:val="0"/>
        <w:spacing w:line="560" w:lineRule="exact"/>
        <w:jc w:val="left"/>
        <w:rPr>
          <w:rFonts w:eastAsia="仿宋_GB2312" w:cs="仿宋_GB2312"/>
          <w:sz w:val="32"/>
          <w:szCs w:val="32"/>
        </w:rPr>
      </w:pPr>
      <w:bookmarkStart w:id="28" w:name="_Toc15396629"/>
      <w:r>
        <w:rPr>
          <w:rFonts w:hint="eastAsia" w:eastAsia="仿宋_GB2312" w:cs="仿宋_GB2312"/>
          <w:sz w:val="32"/>
          <w:szCs w:val="32"/>
        </w:rPr>
        <w:t>十一、</w:t>
      </w:r>
      <w:bookmarkEnd w:id="28"/>
      <w:r>
        <w:rPr>
          <w:rFonts w:hint="eastAsia" w:eastAsia="仿宋_GB2312" w:cs="仿宋_GB2312"/>
          <w:sz w:val="32"/>
          <w:szCs w:val="32"/>
        </w:rPr>
        <w:t>国有资本经营预算财政拨款收入支出决算表</w:t>
      </w:r>
    </w:p>
    <w:p w14:paraId="3A6F6A3A">
      <w:pPr>
        <w:pStyle w:val="14"/>
        <w:adjustRightInd w:val="0"/>
        <w:snapToGrid w:val="0"/>
        <w:spacing w:line="560" w:lineRule="exact"/>
        <w:jc w:val="left"/>
        <w:rPr>
          <w:rFonts w:eastAsia="仿宋_GB2312" w:cs="仿宋_GB2312"/>
          <w:sz w:val="32"/>
          <w:szCs w:val="32"/>
        </w:rPr>
      </w:pPr>
      <w:bookmarkStart w:id="29" w:name="_Toc15396630"/>
      <w:r>
        <w:rPr>
          <w:rFonts w:hint="eastAsia" w:eastAsia="仿宋_GB2312" w:cs="仿宋_GB2312"/>
          <w:sz w:val="32"/>
          <w:szCs w:val="32"/>
        </w:rPr>
        <w:t>十二、</w:t>
      </w:r>
      <w:bookmarkEnd w:id="29"/>
      <w:r>
        <w:rPr>
          <w:rFonts w:hint="eastAsia" w:eastAsia="仿宋_GB2312" w:cs="仿宋_GB2312"/>
          <w:sz w:val="32"/>
          <w:szCs w:val="32"/>
        </w:rPr>
        <w:t>国有资本经营预算财政拨款支出决算表</w:t>
      </w:r>
    </w:p>
    <w:p w14:paraId="6D7CE5D1">
      <w:pPr>
        <w:pStyle w:val="14"/>
        <w:adjustRightInd w:val="0"/>
        <w:snapToGrid w:val="0"/>
        <w:spacing w:line="560" w:lineRule="exact"/>
        <w:jc w:val="left"/>
        <w:rPr>
          <w:rFonts w:eastAsia="仿宋_GB2312" w:cs="仿宋_GB2312"/>
          <w:sz w:val="32"/>
          <w:szCs w:val="32"/>
        </w:rPr>
      </w:pPr>
      <w:bookmarkStart w:id="30" w:name="_Toc15396631"/>
      <w:r>
        <w:rPr>
          <w:rFonts w:hint="eastAsia" w:eastAsia="仿宋_GB2312" w:cs="仿宋_GB2312"/>
          <w:sz w:val="32"/>
          <w:szCs w:val="32"/>
        </w:rPr>
        <w:t>十三、</w:t>
      </w:r>
      <w:bookmarkEnd w:id="30"/>
      <w:r>
        <w:rPr>
          <w:rFonts w:hint="eastAsia" w:eastAsia="仿宋_GB2312" w:cs="仿宋_GB2312"/>
          <w:sz w:val="32"/>
          <w:szCs w:val="32"/>
        </w:rPr>
        <w:t>财政拨款“三公”经费支出决算表</w:t>
      </w:r>
    </w:p>
    <w:p w14:paraId="02A1624E"/>
    <w:p w14:paraId="1B4EFA95">
      <w:pPr>
        <w:pStyle w:val="2"/>
      </w:pPr>
    </w:p>
    <w:p w14:paraId="4337B55E">
      <w:pPr>
        <w:pStyle w:val="3"/>
      </w:pPr>
    </w:p>
    <w:p w14:paraId="4CA4FDA1"/>
    <w:p w14:paraId="5BF5F4BB">
      <w:pPr>
        <w:pStyle w:val="2"/>
      </w:pPr>
    </w:p>
    <w:p w14:paraId="1C964A60">
      <w:pPr>
        <w:pStyle w:val="3"/>
      </w:pPr>
    </w:p>
    <w:p w14:paraId="1CBBE319"/>
    <w:p w14:paraId="5A32181C"/>
    <w:sectPr>
      <w:footerReference r:id="rId8" w:type="first"/>
      <w:footerReference r:id="rId7"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
    <w:altName w:val="C059"/>
    <w:panose1 w:val="00000000000000000000"/>
    <w:charset w:val="00"/>
    <w:family w:val="roman"/>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方正小标宋简体">
    <w:panose1 w:val="02000000000000000000"/>
    <w:charset w:val="86"/>
    <w:family w:val="script"/>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auto"/>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Wingdings 3">
    <w:panose1 w:val="050401020108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A8104">
    <w:pPr>
      <w:pStyle w:val="11"/>
      <w:jc w:val="center"/>
    </w:pPr>
  </w:p>
  <w:p w14:paraId="2E76EAB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FF87E">
    <w:pPr>
      <w:pStyle w:val="11"/>
      <w:jc w:val="center"/>
    </w:pPr>
  </w:p>
  <w:p w14:paraId="118D099A">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546CA">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7CA5E">
    <w:pPr>
      <w:pStyle w:val="11"/>
      <w:jc w:val="center"/>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57FC5D">
                          <w:pPr>
                            <w:pStyle w:val="11"/>
                          </w:pPr>
                          <w:r>
                            <w:t xml:space="preserve">第 </w:t>
                          </w:r>
                          <w:r>
                            <w:fldChar w:fldCharType="begin"/>
                          </w:r>
                          <w:r>
                            <w:instrText xml:space="preserve"> PAGE  \* MERGEFORMAT </w:instrText>
                          </w:r>
                          <w:r>
                            <w:fldChar w:fldCharType="separate"/>
                          </w:r>
                          <w:r>
                            <w:t>- 2 -</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857FC5D">
                    <w:pPr>
                      <w:pStyle w:val="11"/>
                    </w:pPr>
                    <w:r>
                      <w:t xml:space="preserve">第 </w:t>
                    </w:r>
                    <w:r>
                      <w:fldChar w:fldCharType="begin"/>
                    </w:r>
                    <w:r>
                      <w:instrText xml:space="preserve"> PAGE  \* MERGEFORMAT </w:instrText>
                    </w:r>
                    <w:r>
                      <w:fldChar w:fldCharType="separate"/>
                    </w:r>
                    <w:r>
                      <w:t>- 2 -</w:t>
                    </w:r>
                    <w:r>
                      <w:fldChar w:fldCharType="end"/>
                    </w:r>
                    <w:r>
                      <w:t xml:space="preserve"> 页</w:t>
                    </w:r>
                  </w:p>
                </w:txbxContent>
              </v:textbox>
            </v:shape>
          </w:pict>
        </mc:Fallback>
      </mc:AlternateContent>
    </w:r>
  </w:p>
  <w:p w14:paraId="1DA4D284">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AD4CF">
    <w:pPr>
      <w:pStyle w:val="11"/>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020517">
                          <w:pPr>
                            <w:pStyle w:val="11"/>
                            <w:rPr>
                              <w:sz w:val="22"/>
                              <w:szCs w:val="22"/>
                            </w:rPr>
                          </w:pPr>
                          <w:r>
                            <w:rPr>
                              <w:sz w:val="22"/>
                              <w:szCs w:val="22"/>
                            </w:rPr>
                            <w:t xml:space="preserve">第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- 1 -</w:t>
                          </w:r>
                          <w:r>
                            <w:rPr>
                              <w:sz w:val="22"/>
                              <w:szCs w:val="22"/>
                            </w:rPr>
                            <w:fldChar w:fldCharType="end"/>
                          </w:r>
                          <w:r>
                            <w:rPr>
                              <w:sz w:val="22"/>
                              <w:szCs w:val="22"/>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0020517">
                    <w:pPr>
                      <w:pStyle w:val="11"/>
                      <w:rPr>
                        <w:sz w:val="22"/>
                        <w:szCs w:val="22"/>
                      </w:rPr>
                    </w:pPr>
                    <w:r>
                      <w:rPr>
                        <w:sz w:val="22"/>
                        <w:szCs w:val="22"/>
                      </w:rPr>
                      <w:t xml:space="preserve">第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- 1 -</w:t>
                    </w:r>
                    <w:r>
                      <w:rPr>
                        <w:sz w:val="22"/>
                        <w:szCs w:val="22"/>
                      </w:rPr>
                      <w:fldChar w:fldCharType="end"/>
                    </w:r>
                    <w:r>
                      <w:rPr>
                        <w:sz w:val="22"/>
                        <w:szCs w:val="22"/>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08ED9">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FFE49B"/>
    <w:multiLevelType w:val="singleLevel"/>
    <w:tmpl w:val="08FFE49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I4YWUxYzk2Y2YzYzU0YmUxN2YzNjdmNmU5YjQ1YjgifQ=="/>
  </w:docVars>
  <w:rsids>
    <w:rsidRoot w:val="00F1361C"/>
    <w:rsid w:val="00021546"/>
    <w:rsid w:val="000222C6"/>
    <w:rsid w:val="0002549F"/>
    <w:rsid w:val="00031209"/>
    <w:rsid w:val="00031A15"/>
    <w:rsid w:val="00037ED5"/>
    <w:rsid w:val="00041CE7"/>
    <w:rsid w:val="000468DB"/>
    <w:rsid w:val="00057138"/>
    <w:rsid w:val="0006487A"/>
    <w:rsid w:val="00065F8F"/>
    <w:rsid w:val="00070A43"/>
    <w:rsid w:val="000768F2"/>
    <w:rsid w:val="0009184B"/>
    <w:rsid w:val="00094236"/>
    <w:rsid w:val="0009593C"/>
    <w:rsid w:val="00097322"/>
    <w:rsid w:val="000A1F72"/>
    <w:rsid w:val="000A676F"/>
    <w:rsid w:val="000A6A92"/>
    <w:rsid w:val="000B047F"/>
    <w:rsid w:val="000B5923"/>
    <w:rsid w:val="000B5A48"/>
    <w:rsid w:val="000B6FF3"/>
    <w:rsid w:val="000C3467"/>
    <w:rsid w:val="000C3CA6"/>
    <w:rsid w:val="000D1267"/>
    <w:rsid w:val="000D1D50"/>
    <w:rsid w:val="000D5782"/>
    <w:rsid w:val="000D66BF"/>
    <w:rsid w:val="000E6613"/>
    <w:rsid w:val="000E7119"/>
    <w:rsid w:val="00114E9B"/>
    <w:rsid w:val="00142216"/>
    <w:rsid w:val="00144D6A"/>
    <w:rsid w:val="0014729F"/>
    <w:rsid w:val="00147687"/>
    <w:rsid w:val="00147874"/>
    <w:rsid w:val="00157BAB"/>
    <w:rsid w:val="00163267"/>
    <w:rsid w:val="001654D1"/>
    <w:rsid w:val="00174518"/>
    <w:rsid w:val="0018106D"/>
    <w:rsid w:val="001877A7"/>
    <w:rsid w:val="00190F1B"/>
    <w:rsid w:val="00191536"/>
    <w:rsid w:val="00196687"/>
    <w:rsid w:val="001B5863"/>
    <w:rsid w:val="001C0962"/>
    <w:rsid w:val="001D7531"/>
    <w:rsid w:val="001E737D"/>
    <w:rsid w:val="001F0592"/>
    <w:rsid w:val="001F5E7A"/>
    <w:rsid w:val="001F66BA"/>
    <w:rsid w:val="001F6D16"/>
    <w:rsid w:val="001F7506"/>
    <w:rsid w:val="002006CD"/>
    <w:rsid w:val="00201805"/>
    <w:rsid w:val="00202B36"/>
    <w:rsid w:val="00204B7A"/>
    <w:rsid w:val="00204CDE"/>
    <w:rsid w:val="00206DE6"/>
    <w:rsid w:val="00210295"/>
    <w:rsid w:val="0021101A"/>
    <w:rsid w:val="00220536"/>
    <w:rsid w:val="00235629"/>
    <w:rsid w:val="0023657E"/>
    <w:rsid w:val="00237F22"/>
    <w:rsid w:val="00243463"/>
    <w:rsid w:val="002517FC"/>
    <w:rsid w:val="00260C38"/>
    <w:rsid w:val="002616C0"/>
    <w:rsid w:val="00265372"/>
    <w:rsid w:val="002662AA"/>
    <w:rsid w:val="002722CE"/>
    <w:rsid w:val="00280496"/>
    <w:rsid w:val="00284158"/>
    <w:rsid w:val="00294DC9"/>
    <w:rsid w:val="00295495"/>
    <w:rsid w:val="002A31DE"/>
    <w:rsid w:val="002B2613"/>
    <w:rsid w:val="002C1A1F"/>
    <w:rsid w:val="002C6ECD"/>
    <w:rsid w:val="002D6D05"/>
    <w:rsid w:val="002E0BA1"/>
    <w:rsid w:val="002F1818"/>
    <w:rsid w:val="002F567B"/>
    <w:rsid w:val="00304976"/>
    <w:rsid w:val="00310F83"/>
    <w:rsid w:val="00315BEF"/>
    <w:rsid w:val="003216A9"/>
    <w:rsid w:val="00326404"/>
    <w:rsid w:val="0033203F"/>
    <w:rsid w:val="00335A74"/>
    <w:rsid w:val="00346839"/>
    <w:rsid w:val="00364B74"/>
    <w:rsid w:val="0036513E"/>
    <w:rsid w:val="0036561B"/>
    <w:rsid w:val="0037013F"/>
    <w:rsid w:val="00372AB6"/>
    <w:rsid w:val="00380C92"/>
    <w:rsid w:val="003925D4"/>
    <w:rsid w:val="003A484F"/>
    <w:rsid w:val="003A4883"/>
    <w:rsid w:val="003B0BE0"/>
    <w:rsid w:val="003B0C1B"/>
    <w:rsid w:val="003B688C"/>
    <w:rsid w:val="003C0291"/>
    <w:rsid w:val="003C39AE"/>
    <w:rsid w:val="003C7AB4"/>
    <w:rsid w:val="003C7B60"/>
    <w:rsid w:val="003D0C0F"/>
    <w:rsid w:val="003D1FB2"/>
    <w:rsid w:val="003D66DA"/>
    <w:rsid w:val="003E1310"/>
    <w:rsid w:val="003E426E"/>
    <w:rsid w:val="003E6F55"/>
    <w:rsid w:val="00402C84"/>
    <w:rsid w:val="00406254"/>
    <w:rsid w:val="00411838"/>
    <w:rsid w:val="0041505A"/>
    <w:rsid w:val="004223DE"/>
    <w:rsid w:val="00434489"/>
    <w:rsid w:val="00437085"/>
    <w:rsid w:val="004376CF"/>
    <w:rsid w:val="00443880"/>
    <w:rsid w:val="004464F4"/>
    <w:rsid w:val="0045006E"/>
    <w:rsid w:val="00471401"/>
    <w:rsid w:val="00473F31"/>
    <w:rsid w:val="0048263A"/>
    <w:rsid w:val="00487E5D"/>
    <w:rsid w:val="004A1F63"/>
    <w:rsid w:val="004A711F"/>
    <w:rsid w:val="004B199D"/>
    <w:rsid w:val="004B4690"/>
    <w:rsid w:val="004C6308"/>
    <w:rsid w:val="004E0A2D"/>
    <w:rsid w:val="004E206B"/>
    <w:rsid w:val="004E6DF7"/>
    <w:rsid w:val="004F0FBD"/>
    <w:rsid w:val="004F4F32"/>
    <w:rsid w:val="00505A47"/>
    <w:rsid w:val="00507789"/>
    <w:rsid w:val="00512FDA"/>
    <w:rsid w:val="00520DA0"/>
    <w:rsid w:val="005362F0"/>
    <w:rsid w:val="00555467"/>
    <w:rsid w:val="00555769"/>
    <w:rsid w:val="00560977"/>
    <w:rsid w:val="00565F63"/>
    <w:rsid w:val="005664BB"/>
    <w:rsid w:val="00566FFA"/>
    <w:rsid w:val="005674B6"/>
    <w:rsid w:val="00572E23"/>
    <w:rsid w:val="0057481D"/>
    <w:rsid w:val="0058486E"/>
    <w:rsid w:val="00585B33"/>
    <w:rsid w:val="0059014D"/>
    <w:rsid w:val="00592D60"/>
    <w:rsid w:val="005B5C64"/>
    <w:rsid w:val="005C5337"/>
    <w:rsid w:val="005C6BD0"/>
    <w:rsid w:val="005D1C8B"/>
    <w:rsid w:val="005D2B36"/>
    <w:rsid w:val="005D468D"/>
    <w:rsid w:val="005D5CED"/>
    <w:rsid w:val="005F1A4C"/>
    <w:rsid w:val="00605688"/>
    <w:rsid w:val="0060569E"/>
    <w:rsid w:val="006070AF"/>
    <w:rsid w:val="00607E6C"/>
    <w:rsid w:val="006101B1"/>
    <w:rsid w:val="00614E44"/>
    <w:rsid w:val="0062270A"/>
    <w:rsid w:val="00622830"/>
    <w:rsid w:val="00622A2D"/>
    <w:rsid w:val="00623DA0"/>
    <w:rsid w:val="00630AEF"/>
    <w:rsid w:val="006325F8"/>
    <w:rsid w:val="00633463"/>
    <w:rsid w:val="00634C9A"/>
    <w:rsid w:val="006440E4"/>
    <w:rsid w:val="00657918"/>
    <w:rsid w:val="0066343B"/>
    <w:rsid w:val="00664777"/>
    <w:rsid w:val="006671D2"/>
    <w:rsid w:val="006748A4"/>
    <w:rsid w:val="00681A31"/>
    <w:rsid w:val="00683E73"/>
    <w:rsid w:val="00694CD6"/>
    <w:rsid w:val="006A3141"/>
    <w:rsid w:val="006A5E34"/>
    <w:rsid w:val="006B2422"/>
    <w:rsid w:val="006B2B9A"/>
    <w:rsid w:val="006B4AE8"/>
    <w:rsid w:val="006C1937"/>
    <w:rsid w:val="006E7369"/>
    <w:rsid w:val="006F020C"/>
    <w:rsid w:val="00704FB0"/>
    <w:rsid w:val="007127B7"/>
    <w:rsid w:val="0071798E"/>
    <w:rsid w:val="007416B6"/>
    <w:rsid w:val="00746F48"/>
    <w:rsid w:val="0075404D"/>
    <w:rsid w:val="00757EEB"/>
    <w:rsid w:val="0076182A"/>
    <w:rsid w:val="0076362A"/>
    <w:rsid w:val="00765E5F"/>
    <w:rsid w:val="00767B7E"/>
    <w:rsid w:val="007770C3"/>
    <w:rsid w:val="007819B2"/>
    <w:rsid w:val="0078492C"/>
    <w:rsid w:val="00784D24"/>
    <w:rsid w:val="00785FBA"/>
    <w:rsid w:val="00786E4A"/>
    <w:rsid w:val="007875EB"/>
    <w:rsid w:val="007929DB"/>
    <w:rsid w:val="0079426B"/>
    <w:rsid w:val="007D1682"/>
    <w:rsid w:val="007D312A"/>
    <w:rsid w:val="007D3F19"/>
    <w:rsid w:val="007E23B0"/>
    <w:rsid w:val="007E23E5"/>
    <w:rsid w:val="007F1991"/>
    <w:rsid w:val="007F2C2F"/>
    <w:rsid w:val="007F55FC"/>
    <w:rsid w:val="007F5665"/>
    <w:rsid w:val="007F77E1"/>
    <w:rsid w:val="00800112"/>
    <w:rsid w:val="00802929"/>
    <w:rsid w:val="00810007"/>
    <w:rsid w:val="00813348"/>
    <w:rsid w:val="00813B8E"/>
    <w:rsid w:val="008253BB"/>
    <w:rsid w:val="0083706E"/>
    <w:rsid w:val="008408F6"/>
    <w:rsid w:val="008423A5"/>
    <w:rsid w:val="00850625"/>
    <w:rsid w:val="00853718"/>
    <w:rsid w:val="008547D2"/>
    <w:rsid w:val="00855221"/>
    <w:rsid w:val="00860645"/>
    <w:rsid w:val="0087181A"/>
    <w:rsid w:val="00871F71"/>
    <w:rsid w:val="00872FD8"/>
    <w:rsid w:val="008734A2"/>
    <w:rsid w:val="00881927"/>
    <w:rsid w:val="00885AF4"/>
    <w:rsid w:val="008939CD"/>
    <w:rsid w:val="008B768C"/>
    <w:rsid w:val="008C4DB1"/>
    <w:rsid w:val="008C4EAF"/>
    <w:rsid w:val="008C5176"/>
    <w:rsid w:val="008C5AE3"/>
    <w:rsid w:val="008C7FD0"/>
    <w:rsid w:val="008E1DE7"/>
    <w:rsid w:val="008E707C"/>
    <w:rsid w:val="00900B08"/>
    <w:rsid w:val="00902155"/>
    <w:rsid w:val="00902FA3"/>
    <w:rsid w:val="00923564"/>
    <w:rsid w:val="0092392E"/>
    <w:rsid w:val="009315F9"/>
    <w:rsid w:val="00933499"/>
    <w:rsid w:val="00935C98"/>
    <w:rsid w:val="00946945"/>
    <w:rsid w:val="00950DC6"/>
    <w:rsid w:val="00951248"/>
    <w:rsid w:val="0095152F"/>
    <w:rsid w:val="00954C49"/>
    <w:rsid w:val="00955E37"/>
    <w:rsid w:val="00967181"/>
    <w:rsid w:val="0097099F"/>
    <w:rsid w:val="00971997"/>
    <w:rsid w:val="00971FFC"/>
    <w:rsid w:val="0098660A"/>
    <w:rsid w:val="009931C3"/>
    <w:rsid w:val="00997F58"/>
    <w:rsid w:val="009A2A02"/>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3350C"/>
    <w:rsid w:val="00A40A00"/>
    <w:rsid w:val="00A4142F"/>
    <w:rsid w:val="00A422EB"/>
    <w:rsid w:val="00A45BB7"/>
    <w:rsid w:val="00A56DF2"/>
    <w:rsid w:val="00A56E6E"/>
    <w:rsid w:val="00A61394"/>
    <w:rsid w:val="00A67AB5"/>
    <w:rsid w:val="00A733B2"/>
    <w:rsid w:val="00A741C2"/>
    <w:rsid w:val="00A77DE3"/>
    <w:rsid w:val="00A91760"/>
    <w:rsid w:val="00A93B00"/>
    <w:rsid w:val="00A93C21"/>
    <w:rsid w:val="00AA1382"/>
    <w:rsid w:val="00AB64C9"/>
    <w:rsid w:val="00AC3C6A"/>
    <w:rsid w:val="00AD436B"/>
    <w:rsid w:val="00AD5620"/>
    <w:rsid w:val="00AD656B"/>
    <w:rsid w:val="00AD7C1B"/>
    <w:rsid w:val="00AE16BA"/>
    <w:rsid w:val="00AE1EBE"/>
    <w:rsid w:val="00AF3D3D"/>
    <w:rsid w:val="00AF604A"/>
    <w:rsid w:val="00B03C9D"/>
    <w:rsid w:val="00B060AE"/>
    <w:rsid w:val="00B074C8"/>
    <w:rsid w:val="00B10517"/>
    <w:rsid w:val="00B14E76"/>
    <w:rsid w:val="00B161B8"/>
    <w:rsid w:val="00B2048C"/>
    <w:rsid w:val="00B267DA"/>
    <w:rsid w:val="00B310B9"/>
    <w:rsid w:val="00B332C7"/>
    <w:rsid w:val="00B35F3F"/>
    <w:rsid w:val="00B36CBB"/>
    <w:rsid w:val="00B425E0"/>
    <w:rsid w:val="00B440AA"/>
    <w:rsid w:val="00B44B70"/>
    <w:rsid w:val="00B50DCD"/>
    <w:rsid w:val="00B51B60"/>
    <w:rsid w:val="00B53C56"/>
    <w:rsid w:val="00B57DAF"/>
    <w:rsid w:val="00B77EA6"/>
    <w:rsid w:val="00B81598"/>
    <w:rsid w:val="00B841F1"/>
    <w:rsid w:val="00B944D6"/>
    <w:rsid w:val="00BA159A"/>
    <w:rsid w:val="00BB4DF0"/>
    <w:rsid w:val="00BC289F"/>
    <w:rsid w:val="00BC2D50"/>
    <w:rsid w:val="00BC301E"/>
    <w:rsid w:val="00BC5361"/>
    <w:rsid w:val="00BC5460"/>
    <w:rsid w:val="00BC6B50"/>
    <w:rsid w:val="00BC7484"/>
    <w:rsid w:val="00BD0E25"/>
    <w:rsid w:val="00BD4385"/>
    <w:rsid w:val="00BF5BD6"/>
    <w:rsid w:val="00C0081E"/>
    <w:rsid w:val="00C03E31"/>
    <w:rsid w:val="00C30D53"/>
    <w:rsid w:val="00C324DF"/>
    <w:rsid w:val="00C33E72"/>
    <w:rsid w:val="00C354B2"/>
    <w:rsid w:val="00C35554"/>
    <w:rsid w:val="00C42709"/>
    <w:rsid w:val="00C533CC"/>
    <w:rsid w:val="00C55102"/>
    <w:rsid w:val="00C5751C"/>
    <w:rsid w:val="00C6130D"/>
    <w:rsid w:val="00C61BFC"/>
    <w:rsid w:val="00C62B85"/>
    <w:rsid w:val="00C65438"/>
    <w:rsid w:val="00C87FD8"/>
    <w:rsid w:val="00C91381"/>
    <w:rsid w:val="00C91CBB"/>
    <w:rsid w:val="00CB4E70"/>
    <w:rsid w:val="00CC09B6"/>
    <w:rsid w:val="00CC666F"/>
    <w:rsid w:val="00CD1E3F"/>
    <w:rsid w:val="00CD65B7"/>
    <w:rsid w:val="00CE44F6"/>
    <w:rsid w:val="00CE49DA"/>
    <w:rsid w:val="00CE7B61"/>
    <w:rsid w:val="00CF331D"/>
    <w:rsid w:val="00D00095"/>
    <w:rsid w:val="00D114F0"/>
    <w:rsid w:val="00D14592"/>
    <w:rsid w:val="00D20620"/>
    <w:rsid w:val="00D2228E"/>
    <w:rsid w:val="00D254F7"/>
    <w:rsid w:val="00D26091"/>
    <w:rsid w:val="00D2685C"/>
    <w:rsid w:val="00D302F9"/>
    <w:rsid w:val="00D31FF9"/>
    <w:rsid w:val="00D34E7C"/>
    <w:rsid w:val="00D35489"/>
    <w:rsid w:val="00D36AFE"/>
    <w:rsid w:val="00D477A8"/>
    <w:rsid w:val="00D51276"/>
    <w:rsid w:val="00D512A9"/>
    <w:rsid w:val="00D66EDE"/>
    <w:rsid w:val="00D7035F"/>
    <w:rsid w:val="00DA634F"/>
    <w:rsid w:val="00DA65AC"/>
    <w:rsid w:val="00DB1913"/>
    <w:rsid w:val="00DC410D"/>
    <w:rsid w:val="00DC5A81"/>
    <w:rsid w:val="00DC68CA"/>
    <w:rsid w:val="00DC739F"/>
    <w:rsid w:val="00DC7CBA"/>
    <w:rsid w:val="00DD73B7"/>
    <w:rsid w:val="00DF0292"/>
    <w:rsid w:val="00DF28BC"/>
    <w:rsid w:val="00DF34B9"/>
    <w:rsid w:val="00E01053"/>
    <w:rsid w:val="00E07ACF"/>
    <w:rsid w:val="00E12BD2"/>
    <w:rsid w:val="00E331A1"/>
    <w:rsid w:val="00E33202"/>
    <w:rsid w:val="00E336A9"/>
    <w:rsid w:val="00E472B1"/>
    <w:rsid w:val="00E50624"/>
    <w:rsid w:val="00E54633"/>
    <w:rsid w:val="00E568DF"/>
    <w:rsid w:val="00E64269"/>
    <w:rsid w:val="00E82267"/>
    <w:rsid w:val="00E83E02"/>
    <w:rsid w:val="00E84023"/>
    <w:rsid w:val="00E84ADF"/>
    <w:rsid w:val="00E853CE"/>
    <w:rsid w:val="00E861B1"/>
    <w:rsid w:val="00E86613"/>
    <w:rsid w:val="00E867B6"/>
    <w:rsid w:val="00EA010F"/>
    <w:rsid w:val="00ED0F01"/>
    <w:rsid w:val="00ED1B63"/>
    <w:rsid w:val="00ED3C1F"/>
    <w:rsid w:val="00ED4085"/>
    <w:rsid w:val="00ED420E"/>
    <w:rsid w:val="00ED6FBE"/>
    <w:rsid w:val="00EE2DB2"/>
    <w:rsid w:val="00EE2F57"/>
    <w:rsid w:val="00EF154A"/>
    <w:rsid w:val="00EF1685"/>
    <w:rsid w:val="00EF4C34"/>
    <w:rsid w:val="00EF77C6"/>
    <w:rsid w:val="00F05438"/>
    <w:rsid w:val="00F1361C"/>
    <w:rsid w:val="00F156F0"/>
    <w:rsid w:val="00F160C7"/>
    <w:rsid w:val="00F2408F"/>
    <w:rsid w:val="00F240E9"/>
    <w:rsid w:val="00F249A0"/>
    <w:rsid w:val="00F36D8F"/>
    <w:rsid w:val="00F409EF"/>
    <w:rsid w:val="00F41040"/>
    <w:rsid w:val="00F417B1"/>
    <w:rsid w:val="00F45853"/>
    <w:rsid w:val="00F602DF"/>
    <w:rsid w:val="00F754A1"/>
    <w:rsid w:val="00F75F52"/>
    <w:rsid w:val="00F81FD9"/>
    <w:rsid w:val="00F83312"/>
    <w:rsid w:val="00F841AA"/>
    <w:rsid w:val="00F84A94"/>
    <w:rsid w:val="00F87E96"/>
    <w:rsid w:val="00FA23E8"/>
    <w:rsid w:val="00FD3CC1"/>
    <w:rsid w:val="00FD5278"/>
    <w:rsid w:val="00FE106F"/>
    <w:rsid w:val="00FF0AA4"/>
    <w:rsid w:val="00FF1E02"/>
    <w:rsid w:val="00FF30B4"/>
    <w:rsid w:val="012A5EC2"/>
    <w:rsid w:val="015975B8"/>
    <w:rsid w:val="02FEBE30"/>
    <w:rsid w:val="04916F1E"/>
    <w:rsid w:val="061E35DE"/>
    <w:rsid w:val="062718BA"/>
    <w:rsid w:val="066E0107"/>
    <w:rsid w:val="07996F6E"/>
    <w:rsid w:val="07DFD8BA"/>
    <w:rsid w:val="09867E8F"/>
    <w:rsid w:val="0A2032A3"/>
    <w:rsid w:val="0CA8290A"/>
    <w:rsid w:val="0D35B1ED"/>
    <w:rsid w:val="0E254B6B"/>
    <w:rsid w:val="0F98263C"/>
    <w:rsid w:val="101860EC"/>
    <w:rsid w:val="101F47CC"/>
    <w:rsid w:val="10C055FF"/>
    <w:rsid w:val="11694EBD"/>
    <w:rsid w:val="11772AA4"/>
    <w:rsid w:val="118107EC"/>
    <w:rsid w:val="12E24EE2"/>
    <w:rsid w:val="13D50BC4"/>
    <w:rsid w:val="14B17F78"/>
    <w:rsid w:val="165E0673"/>
    <w:rsid w:val="16B831D5"/>
    <w:rsid w:val="16BB723D"/>
    <w:rsid w:val="17E50567"/>
    <w:rsid w:val="186504BB"/>
    <w:rsid w:val="19A445FC"/>
    <w:rsid w:val="1BE8440E"/>
    <w:rsid w:val="1BFA408B"/>
    <w:rsid w:val="1D155CEE"/>
    <w:rsid w:val="1D1638FE"/>
    <w:rsid w:val="1E312DEB"/>
    <w:rsid w:val="1E740ACF"/>
    <w:rsid w:val="1FF35744"/>
    <w:rsid w:val="1FF6BC77"/>
    <w:rsid w:val="2186353C"/>
    <w:rsid w:val="23860B96"/>
    <w:rsid w:val="240371BF"/>
    <w:rsid w:val="244F3473"/>
    <w:rsid w:val="24C97D99"/>
    <w:rsid w:val="25A718F0"/>
    <w:rsid w:val="25BB59F6"/>
    <w:rsid w:val="260F557C"/>
    <w:rsid w:val="26970054"/>
    <w:rsid w:val="281408E2"/>
    <w:rsid w:val="29FD04D3"/>
    <w:rsid w:val="2BFF7BC6"/>
    <w:rsid w:val="2C8A61B5"/>
    <w:rsid w:val="2DF04E50"/>
    <w:rsid w:val="2E586DFA"/>
    <w:rsid w:val="2E663A59"/>
    <w:rsid w:val="2F040D46"/>
    <w:rsid w:val="2F6B035B"/>
    <w:rsid w:val="2FAE5751"/>
    <w:rsid w:val="2FB1A395"/>
    <w:rsid w:val="2FD9A7D8"/>
    <w:rsid w:val="2FDBF714"/>
    <w:rsid w:val="30AB6865"/>
    <w:rsid w:val="30AF0E11"/>
    <w:rsid w:val="314512E4"/>
    <w:rsid w:val="319F7F4E"/>
    <w:rsid w:val="32BD1EF1"/>
    <w:rsid w:val="3304709D"/>
    <w:rsid w:val="33A773CB"/>
    <w:rsid w:val="349D6851"/>
    <w:rsid w:val="36AA5135"/>
    <w:rsid w:val="36BE0DA7"/>
    <w:rsid w:val="376B6AA6"/>
    <w:rsid w:val="376D39B2"/>
    <w:rsid w:val="37E16F03"/>
    <w:rsid w:val="37F53A3B"/>
    <w:rsid w:val="38783CA2"/>
    <w:rsid w:val="389B6C89"/>
    <w:rsid w:val="38D469F0"/>
    <w:rsid w:val="39627CCD"/>
    <w:rsid w:val="397BAF1F"/>
    <w:rsid w:val="3A3E1ED2"/>
    <w:rsid w:val="3AB79AF3"/>
    <w:rsid w:val="3AE834C0"/>
    <w:rsid w:val="3B7EF35A"/>
    <w:rsid w:val="3B9FDB6C"/>
    <w:rsid w:val="3BF5BC2F"/>
    <w:rsid w:val="3CEBA265"/>
    <w:rsid w:val="3D98207C"/>
    <w:rsid w:val="3DEE7CF3"/>
    <w:rsid w:val="3E740A63"/>
    <w:rsid w:val="3E78745D"/>
    <w:rsid w:val="3EE17838"/>
    <w:rsid w:val="3F55381A"/>
    <w:rsid w:val="3F7F7599"/>
    <w:rsid w:val="3FF4CAE0"/>
    <w:rsid w:val="3FF7B227"/>
    <w:rsid w:val="41F54F58"/>
    <w:rsid w:val="44E268DA"/>
    <w:rsid w:val="450D13D7"/>
    <w:rsid w:val="45506656"/>
    <w:rsid w:val="486A6C7A"/>
    <w:rsid w:val="4A627F82"/>
    <w:rsid w:val="4B0E749A"/>
    <w:rsid w:val="4B2477C4"/>
    <w:rsid w:val="4B4F25DA"/>
    <w:rsid w:val="4BE068DB"/>
    <w:rsid w:val="4D577224"/>
    <w:rsid w:val="4DBF1CEB"/>
    <w:rsid w:val="4DF0007C"/>
    <w:rsid w:val="4EAB630A"/>
    <w:rsid w:val="4ECE2238"/>
    <w:rsid w:val="4F833267"/>
    <w:rsid w:val="4FE9BD67"/>
    <w:rsid w:val="4FFB052F"/>
    <w:rsid w:val="537E6D0A"/>
    <w:rsid w:val="53F74C96"/>
    <w:rsid w:val="55170BA8"/>
    <w:rsid w:val="553218C9"/>
    <w:rsid w:val="567E1AA5"/>
    <w:rsid w:val="56E47B74"/>
    <w:rsid w:val="57175D52"/>
    <w:rsid w:val="57503CE3"/>
    <w:rsid w:val="57615221"/>
    <w:rsid w:val="57BD3DD4"/>
    <w:rsid w:val="5AF92295"/>
    <w:rsid w:val="5B250254"/>
    <w:rsid w:val="5BDD79E6"/>
    <w:rsid w:val="5BF561CA"/>
    <w:rsid w:val="5BFF5DFC"/>
    <w:rsid w:val="5CD71FC4"/>
    <w:rsid w:val="5D1F11B5"/>
    <w:rsid w:val="5D695134"/>
    <w:rsid w:val="5DAE1B18"/>
    <w:rsid w:val="5DE7D9E5"/>
    <w:rsid w:val="5ECEC941"/>
    <w:rsid w:val="5F2E310B"/>
    <w:rsid w:val="5F525338"/>
    <w:rsid w:val="5FBF9FF3"/>
    <w:rsid w:val="5FCD4E2C"/>
    <w:rsid w:val="5FEF394A"/>
    <w:rsid w:val="5FF67715"/>
    <w:rsid w:val="62BF3928"/>
    <w:rsid w:val="63B3701E"/>
    <w:rsid w:val="64353571"/>
    <w:rsid w:val="647F5392"/>
    <w:rsid w:val="65E66580"/>
    <w:rsid w:val="664B1D71"/>
    <w:rsid w:val="664B4E8E"/>
    <w:rsid w:val="67277B67"/>
    <w:rsid w:val="67AA3209"/>
    <w:rsid w:val="698D0931"/>
    <w:rsid w:val="6A7FE5F3"/>
    <w:rsid w:val="6B053271"/>
    <w:rsid w:val="6BDD78B3"/>
    <w:rsid w:val="6C4A05C8"/>
    <w:rsid w:val="6C8742B8"/>
    <w:rsid w:val="6C894799"/>
    <w:rsid w:val="6DBF5E93"/>
    <w:rsid w:val="6DFF077E"/>
    <w:rsid w:val="6E714EF0"/>
    <w:rsid w:val="6E7E3605"/>
    <w:rsid w:val="6E7FDCC7"/>
    <w:rsid w:val="6ED6A62E"/>
    <w:rsid w:val="6EE00B15"/>
    <w:rsid w:val="6F6FB3EB"/>
    <w:rsid w:val="6F8731EA"/>
    <w:rsid w:val="6FCE6052"/>
    <w:rsid w:val="6FD57C00"/>
    <w:rsid w:val="6FEFFFD8"/>
    <w:rsid w:val="6FF5CC65"/>
    <w:rsid w:val="6FFB47EC"/>
    <w:rsid w:val="6FFF034A"/>
    <w:rsid w:val="70484440"/>
    <w:rsid w:val="70510A14"/>
    <w:rsid w:val="710C3EEE"/>
    <w:rsid w:val="712A28F1"/>
    <w:rsid w:val="715C0E4B"/>
    <w:rsid w:val="71992E7C"/>
    <w:rsid w:val="72233669"/>
    <w:rsid w:val="72734D90"/>
    <w:rsid w:val="73160E6D"/>
    <w:rsid w:val="7332FE48"/>
    <w:rsid w:val="73AB61DA"/>
    <w:rsid w:val="73AD73D5"/>
    <w:rsid w:val="73B6EB34"/>
    <w:rsid w:val="73FA497D"/>
    <w:rsid w:val="744731E5"/>
    <w:rsid w:val="74BBD01D"/>
    <w:rsid w:val="74ED5379"/>
    <w:rsid w:val="75DEEEC2"/>
    <w:rsid w:val="75E32345"/>
    <w:rsid w:val="76E3355F"/>
    <w:rsid w:val="76FF5125"/>
    <w:rsid w:val="776F6FFA"/>
    <w:rsid w:val="778769C8"/>
    <w:rsid w:val="77A75DCA"/>
    <w:rsid w:val="77DC22F5"/>
    <w:rsid w:val="783E271A"/>
    <w:rsid w:val="78616DE9"/>
    <w:rsid w:val="78E875D7"/>
    <w:rsid w:val="79086DAD"/>
    <w:rsid w:val="79D7FD79"/>
    <w:rsid w:val="79EE5BA4"/>
    <w:rsid w:val="7A894339"/>
    <w:rsid w:val="7AD284E8"/>
    <w:rsid w:val="7AFF7572"/>
    <w:rsid w:val="7B151B69"/>
    <w:rsid w:val="7B6C7DFB"/>
    <w:rsid w:val="7BBFBED0"/>
    <w:rsid w:val="7BC3E394"/>
    <w:rsid w:val="7C1F3737"/>
    <w:rsid w:val="7CBFC87B"/>
    <w:rsid w:val="7CFE0F48"/>
    <w:rsid w:val="7D272ABC"/>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58C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36"/>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3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next w:val="1"/>
    <w:unhideWhenUsed/>
    <w:qFormat/>
    <w:uiPriority w:val="99"/>
    <w:pPr>
      <w:ind w:firstLine="420" w:firstLineChars="200"/>
    </w:pPr>
  </w:style>
  <w:style w:type="paragraph" w:styleId="4">
    <w:name w:val="Body Text Indent"/>
    <w:basedOn w:val="1"/>
    <w:next w:val="3"/>
    <w:qFormat/>
    <w:uiPriority w:val="0"/>
    <w:pPr>
      <w:spacing w:after="120"/>
      <w:ind w:left="200" w:leftChars="200"/>
    </w:pPr>
    <w:rPr>
      <w:rFonts w:ascii="仿宋_GB2312"/>
      <w:szCs w:val="32"/>
    </w:rPr>
  </w:style>
  <w:style w:type="paragraph" w:styleId="8">
    <w:name w:val="Body Text"/>
    <w:basedOn w:val="1"/>
    <w:link w:val="25"/>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1"/>
    <w:semiHidden/>
    <w:unhideWhenUsed/>
    <w:qFormat/>
    <w:uiPriority w:val="99"/>
    <w:rPr>
      <w:sz w:val="18"/>
      <w:szCs w:val="18"/>
    </w:rPr>
  </w:style>
  <w:style w:type="paragraph" w:styleId="11">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字符"/>
    <w:link w:val="12"/>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字符"/>
    <w:link w:val="11"/>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字符"/>
    <w:link w:val="8"/>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字符"/>
    <w:basedOn w:val="16"/>
    <w:link w:val="5"/>
    <w:qFormat/>
    <w:uiPriority w:val="9"/>
    <w:rPr>
      <w:rFonts w:ascii="Times New Roman" w:hAnsi="Times New Roman"/>
      <w:b/>
      <w:bCs/>
      <w:kern w:val="44"/>
      <w:sz w:val="44"/>
      <w:szCs w:val="44"/>
    </w:rPr>
  </w:style>
  <w:style w:type="character" w:customStyle="1" w:styleId="29">
    <w:name w:val="标题 2 字符"/>
    <w:basedOn w:val="16"/>
    <w:link w:val="6"/>
    <w:qFormat/>
    <w:uiPriority w:val="9"/>
    <w:rPr>
      <w:rFonts w:asciiTheme="majorHAnsi" w:hAnsiTheme="majorHAnsi" w:eastAsiaTheme="majorEastAsia" w:cstheme="majorBidi"/>
      <w:b/>
      <w:bCs/>
      <w:kern w:val="2"/>
      <w:sz w:val="32"/>
      <w:szCs w:val="32"/>
    </w:rPr>
  </w:style>
  <w:style w:type="paragraph" w:customStyle="1" w:styleId="30">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字符"/>
    <w:basedOn w:val="16"/>
    <w:link w:val="10"/>
    <w:semiHidden/>
    <w:qFormat/>
    <w:uiPriority w:val="99"/>
    <w:rPr>
      <w:rFonts w:ascii="Times New Roman" w:hAnsi="Times New Roman"/>
      <w:kern w:val="2"/>
      <w:sz w:val="18"/>
      <w:szCs w:val="18"/>
    </w:rPr>
  </w:style>
  <w:style w:type="character" w:customStyle="1" w:styleId="32">
    <w:name w:val="标题 3 字符"/>
    <w:basedOn w:val="16"/>
    <w:link w:val="7"/>
    <w:qFormat/>
    <w:uiPriority w:val="9"/>
    <w:rPr>
      <w:rFonts w:ascii="Times New Roman" w:hAnsi="Times New Roman"/>
      <w:b/>
      <w:bCs/>
      <w:kern w:val="2"/>
      <w:sz w:val="32"/>
      <w:szCs w:val="32"/>
    </w:rPr>
  </w:style>
  <w:style w:type="paragraph" w:customStyle="1" w:styleId="33">
    <w:name w:val="TOC 标题2"/>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color w:val="000000"/>
      <w:kern w:val="0"/>
      <w:sz w:val="28"/>
      <w:szCs w:val="21"/>
      <w:lang w:val="zh-CN"/>
    </w:rPr>
  </w:style>
  <w:style w:type="paragraph" w:customStyle="1" w:styleId="35">
    <w:name w:val="TOC Heading"/>
    <w:basedOn w:val="5"/>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36">
    <w:name w:val="标题 1 Char"/>
    <w:basedOn w:val="16"/>
    <w:link w:val="5"/>
    <w:qFormat/>
    <w:uiPriority w:val="9"/>
    <w:rPr>
      <w:rFonts w:ascii="Times New Roman" w:hAnsi="Times New Roman"/>
      <w:b/>
      <w:bCs/>
      <w:kern w:val="44"/>
      <w:sz w:val="44"/>
      <w:szCs w:val="44"/>
    </w:rPr>
  </w:style>
  <w:style w:type="character" w:customStyle="1" w:styleId="37">
    <w:name w:val="标题 2 Char"/>
    <w:basedOn w:val="16"/>
    <w:link w:val="6"/>
    <w:qFormat/>
    <w:uiPriority w:val="9"/>
    <w:rPr>
      <w:rFonts w:asciiTheme="majorHAnsi" w:hAnsiTheme="majorHAnsi" w:eastAsiaTheme="majorEastAsia" w:cstheme="majorBidi"/>
      <w:b/>
      <w:bCs/>
      <w:kern w:val="2"/>
      <w:sz w:val="32"/>
      <w:szCs w:val="32"/>
    </w:rPr>
  </w:style>
  <w:style w:type="paragraph" w:customStyle="1" w:styleId="38">
    <w:name w:val="正文-公1"/>
    <w:basedOn w:val="39"/>
    <w:next w:val="1"/>
    <w:qFormat/>
    <w:uiPriority w:val="0"/>
    <w:pPr>
      <w:ind w:firstLine="200" w:firstLineChars="200"/>
    </w:pPr>
  </w:style>
  <w:style w:type="paragraph" w:customStyle="1" w:styleId="39">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8"/>
    <w:qFormat/>
    <w:uiPriority w:val="0"/>
    <w:pPr>
      <w:widowControl w:val="0"/>
      <w:jc w:val="both"/>
    </w:pPr>
    <w:rPr>
      <w:rFonts w:ascii="Calibri" w:hAnsi="Calibri"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chart" Target="charts/chart7.xml"/><Relationship Id="rId15" Type="http://schemas.openxmlformats.org/officeDocument/2006/relationships/chart" Target="charts/chart6.xml"/><Relationship Id="rId14" Type="http://schemas.openxmlformats.org/officeDocument/2006/relationships/chart" Target="charts/chart5.xml"/><Relationship Id="rId13" Type="http://schemas.openxmlformats.org/officeDocument/2006/relationships/chart" Target="charts/chart4.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7.xlsx"/></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7.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zh-CN" altLang="en-US"/>
              <a:t>收入支出对比（单位：万元）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2025年</c:v>
                </c:pt>
              </c:strCache>
            </c:strRef>
          </c:tx>
          <c:spPr>
            <a:solidFill>
              <a:schemeClr val="accent1"/>
            </a:solidFill>
            <a:ln>
              <a:noFill/>
            </a:ln>
            <a:effectLst/>
          </c:spPr>
          <c:invertIfNegative val="0"/>
          <c:dLbls>
            <c:delete val="1"/>
          </c:dLbls>
          <c:cat>
            <c:strRef>
              <c:f>Sheet1!$A$2:$A$5</c:f>
              <c:strCache>
                <c:ptCount val="4"/>
                <c:pt idx="0">
                  <c:v>收入</c:v>
                </c:pt>
                <c:pt idx="1">
                  <c:v>支出</c:v>
                </c:pt>
              </c:strCache>
            </c:strRef>
          </c:cat>
          <c:val>
            <c:numRef>
              <c:f>Sheet1!$B$2:$B$5</c:f>
              <c:numCache>
                <c:formatCode>General</c:formatCode>
                <c:ptCount val="4"/>
                <c:pt idx="0">
                  <c:v>16142.14</c:v>
                </c:pt>
                <c:pt idx="1">
                  <c:v>16142.14</c:v>
                </c:pt>
              </c:numCache>
            </c:numRef>
          </c:val>
        </c:ser>
        <c:ser>
          <c:idx val="1"/>
          <c:order val="1"/>
          <c:tx>
            <c:strRef>
              <c:f>Sheet1!$C$1</c:f>
              <c:strCache>
                <c:ptCount val="1"/>
                <c:pt idx="0">
                  <c:v>2024年</c:v>
                </c:pt>
              </c:strCache>
            </c:strRef>
          </c:tx>
          <c:spPr>
            <a:solidFill>
              <a:schemeClr val="accent2"/>
            </a:solidFill>
            <a:ln>
              <a:noFill/>
            </a:ln>
            <a:effectLst/>
          </c:spPr>
          <c:invertIfNegative val="0"/>
          <c:dLbls>
            <c:delete val="1"/>
          </c:dLbls>
          <c:cat>
            <c:strRef>
              <c:f>Sheet1!$A$2:$A$5</c:f>
              <c:strCache>
                <c:ptCount val="4"/>
                <c:pt idx="0">
                  <c:v>收入</c:v>
                </c:pt>
                <c:pt idx="1">
                  <c:v>支出</c:v>
                </c:pt>
              </c:strCache>
            </c:strRef>
          </c:cat>
          <c:val>
            <c:numRef>
              <c:f>Sheet1!$C$2:$C$5</c:f>
              <c:numCache>
                <c:formatCode>General</c:formatCode>
                <c:ptCount val="4"/>
                <c:pt idx="0">
                  <c:v>13354.03</c:v>
                </c:pt>
                <c:pt idx="1">
                  <c:v>13354.03</c:v>
                </c:pt>
              </c:numCache>
            </c:numRef>
          </c:val>
        </c:ser>
        <c:dLbls>
          <c:showLegendKey val="0"/>
          <c:showVal val="0"/>
          <c:showCatName val="0"/>
          <c:showSerName val="0"/>
          <c:showPercent val="0"/>
          <c:showBubbleSize val="0"/>
        </c:dLbls>
        <c:gapWidth val="219"/>
        <c:overlap val="-27"/>
        <c:axId val="367003679"/>
        <c:axId val="367002239"/>
      </c:barChart>
      <c:catAx>
        <c:axId val="3670036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7002239"/>
        <c:crosses val="autoZero"/>
        <c:auto val="1"/>
        <c:lblAlgn val="ctr"/>
        <c:lblOffset val="100"/>
        <c:noMultiLvlLbl val="0"/>
      </c:catAx>
      <c:valAx>
        <c:axId val="3670022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7003679"/>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64d520a-8402-49bd-ac21-3335ca35739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收入决算情况</c:v>
                </c:pt>
              </c:strCache>
            </c:strRef>
          </c:tx>
          <c:explosion val="0"/>
          <c:dPt>
            <c:idx val="0"/>
            <c:bubble3D val="0"/>
            <c:spPr>
              <a:solidFill>
                <a:schemeClr val="accent1"/>
              </a:solidFill>
              <a:ln w="19050">
                <a:solidFill>
                  <a:schemeClr val="lt1"/>
                </a:solidFill>
              </a:ln>
              <a:effectLst/>
            </c:spPr>
          </c:dPt>
          <c:dLbls>
            <c:delete val="1"/>
          </c:dLbls>
          <c:cat>
            <c:strRef>
              <c:f>Sheet1!$A$2</c:f>
              <c:strCache>
                <c:ptCount val="1"/>
                <c:pt idx="0">
                  <c:v>一般公共预算财政拨款收入</c:v>
                </c:pt>
              </c:strCache>
            </c:strRef>
          </c:cat>
          <c:val>
            <c:numRef>
              <c:f>Sheet1!$B$2</c:f>
              <c:numCache>
                <c:formatCode>0%</c:formatCode>
                <c:ptCount val="1"/>
                <c:pt idx="0">
                  <c:v>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624cdcfe-4fc6-4ada-aaf8-1069bd40a0c6}"/>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36299507054224"/>
          <c:y val="0.0389886578449905"/>
        </c:manualLayout>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支出决算情况</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基本支出</c:v>
                </c:pt>
                <c:pt idx="1">
                  <c:v>项目支出</c:v>
                </c:pt>
              </c:strCache>
            </c:strRef>
          </c:cat>
          <c:val>
            <c:numRef>
              <c:f>Sheet1!$B$2:$B$5</c:f>
              <c:numCache>
                <c:formatCode>General</c:formatCode>
                <c:ptCount val="4"/>
                <c:pt idx="0">
                  <c:v>14315.9</c:v>
                </c:pt>
                <c:pt idx="1">
                  <c:v>1826.24</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db4059c-d6d3-46ae-ad0a-1a07e9a928e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zh-CN" altLang="en-US"/>
              <a:t>一般公共预算财政拨款收、支决算变动情况    （单位：万元）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2025年</c:v>
                </c:pt>
              </c:strCache>
            </c:strRef>
          </c:tx>
          <c:spPr>
            <a:solidFill>
              <a:schemeClr val="accent1"/>
            </a:solidFill>
            <a:ln>
              <a:noFill/>
            </a:ln>
            <a:effectLst/>
          </c:spPr>
          <c:invertIfNegative val="0"/>
          <c:dLbls>
            <c:delete val="1"/>
          </c:dLbls>
          <c:cat>
            <c:strRef>
              <c:f>Sheet1!$A$2:$A$3</c:f>
              <c:strCache>
                <c:ptCount val="2"/>
                <c:pt idx="0">
                  <c:v>收入</c:v>
                </c:pt>
                <c:pt idx="1">
                  <c:v>支出</c:v>
                </c:pt>
              </c:strCache>
            </c:strRef>
          </c:cat>
          <c:val>
            <c:numRef>
              <c:f>Sheet1!$B$2:$B$3</c:f>
              <c:numCache>
                <c:formatCode>General</c:formatCode>
                <c:ptCount val="2"/>
                <c:pt idx="0">
                  <c:v>16142.14</c:v>
                </c:pt>
                <c:pt idx="1">
                  <c:v>16142.14</c:v>
                </c:pt>
              </c:numCache>
            </c:numRef>
          </c:val>
        </c:ser>
        <c:ser>
          <c:idx val="1"/>
          <c:order val="1"/>
          <c:tx>
            <c:strRef>
              <c:f>Sheet1!$C$1</c:f>
              <c:strCache>
                <c:ptCount val="1"/>
                <c:pt idx="0">
                  <c:v>2024年</c:v>
                </c:pt>
              </c:strCache>
            </c:strRef>
          </c:tx>
          <c:spPr>
            <a:solidFill>
              <a:schemeClr val="accent2"/>
            </a:solidFill>
            <a:ln>
              <a:noFill/>
            </a:ln>
            <a:effectLst/>
          </c:spPr>
          <c:invertIfNegative val="0"/>
          <c:dLbls>
            <c:delete val="1"/>
          </c:dLbls>
          <c:cat>
            <c:strRef>
              <c:f>Sheet1!$A$2:$A$3</c:f>
              <c:strCache>
                <c:ptCount val="2"/>
                <c:pt idx="0">
                  <c:v>收入</c:v>
                </c:pt>
                <c:pt idx="1">
                  <c:v>支出</c:v>
                </c:pt>
              </c:strCache>
            </c:strRef>
          </c:cat>
          <c:val>
            <c:numRef>
              <c:f>Sheet1!$C$2:$C$3</c:f>
              <c:numCache>
                <c:formatCode>General</c:formatCode>
                <c:ptCount val="2"/>
                <c:pt idx="0">
                  <c:v>13354.03</c:v>
                </c:pt>
                <c:pt idx="1">
                  <c:v>13354.03</c:v>
                </c:pt>
              </c:numCache>
            </c:numRef>
          </c:val>
        </c:ser>
        <c:dLbls>
          <c:showLegendKey val="0"/>
          <c:showVal val="0"/>
          <c:showCatName val="0"/>
          <c:showSerName val="0"/>
          <c:showPercent val="0"/>
          <c:showBubbleSize val="0"/>
        </c:dLbls>
        <c:gapWidth val="219"/>
        <c:overlap val="-27"/>
        <c:axId val="1672483055"/>
        <c:axId val="1672483535"/>
      </c:barChart>
      <c:catAx>
        <c:axId val="16724830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672483535"/>
        <c:crosses val="autoZero"/>
        <c:auto val="1"/>
        <c:lblAlgn val="ctr"/>
        <c:lblOffset val="100"/>
        <c:noMultiLvlLbl val="0"/>
      </c:catAx>
      <c:valAx>
        <c:axId val="16724835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672483055"/>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c6c1194-0323-4f9a-a1fa-caea1eb4211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zh-CN" altLang="en-US"/>
              <a:t>一般公共预算财政拨款支出决算变动情况（单位：万元）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2025年</c:v>
                </c:pt>
              </c:strCache>
            </c:strRef>
          </c:tx>
          <c:spPr>
            <a:solidFill>
              <a:schemeClr val="accent1"/>
            </a:solidFill>
            <a:ln>
              <a:noFill/>
            </a:ln>
            <a:effectLst/>
          </c:spPr>
          <c:invertIfNegative val="0"/>
          <c:dLbls>
            <c:delete val="1"/>
          </c:dLbls>
          <c:cat>
            <c:strRef>
              <c:f>Sheet1!$A$2</c:f>
              <c:strCache>
                <c:ptCount val="1"/>
                <c:pt idx="0">
                  <c:v>支出</c:v>
                </c:pt>
              </c:strCache>
            </c:strRef>
          </c:cat>
          <c:val>
            <c:numRef>
              <c:f>Sheet1!$B$2</c:f>
              <c:numCache>
                <c:formatCode>General</c:formatCode>
                <c:ptCount val="1"/>
                <c:pt idx="0">
                  <c:v>16142.14</c:v>
                </c:pt>
              </c:numCache>
            </c:numRef>
          </c:val>
        </c:ser>
        <c:ser>
          <c:idx val="1"/>
          <c:order val="1"/>
          <c:tx>
            <c:strRef>
              <c:f>Sheet1!$C$1</c:f>
              <c:strCache>
                <c:ptCount val="1"/>
                <c:pt idx="0">
                  <c:v>2024年</c:v>
                </c:pt>
              </c:strCache>
            </c:strRef>
          </c:tx>
          <c:spPr>
            <a:solidFill>
              <a:schemeClr val="accent2"/>
            </a:solidFill>
            <a:ln>
              <a:noFill/>
            </a:ln>
            <a:effectLst/>
          </c:spPr>
          <c:invertIfNegative val="0"/>
          <c:dLbls>
            <c:delete val="1"/>
          </c:dLbls>
          <c:cat>
            <c:strRef>
              <c:f>Sheet1!$A$2</c:f>
              <c:strCache>
                <c:ptCount val="1"/>
                <c:pt idx="0">
                  <c:v>支出</c:v>
                </c:pt>
              </c:strCache>
            </c:strRef>
          </c:cat>
          <c:val>
            <c:numRef>
              <c:f>Sheet1!$C$2</c:f>
              <c:numCache>
                <c:formatCode>General</c:formatCode>
                <c:ptCount val="1"/>
                <c:pt idx="0">
                  <c:v>13354.03</c:v>
                </c:pt>
              </c:numCache>
            </c:numRef>
          </c:val>
        </c:ser>
        <c:dLbls>
          <c:showLegendKey val="0"/>
          <c:showVal val="0"/>
          <c:showCatName val="0"/>
          <c:showSerName val="0"/>
          <c:showPercent val="0"/>
          <c:showBubbleSize val="0"/>
        </c:dLbls>
        <c:gapWidth val="219"/>
        <c:overlap val="-27"/>
        <c:axId val="1676739055"/>
        <c:axId val="1676747695"/>
      </c:barChart>
      <c:catAx>
        <c:axId val="16767390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676747695"/>
        <c:crosses val="autoZero"/>
        <c:auto val="1"/>
        <c:lblAlgn val="ctr"/>
        <c:lblOffset val="100"/>
        <c:noMultiLvlLbl val="0"/>
      </c:catAx>
      <c:valAx>
        <c:axId val="16767476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676739055"/>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057d380-27a4-4c62-80bb-0e8f1aec8fd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一般公共预算财政拨款支出决算结构</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delete val="1"/>
          </c:dLbls>
          <c:cat>
            <c:strRef>
              <c:f>Sheet1!$A$2:$A$6</c:f>
              <c:strCache>
                <c:ptCount val="5"/>
                <c:pt idx="0">
                  <c:v>一般公共服务支出</c:v>
                </c:pt>
                <c:pt idx="1">
                  <c:v>公共安全支出</c:v>
                </c:pt>
                <c:pt idx="2">
                  <c:v>社会保障和就业支出</c:v>
                </c:pt>
                <c:pt idx="3">
                  <c:v>卫生健康支出</c:v>
                </c:pt>
                <c:pt idx="4">
                  <c:v>住房保障支出</c:v>
                </c:pt>
              </c:strCache>
            </c:strRef>
          </c:cat>
          <c:val>
            <c:numRef>
              <c:f>Sheet1!$B$2:$B$6</c:f>
              <c:numCache>
                <c:formatCode>General</c:formatCode>
                <c:ptCount val="5"/>
                <c:pt idx="0">
                  <c:v>3.21</c:v>
                </c:pt>
                <c:pt idx="1">
                  <c:v>12332.95</c:v>
                </c:pt>
                <c:pt idx="2">
                  <c:v>2301.94</c:v>
                </c:pt>
                <c:pt idx="3">
                  <c:v>587.52</c:v>
                </c:pt>
                <c:pt idx="4">
                  <c:v>916.52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460459a-a737-4832-ba48-faae95ceb91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“三公”经费财政拨款支出结构</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因公出（国）境</c:v>
                </c:pt>
                <c:pt idx="1">
                  <c:v>公务用车运行维护费</c:v>
                </c:pt>
                <c:pt idx="2">
                  <c:v>公务接待费</c:v>
                </c:pt>
              </c:strCache>
            </c:strRef>
          </c:cat>
          <c:val>
            <c:numRef>
              <c:f>Sheet1!$B$2:$B$5</c:f>
              <c:numCache>
                <c:formatCode>General</c:formatCode>
                <c:ptCount val="4"/>
                <c:pt idx="0">
                  <c:v>0</c:v>
                </c:pt>
                <c:pt idx="1">
                  <c:v>88.11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51cfe1e-a38b-4461-bb52-12803482552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6065</Words>
  <Characters>6768</Characters>
  <Lines>204</Lines>
  <Paragraphs>192</Paragraphs>
  <TotalTime>4</TotalTime>
  <ScaleCrop>false</ScaleCrop>
  <LinksUpToDate>false</LinksUpToDate>
  <CharactersWithSpaces>6843</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2025-09-03T17:13:00Z</dcterms:created>
  <dc:creator>曹颖</dc:creator>
  <cp:lastModifiedBy>XCK</cp:lastModifiedBy>
  <cp:lastPrinted>2025-09-15T09:54:00Z</cp:lastPrinted>
  <dcterms:modified xsi:type="dcterms:W3CDTF">2026-10-28T18:25:08Z</dcterms:modified>
  <dc:title>四川省***</dc:title>
  <cp:revision>296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BE6D4F746B2D492C8010FF46A930DAF8</vt:lpwstr>
  </property>
  <property fmtid="{D5CDD505-2E9C-101B-9397-08002B2CF9AE}" pid="4" name="KSOTemplateDocerSaveRecord">
    <vt:lpwstr>eyJoZGlkIjoiYjc2NDczZmRkMjBkOWY2OWQ5OWMxNTMyNzg3MTkyNjQiLCJ1c2VySWQiOiI3MTExNDkwMjIifQ==</vt:lpwstr>
  </property>
</Properties>
</file>